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394263">
      <w:pPr>
        <w:rPr>
          <w:rFonts w:hint="eastAsia" w:eastAsia="仿宋_GB2312"/>
          <w:sz w:val="36"/>
          <w:szCs w:val="36"/>
        </w:rPr>
      </w:pPr>
    </w:p>
    <w:p w14:paraId="34EB844D">
      <w:pPr>
        <w:rPr>
          <w:rFonts w:eastAsia="仿宋_GB2312"/>
          <w:sz w:val="36"/>
          <w:szCs w:val="36"/>
        </w:rPr>
      </w:pPr>
    </w:p>
    <w:p w14:paraId="04FC89E6">
      <w:pPr>
        <w:rPr>
          <w:rFonts w:eastAsia="仿宋_GB2312"/>
          <w:sz w:val="36"/>
          <w:szCs w:val="36"/>
        </w:rPr>
      </w:pPr>
    </w:p>
    <w:p w14:paraId="44E620BB">
      <w:pPr>
        <w:adjustRightInd w:val="0"/>
        <w:snapToGrid w:val="0"/>
        <w:jc w:val="center"/>
        <w:outlineLvl w:val="0"/>
        <w:rPr>
          <w:rFonts w:eastAsia="方正小标宋_GBK"/>
          <w:bCs/>
          <w:sz w:val="72"/>
          <w:szCs w:val="72"/>
        </w:rPr>
      </w:pPr>
      <w:r>
        <w:rPr>
          <w:rFonts w:eastAsia="方正小标宋_GBK"/>
          <w:bCs/>
          <w:sz w:val="72"/>
          <w:szCs w:val="72"/>
        </w:rPr>
        <w:t>建设项目环境影响报告表</w:t>
      </w:r>
    </w:p>
    <w:p w14:paraId="1677581D">
      <w:pPr>
        <w:adjustRightInd w:val="0"/>
        <w:snapToGrid w:val="0"/>
        <w:spacing w:before="192" w:beforeLines="80"/>
        <w:jc w:val="center"/>
        <w:rPr>
          <w:rFonts w:eastAsia="楷体_GB2312"/>
          <w:bCs/>
          <w:sz w:val="48"/>
          <w:szCs w:val="48"/>
        </w:rPr>
      </w:pPr>
      <w:r>
        <w:rPr>
          <w:rFonts w:eastAsia="楷体_GB2312"/>
          <w:bCs/>
          <w:sz w:val="48"/>
          <w:szCs w:val="48"/>
        </w:rPr>
        <w:t>（污染影响类）</w:t>
      </w:r>
    </w:p>
    <w:p w14:paraId="5FC52073">
      <w:pPr>
        <w:adjustRightInd w:val="0"/>
        <w:snapToGrid w:val="0"/>
        <w:spacing w:line="288" w:lineRule="auto"/>
        <w:jc w:val="center"/>
        <w:rPr>
          <w:rFonts w:eastAsia="华文仿宋"/>
          <w:kern w:val="44"/>
          <w:sz w:val="44"/>
          <w:szCs w:val="44"/>
        </w:rPr>
      </w:pPr>
    </w:p>
    <w:p w14:paraId="6B0E26F4">
      <w:pPr>
        <w:jc w:val="center"/>
        <w:rPr>
          <w:rFonts w:hint="eastAsia" w:eastAsia="仿宋"/>
          <w:sz w:val="52"/>
          <w:szCs w:val="52"/>
        </w:rPr>
      </w:pPr>
    </w:p>
    <w:p w14:paraId="401A073F">
      <w:pPr>
        <w:jc w:val="center"/>
        <w:rPr>
          <w:rFonts w:hint="eastAsia" w:eastAsia="仿宋"/>
          <w:sz w:val="52"/>
          <w:szCs w:val="52"/>
        </w:rPr>
      </w:pPr>
    </w:p>
    <w:p w14:paraId="0D836C90">
      <w:pPr>
        <w:jc w:val="center"/>
        <w:rPr>
          <w:rFonts w:hint="eastAsia" w:eastAsia="仿宋"/>
          <w:sz w:val="52"/>
          <w:szCs w:val="52"/>
        </w:rPr>
      </w:pPr>
    </w:p>
    <w:p w14:paraId="160B7E9F">
      <w:pPr>
        <w:jc w:val="center"/>
        <w:rPr>
          <w:rFonts w:hint="eastAsia" w:eastAsia="仿宋"/>
          <w:sz w:val="52"/>
          <w:szCs w:val="52"/>
        </w:rPr>
      </w:pPr>
    </w:p>
    <w:p w14:paraId="7B293DC6">
      <w:pPr>
        <w:ind w:firstLine="1040"/>
        <w:rPr>
          <w:rFonts w:eastAsia="仿宋"/>
          <w:sz w:val="44"/>
          <w:szCs w:val="44"/>
        </w:rPr>
      </w:pPr>
    </w:p>
    <w:p w14:paraId="4A61D688">
      <w:pPr>
        <w:ind w:firstLine="1040"/>
        <w:rPr>
          <w:rFonts w:eastAsia="仿宋"/>
          <w:sz w:val="44"/>
          <w:szCs w:val="44"/>
        </w:rPr>
      </w:pPr>
    </w:p>
    <w:p w14:paraId="583583E8">
      <w:pPr>
        <w:keepNext w:val="0"/>
        <w:keepLines w:val="0"/>
        <w:pageBreakBefore w:val="0"/>
        <w:widowControl w:val="0"/>
        <w:tabs>
          <w:tab w:val="left" w:leader="underscore" w:pos="0"/>
        </w:tabs>
        <w:kinsoku/>
        <w:wordWrap/>
        <w:overflowPunct/>
        <w:topLinePunct w:val="0"/>
        <w:autoSpaceDE/>
        <w:autoSpaceDN/>
        <w:bidi w:val="0"/>
        <w:adjustRightInd w:val="0"/>
        <w:snapToGrid w:val="0"/>
        <w:spacing w:line="288" w:lineRule="auto"/>
        <w:ind w:left="0" w:hanging="1800" w:hangingChars="500"/>
        <w:jc w:val="both"/>
        <w:textAlignment w:val="auto"/>
        <w:rPr>
          <w:rFonts w:hint="eastAsia" w:eastAsia="仿宋_GB2312"/>
          <w:sz w:val="36"/>
          <w:szCs w:val="36"/>
          <w:u w:val="single"/>
          <w:lang w:eastAsia="zh-CN"/>
        </w:rPr>
      </w:pPr>
      <w:r>
        <w:rPr>
          <w:rFonts w:eastAsia="仿宋_GB2312"/>
          <w:sz w:val="36"/>
          <w:szCs w:val="36"/>
        </w:rPr>
        <w:t>项目名称：</w:t>
      </w:r>
      <w:r>
        <w:rPr>
          <w:rFonts w:hint="eastAsia" w:eastAsia="仿宋_GB2312"/>
          <w:sz w:val="36"/>
          <w:szCs w:val="36"/>
          <w:u w:val="single"/>
          <w:lang w:val="en-US" w:eastAsia="zh-CN"/>
        </w:rPr>
        <w:t xml:space="preserve">          </w:t>
      </w:r>
      <w:r>
        <w:rPr>
          <w:rFonts w:hint="eastAsia" w:ascii="Times New Roman" w:hAnsi="Times New Roman" w:eastAsia="仿宋_GB2312" w:cs="Times New Roman"/>
          <w:color w:val="auto"/>
          <w:sz w:val="36"/>
          <w:szCs w:val="36"/>
          <w:u w:val="single"/>
          <w:lang w:eastAsia="zh-CN"/>
        </w:rPr>
        <w:t>洁净</w:t>
      </w:r>
      <w:r>
        <w:rPr>
          <w:rFonts w:hint="eastAsia" w:eastAsia="仿宋_GB2312" w:cs="Times New Roman"/>
          <w:color w:val="auto"/>
          <w:sz w:val="36"/>
          <w:szCs w:val="36"/>
          <w:u w:val="single"/>
          <w:lang w:eastAsia="zh-CN"/>
        </w:rPr>
        <w:t>车</w:t>
      </w:r>
      <w:r>
        <w:rPr>
          <w:rFonts w:hint="eastAsia" w:ascii="Times New Roman" w:hAnsi="Times New Roman" w:eastAsia="仿宋_GB2312" w:cs="Times New Roman"/>
          <w:color w:val="auto"/>
          <w:sz w:val="36"/>
          <w:szCs w:val="36"/>
          <w:u w:val="single"/>
          <w:lang w:eastAsia="zh-CN"/>
        </w:rPr>
        <w:t>间</w:t>
      </w:r>
      <w:r>
        <w:rPr>
          <w:rFonts w:hint="eastAsia" w:eastAsia="仿宋_GB2312" w:cs="Times New Roman"/>
          <w:color w:val="auto"/>
          <w:sz w:val="36"/>
          <w:szCs w:val="36"/>
          <w:u w:val="single"/>
          <w:lang w:eastAsia="zh-CN"/>
        </w:rPr>
        <w:t>建设</w:t>
      </w:r>
      <w:r>
        <w:rPr>
          <w:rFonts w:hint="eastAsia" w:ascii="Times New Roman" w:hAnsi="Times New Roman" w:eastAsia="仿宋_GB2312" w:cs="Times New Roman"/>
          <w:color w:val="auto"/>
          <w:sz w:val="36"/>
          <w:szCs w:val="36"/>
          <w:u w:val="single"/>
          <w:lang w:eastAsia="zh-CN"/>
        </w:rPr>
        <w:t xml:space="preserve">项目 </w:t>
      </w:r>
      <w:r>
        <w:rPr>
          <w:rFonts w:hint="eastAsia" w:eastAsia="仿宋_GB2312"/>
          <w:color w:val="auto"/>
          <w:sz w:val="36"/>
          <w:szCs w:val="36"/>
          <w:u w:val="single"/>
        </w:rPr>
        <w:t xml:space="preserve"> </w:t>
      </w:r>
      <w:r>
        <w:rPr>
          <w:rFonts w:hint="eastAsia" w:eastAsia="仿宋_GB2312"/>
          <w:sz w:val="36"/>
          <w:szCs w:val="36"/>
          <w:u w:val="single"/>
        </w:rPr>
        <w:t xml:space="preserve">           </w:t>
      </w:r>
    </w:p>
    <w:p w14:paraId="343AE00B">
      <w:pPr>
        <w:adjustRightInd w:val="0"/>
        <w:snapToGrid w:val="0"/>
        <w:spacing w:line="288" w:lineRule="auto"/>
        <w:ind w:left="3240" w:hanging="3240" w:hangingChars="900"/>
        <w:rPr>
          <w:rFonts w:hint="eastAsia" w:eastAsia="仿宋_GB2312"/>
          <w:sz w:val="36"/>
          <w:szCs w:val="36"/>
          <w:u w:val="single"/>
          <w:lang w:eastAsia="zh-CN"/>
        </w:rPr>
      </w:pPr>
      <w:r>
        <w:rPr>
          <w:rFonts w:eastAsia="仿宋_GB2312"/>
          <w:sz w:val="36"/>
          <w:szCs w:val="36"/>
        </w:rPr>
        <w:t>建设单位（盖章）：</w:t>
      </w:r>
      <w:r>
        <w:rPr>
          <w:rFonts w:hint="eastAsia" w:eastAsia="仿宋_GB2312"/>
          <w:sz w:val="36"/>
          <w:szCs w:val="36"/>
          <w:u w:val="single"/>
          <w:lang w:val="en-US" w:eastAsia="zh-CN"/>
        </w:rPr>
        <w:t>北京东华原医疗设备有限责任公司沧州分公司</w:t>
      </w:r>
      <w:r>
        <w:rPr>
          <w:rFonts w:eastAsia="仿宋_GB2312"/>
          <w:sz w:val="36"/>
          <w:szCs w:val="36"/>
          <w:u w:val="single"/>
        </w:rPr>
        <w:t xml:space="preserve">  </w:t>
      </w:r>
      <w:r>
        <w:rPr>
          <w:rFonts w:hint="eastAsia" w:eastAsia="仿宋_GB2312"/>
          <w:sz w:val="36"/>
          <w:szCs w:val="36"/>
          <w:u w:val="single"/>
          <w:lang w:val="en-US" w:eastAsia="zh-CN"/>
        </w:rPr>
        <w:t xml:space="preserve">                    </w:t>
      </w:r>
      <w:r>
        <w:rPr>
          <w:rFonts w:hint="eastAsia" w:eastAsia="仿宋_GB2312"/>
          <w:sz w:val="36"/>
          <w:szCs w:val="36"/>
          <w:u w:val="single"/>
        </w:rPr>
        <w:t xml:space="preserve"> </w:t>
      </w:r>
    </w:p>
    <w:p w14:paraId="10B8F860">
      <w:pPr>
        <w:adjustRightInd w:val="0"/>
        <w:snapToGrid w:val="0"/>
        <w:spacing w:line="288" w:lineRule="auto"/>
        <w:rPr>
          <w:rFonts w:hint="eastAsia" w:eastAsia="仿宋_GB2312"/>
          <w:sz w:val="36"/>
          <w:szCs w:val="36"/>
          <w:u w:val="single"/>
          <w:lang w:eastAsia="zh-CN"/>
        </w:rPr>
      </w:pPr>
      <w:r>
        <w:rPr>
          <w:rFonts w:eastAsia="仿宋_GB2312"/>
          <w:sz w:val="36"/>
          <w:szCs w:val="36"/>
        </w:rPr>
        <w:t>编制日期：</w:t>
      </w:r>
      <w:r>
        <w:rPr>
          <w:rFonts w:eastAsia="仿宋_GB2312"/>
          <w:sz w:val="36"/>
          <w:szCs w:val="36"/>
          <w:u w:val="single"/>
        </w:rPr>
        <w:t xml:space="preserve">   </w:t>
      </w:r>
      <w:r>
        <w:rPr>
          <w:rFonts w:hint="eastAsia" w:eastAsia="仿宋_GB2312"/>
          <w:sz w:val="36"/>
          <w:szCs w:val="36"/>
          <w:u w:val="single"/>
        </w:rPr>
        <w:t xml:space="preserve">     </w:t>
      </w:r>
      <w:r>
        <w:rPr>
          <w:rFonts w:eastAsia="仿宋_GB2312"/>
          <w:sz w:val="36"/>
          <w:szCs w:val="36"/>
          <w:u w:val="single"/>
        </w:rPr>
        <w:t xml:space="preserve"> </w:t>
      </w:r>
      <w:r>
        <w:rPr>
          <w:rFonts w:hint="eastAsia" w:eastAsia="仿宋_GB2312"/>
          <w:sz w:val="36"/>
          <w:szCs w:val="36"/>
          <w:u w:val="single"/>
          <w:lang w:val="en-US" w:eastAsia="zh-CN"/>
        </w:rPr>
        <w:t xml:space="preserve">    </w:t>
      </w:r>
      <w:r>
        <w:rPr>
          <w:rFonts w:hint="eastAsia" w:eastAsia="仿宋_GB2312"/>
          <w:sz w:val="36"/>
          <w:szCs w:val="36"/>
          <w:u w:val="single"/>
        </w:rPr>
        <w:t xml:space="preserve"> </w:t>
      </w:r>
      <w:r>
        <w:rPr>
          <w:rFonts w:eastAsia="仿宋_GB2312"/>
          <w:snapToGrid w:val="0"/>
          <w:sz w:val="36"/>
          <w:szCs w:val="36"/>
          <w:u w:val="single"/>
          <w:lang w:eastAsia="zh-CN"/>
        </w:rPr>
        <w:t>202</w:t>
      </w:r>
      <w:r>
        <w:rPr>
          <w:rFonts w:hint="eastAsia" w:eastAsia="仿宋_GB2312"/>
          <w:snapToGrid w:val="0"/>
          <w:sz w:val="36"/>
          <w:szCs w:val="36"/>
          <w:u w:val="single"/>
          <w:lang w:val="en-US" w:eastAsia="zh-CN"/>
        </w:rPr>
        <w:t>6</w:t>
      </w:r>
      <w:r>
        <w:rPr>
          <w:rFonts w:eastAsia="仿宋_GB2312"/>
          <w:snapToGrid w:val="0"/>
          <w:sz w:val="36"/>
          <w:szCs w:val="36"/>
          <w:u w:val="single"/>
          <w:lang w:eastAsia="zh-CN"/>
        </w:rPr>
        <w:t>年</w:t>
      </w:r>
      <w:r>
        <w:rPr>
          <w:rFonts w:hint="eastAsia" w:eastAsia="仿宋_GB2312"/>
          <w:snapToGrid w:val="0"/>
          <w:sz w:val="36"/>
          <w:szCs w:val="36"/>
          <w:u w:val="single"/>
          <w:lang w:val="en-US" w:eastAsia="zh-CN"/>
        </w:rPr>
        <w:t>2</w:t>
      </w:r>
      <w:r>
        <w:rPr>
          <w:rFonts w:eastAsia="仿宋_GB2312"/>
          <w:snapToGrid w:val="0"/>
          <w:sz w:val="36"/>
          <w:szCs w:val="36"/>
          <w:u w:val="single"/>
          <w:lang w:eastAsia="zh-CN"/>
        </w:rPr>
        <w:t>月</w:t>
      </w:r>
      <w:r>
        <w:rPr>
          <w:rFonts w:hint="eastAsia" w:eastAsia="仿宋_GB2312"/>
          <w:snapToGrid w:val="0"/>
          <w:sz w:val="36"/>
          <w:szCs w:val="36"/>
          <w:u w:val="single"/>
          <w:lang w:val="en-US" w:eastAsia="zh-CN"/>
        </w:rPr>
        <w:t xml:space="preserve">   </w:t>
      </w:r>
      <w:r>
        <w:rPr>
          <w:rFonts w:eastAsia="仿宋_GB2312"/>
          <w:sz w:val="36"/>
          <w:szCs w:val="36"/>
          <w:u w:val="single"/>
        </w:rPr>
        <w:t xml:space="preserve">     </w:t>
      </w:r>
      <w:r>
        <w:rPr>
          <w:rFonts w:hint="eastAsia" w:eastAsia="仿宋_GB2312"/>
          <w:sz w:val="36"/>
          <w:szCs w:val="36"/>
          <w:u w:val="single"/>
        </w:rPr>
        <w:t xml:space="preserve">  </w:t>
      </w:r>
      <w:r>
        <w:rPr>
          <w:rFonts w:eastAsia="仿宋_GB2312"/>
          <w:sz w:val="36"/>
          <w:szCs w:val="36"/>
          <w:u w:val="single"/>
        </w:rPr>
        <w:t xml:space="preserve">  </w:t>
      </w:r>
      <w:r>
        <w:rPr>
          <w:rFonts w:hint="eastAsia" w:eastAsia="仿宋_GB2312"/>
          <w:sz w:val="36"/>
          <w:szCs w:val="36"/>
          <w:u w:val="single"/>
        </w:rPr>
        <w:t xml:space="preserve">  </w:t>
      </w:r>
      <w:r>
        <w:rPr>
          <w:rFonts w:eastAsia="仿宋_GB2312"/>
          <w:sz w:val="36"/>
          <w:szCs w:val="36"/>
          <w:u w:val="single"/>
        </w:rPr>
        <w:t xml:space="preserve"> </w:t>
      </w:r>
    </w:p>
    <w:p w14:paraId="0A0EA265">
      <w:pPr>
        <w:adjustRightInd w:val="0"/>
        <w:snapToGrid w:val="0"/>
        <w:spacing w:line="288" w:lineRule="auto"/>
        <w:ind w:firstLine="1040"/>
        <w:rPr>
          <w:rFonts w:eastAsia="仿宋_GB2312"/>
          <w:sz w:val="36"/>
          <w:szCs w:val="36"/>
          <w:u w:val="single"/>
        </w:rPr>
      </w:pPr>
      <w:bookmarkStart w:id="0" w:name="_Hlk57884087"/>
    </w:p>
    <w:p w14:paraId="2378EEA4">
      <w:pPr>
        <w:adjustRightInd w:val="0"/>
        <w:snapToGrid w:val="0"/>
        <w:spacing w:line="288" w:lineRule="auto"/>
        <w:ind w:firstLine="1040"/>
        <w:rPr>
          <w:rFonts w:hint="eastAsia" w:eastAsia="仿宋_GB2312"/>
          <w:sz w:val="36"/>
          <w:szCs w:val="36"/>
        </w:rPr>
      </w:pPr>
    </w:p>
    <w:p w14:paraId="6CE86578">
      <w:pPr>
        <w:adjustRightInd w:val="0"/>
        <w:snapToGrid w:val="0"/>
        <w:spacing w:line="288" w:lineRule="auto"/>
        <w:ind w:firstLine="1040"/>
        <w:rPr>
          <w:rFonts w:hint="eastAsia" w:eastAsia="仿宋_GB2312"/>
          <w:sz w:val="36"/>
          <w:szCs w:val="36"/>
        </w:rPr>
      </w:pPr>
    </w:p>
    <w:p w14:paraId="2098839E">
      <w:pPr>
        <w:adjustRightInd w:val="0"/>
        <w:snapToGrid w:val="0"/>
        <w:spacing w:line="288" w:lineRule="auto"/>
        <w:ind w:firstLine="1040"/>
        <w:rPr>
          <w:rFonts w:eastAsia="仿宋_GB2312"/>
          <w:sz w:val="36"/>
          <w:szCs w:val="36"/>
        </w:rPr>
      </w:pPr>
    </w:p>
    <w:bookmarkEnd w:id="0"/>
    <w:p w14:paraId="5D17AA18">
      <w:pPr>
        <w:spacing w:line="288" w:lineRule="auto"/>
        <w:jc w:val="center"/>
        <w:sectPr>
          <w:footerReference r:id="rId3" w:type="default"/>
          <w:pgSz w:w="11906" w:h="16838"/>
          <w:pgMar w:top="1701" w:right="1531" w:bottom="1701" w:left="1531" w:header="851" w:footer="1077" w:gutter="0"/>
          <w:pgBorders>
            <w:top w:val="none" w:sz="0" w:space="0"/>
            <w:left w:val="none" w:sz="0" w:space="0"/>
            <w:bottom w:val="none" w:sz="0" w:space="0"/>
            <w:right w:val="none" w:sz="0" w:space="0"/>
          </w:pgBorders>
          <w:pgNumType w:start="3"/>
          <w:cols w:space="720" w:num="1"/>
          <w:docGrid w:linePitch="312" w:charSpace="0"/>
        </w:sectPr>
      </w:pPr>
      <w:r>
        <w:rPr>
          <w:rFonts w:eastAsia="楷体_GB2312"/>
          <w:sz w:val="36"/>
          <w:szCs w:val="36"/>
        </w:rPr>
        <w:t>中华人民共和国生态环境部制</w:t>
      </w:r>
    </w:p>
    <w:p w14:paraId="4825D895">
      <w:pPr>
        <w:pStyle w:val="34"/>
        <w:spacing w:before="0" w:beforeAutospacing="0" w:after="0" w:afterAutospacing="0" w:line="240" w:lineRule="atLeast"/>
        <w:jc w:val="center"/>
        <w:outlineLvl w:val="0"/>
        <w:rPr>
          <w:rFonts w:ascii="Times New Roman" w:hAnsi="Times New Roman" w:eastAsia="黑体"/>
          <w:snapToGrid w:val="0"/>
          <w:sz w:val="30"/>
          <w:szCs w:val="30"/>
        </w:rPr>
      </w:pPr>
    </w:p>
    <w:p w14:paraId="70539B44">
      <w:pPr>
        <w:pStyle w:val="34"/>
        <w:spacing w:before="0" w:beforeAutospacing="0" w:after="0" w:afterAutospacing="0" w:line="240" w:lineRule="atLeast"/>
        <w:jc w:val="center"/>
        <w:outlineLvl w:val="0"/>
        <w:rPr>
          <w:rFonts w:ascii="Times New Roman" w:hAnsi="Times New Roman" w:eastAsia="黑体"/>
          <w:snapToGrid w:val="0"/>
          <w:sz w:val="30"/>
          <w:szCs w:val="30"/>
        </w:rPr>
      </w:pPr>
      <w:r>
        <w:rPr>
          <w:rFonts w:ascii="Times New Roman" w:hAnsi="Times New Roman" w:eastAsia="黑体"/>
          <w:snapToGrid w:val="0"/>
          <w:sz w:val="30"/>
          <w:szCs w:val="30"/>
        </w:rPr>
        <w:t>一、建设项目基本情况</w:t>
      </w:r>
    </w:p>
    <w:tbl>
      <w:tblPr>
        <w:tblStyle w:val="38"/>
        <w:tblW w:w="903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1136"/>
        <w:gridCol w:w="2282"/>
        <w:gridCol w:w="2329"/>
        <w:gridCol w:w="3285"/>
      </w:tblGrid>
      <w:tr w14:paraId="65A5B6F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136" w:type="dxa"/>
            <w:noWrap w:val="0"/>
            <w:tcMar>
              <w:top w:w="16" w:type="dxa"/>
              <w:left w:w="16" w:type="dxa"/>
              <w:right w:w="16" w:type="dxa"/>
            </w:tcMar>
            <w:vAlign w:val="center"/>
          </w:tcPr>
          <w:p w14:paraId="17C5D1E3">
            <w:pPr>
              <w:keepNext w:val="0"/>
              <w:keepLines w:val="0"/>
              <w:suppressLineNumbers w:val="0"/>
              <w:adjustRightInd w:val="0"/>
              <w:snapToGrid w:val="0"/>
              <w:spacing w:before="0" w:beforeAutospacing="0" w:after="0" w:afterAutospacing="0" w:line="240" w:lineRule="atLeast"/>
              <w:ind w:left="0" w:right="0"/>
              <w:jc w:val="center"/>
              <w:rPr>
                <w:rFonts w:hint="default" w:ascii="Times New Roman" w:hAnsi="Times New Roman" w:eastAsia="宋体" w:cs="Times New Roman"/>
                <w:b/>
                <w:sz w:val="24"/>
              </w:rPr>
            </w:pPr>
            <w:r>
              <w:rPr>
                <w:rFonts w:hint="default" w:ascii="Times New Roman" w:hAnsi="Times New Roman" w:eastAsia="宋体" w:cs="Times New Roman"/>
                <w:b/>
                <w:sz w:val="24"/>
              </w:rPr>
              <w:t>建设项目名称</w:t>
            </w:r>
          </w:p>
        </w:tc>
        <w:tc>
          <w:tcPr>
            <w:tcW w:w="7896" w:type="dxa"/>
            <w:gridSpan w:val="3"/>
            <w:noWrap w:val="0"/>
            <w:vAlign w:val="center"/>
          </w:tcPr>
          <w:p w14:paraId="6EB3FD01">
            <w:pPr>
              <w:keepNext w:val="0"/>
              <w:keepLines w:val="0"/>
              <w:suppressLineNumbers w:val="0"/>
              <w:adjustRightInd w:val="0"/>
              <w:snapToGrid w:val="0"/>
              <w:spacing w:before="0" w:beforeAutospacing="0" w:after="0" w:afterAutospacing="0" w:line="240" w:lineRule="atLeast"/>
              <w:ind w:left="0" w:right="0"/>
              <w:jc w:val="center"/>
              <w:rPr>
                <w:rFonts w:hint="default" w:ascii="Times New Roman" w:hAnsi="Times New Roman" w:eastAsia="宋体" w:cs="Times New Roman"/>
                <w:sz w:val="24"/>
                <w:lang w:eastAsia="zh-CN"/>
              </w:rPr>
            </w:pPr>
            <w:r>
              <w:rPr>
                <w:rFonts w:hint="default" w:ascii="Times New Roman" w:hAnsi="Times New Roman" w:eastAsia="宋体" w:cs="Times New Roman"/>
                <w:color w:val="auto"/>
                <w:sz w:val="24"/>
                <w:lang w:eastAsia="zh-CN"/>
              </w:rPr>
              <w:t>洁净</w:t>
            </w:r>
            <w:r>
              <w:rPr>
                <w:rFonts w:hint="eastAsia" w:cs="Times New Roman"/>
                <w:color w:val="auto"/>
                <w:sz w:val="24"/>
                <w:lang w:eastAsia="zh-CN"/>
              </w:rPr>
              <w:t>车</w:t>
            </w:r>
            <w:r>
              <w:rPr>
                <w:rFonts w:hint="default" w:ascii="Times New Roman" w:hAnsi="Times New Roman" w:eastAsia="宋体" w:cs="Times New Roman"/>
                <w:color w:val="auto"/>
                <w:sz w:val="24"/>
                <w:lang w:eastAsia="zh-CN"/>
              </w:rPr>
              <w:t>间</w:t>
            </w:r>
            <w:r>
              <w:rPr>
                <w:rFonts w:hint="eastAsia" w:cs="Times New Roman"/>
                <w:color w:val="auto"/>
                <w:sz w:val="24"/>
                <w:lang w:eastAsia="zh-CN"/>
              </w:rPr>
              <w:t>建设</w:t>
            </w:r>
            <w:r>
              <w:rPr>
                <w:rFonts w:hint="default" w:ascii="Times New Roman" w:hAnsi="Times New Roman" w:eastAsia="宋体" w:cs="Times New Roman"/>
                <w:color w:val="auto"/>
                <w:sz w:val="24"/>
                <w:lang w:eastAsia="zh-CN"/>
              </w:rPr>
              <w:t>项目</w:t>
            </w:r>
          </w:p>
        </w:tc>
      </w:tr>
      <w:tr w14:paraId="5C88A0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136" w:type="dxa"/>
            <w:noWrap w:val="0"/>
            <w:tcMar>
              <w:top w:w="16" w:type="dxa"/>
              <w:left w:w="16" w:type="dxa"/>
              <w:right w:w="16" w:type="dxa"/>
            </w:tcMar>
            <w:vAlign w:val="center"/>
          </w:tcPr>
          <w:p w14:paraId="549DFE8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 w:val="24"/>
              </w:rPr>
            </w:pPr>
            <w:r>
              <w:rPr>
                <w:rFonts w:hint="default" w:ascii="Times New Roman" w:hAnsi="Times New Roman" w:eastAsia="宋体" w:cs="Times New Roman"/>
                <w:b/>
                <w:sz w:val="24"/>
              </w:rPr>
              <w:t>项目代码</w:t>
            </w:r>
          </w:p>
        </w:tc>
        <w:tc>
          <w:tcPr>
            <w:tcW w:w="7896" w:type="dxa"/>
            <w:gridSpan w:val="3"/>
            <w:noWrap w:val="0"/>
            <w:vAlign w:val="center"/>
          </w:tcPr>
          <w:p w14:paraId="77D77AE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FF0000"/>
                <w:sz w:val="24"/>
                <w:lang w:val="en-US" w:eastAsia="zh-CN"/>
              </w:rPr>
            </w:pPr>
            <w:r>
              <w:rPr>
                <w:rFonts w:hint="eastAsia" w:cs="Times New Roman"/>
                <w:color w:val="auto"/>
                <w:sz w:val="24"/>
                <w:lang w:val="en-US" w:eastAsia="zh-CN"/>
              </w:rPr>
              <w:t>2204-130973-89-05-397672</w:t>
            </w:r>
          </w:p>
        </w:tc>
      </w:tr>
      <w:tr w14:paraId="7161B02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136" w:type="dxa"/>
            <w:noWrap w:val="0"/>
            <w:tcMar>
              <w:top w:w="16" w:type="dxa"/>
              <w:left w:w="16" w:type="dxa"/>
              <w:right w:w="16" w:type="dxa"/>
            </w:tcMar>
            <w:vAlign w:val="center"/>
          </w:tcPr>
          <w:p w14:paraId="4DA451D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 w:val="24"/>
              </w:rPr>
            </w:pPr>
            <w:r>
              <w:rPr>
                <w:rFonts w:hint="default" w:ascii="Times New Roman" w:hAnsi="Times New Roman" w:eastAsia="宋体" w:cs="Times New Roman"/>
                <w:b/>
                <w:sz w:val="24"/>
              </w:rPr>
              <w:t>建设单位联系人</w:t>
            </w:r>
          </w:p>
        </w:tc>
        <w:tc>
          <w:tcPr>
            <w:tcW w:w="2282" w:type="dxa"/>
            <w:noWrap w:val="0"/>
            <w:vAlign w:val="center"/>
          </w:tcPr>
          <w:p w14:paraId="3750F4F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lang w:val="en-US"/>
              </w:rPr>
            </w:pPr>
            <w:r>
              <w:rPr>
                <w:rFonts w:hint="eastAsia" w:ascii="Times New Roman" w:hAnsi="Times New Roman" w:eastAsia="宋体" w:cs="Times New Roman"/>
                <w:color w:val="auto"/>
                <w:sz w:val="24"/>
                <w:lang w:val="en-US" w:eastAsia="zh-CN"/>
              </w:rPr>
              <w:t>柳飞</w:t>
            </w:r>
          </w:p>
        </w:tc>
        <w:tc>
          <w:tcPr>
            <w:tcW w:w="2329" w:type="dxa"/>
            <w:noWrap w:val="0"/>
            <w:vAlign w:val="center"/>
          </w:tcPr>
          <w:p w14:paraId="48658F1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联系方式</w:t>
            </w:r>
          </w:p>
        </w:tc>
        <w:tc>
          <w:tcPr>
            <w:tcW w:w="3285" w:type="dxa"/>
            <w:noWrap w:val="0"/>
            <w:vAlign w:val="center"/>
          </w:tcPr>
          <w:p w14:paraId="63F0B24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lang w:val="en-US"/>
              </w:rPr>
            </w:pPr>
            <w:r>
              <w:rPr>
                <w:rFonts w:hint="eastAsia" w:ascii="Times New Roman" w:hAnsi="Times New Roman" w:eastAsia="宋体" w:cs="Times New Roman"/>
                <w:color w:val="auto"/>
                <w:sz w:val="24"/>
                <w:lang w:val="en-US" w:eastAsia="zh-CN"/>
              </w:rPr>
              <w:t>13520601898</w:t>
            </w:r>
          </w:p>
        </w:tc>
      </w:tr>
      <w:tr w14:paraId="595D2BC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136" w:type="dxa"/>
            <w:noWrap w:val="0"/>
            <w:tcMar>
              <w:top w:w="16" w:type="dxa"/>
              <w:left w:w="16" w:type="dxa"/>
              <w:right w:w="16" w:type="dxa"/>
            </w:tcMar>
            <w:vAlign w:val="center"/>
          </w:tcPr>
          <w:p w14:paraId="53875CA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 w:val="24"/>
              </w:rPr>
            </w:pPr>
            <w:r>
              <w:rPr>
                <w:rFonts w:hint="default" w:ascii="Times New Roman" w:hAnsi="Times New Roman" w:eastAsia="宋体" w:cs="Times New Roman"/>
                <w:b/>
                <w:sz w:val="24"/>
              </w:rPr>
              <w:t>建设地点</w:t>
            </w:r>
          </w:p>
        </w:tc>
        <w:tc>
          <w:tcPr>
            <w:tcW w:w="7896" w:type="dxa"/>
            <w:gridSpan w:val="3"/>
            <w:noWrap w:val="0"/>
            <w:vAlign w:val="center"/>
          </w:tcPr>
          <w:p w14:paraId="0EA2418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4"/>
                <w:lang w:val="en-US" w:eastAsia="zh-CN"/>
              </w:rPr>
            </w:pPr>
            <w:r>
              <w:rPr>
                <w:rFonts w:hint="eastAsia" w:cs="Times New Roman"/>
                <w:sz w:val="24"/>
                <w:lang w:val="en-US" w:eastAsia="zh-CN"/>
              </w:rPr>
              <w:t>沧州市黄骅市沧州临港经济技术开发区</w:t>
            </w:r>
          </w:p>
        </w:tc>
      </w:tr>
      <w:tr w14:paraId="07001DF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136" w:type="dxa"/>
            <w:noWrap w:val="0"/>
            <w:tcMar>
              <w:top w:w="16" w:type="dxa"/>
              <w:left w:w="16" w:type="dxa"/>
              <w:right w:w="16" w:type="dxa"/>
            </w:tcMar>
            <w:vAlign w:val="center"/>
          </w:tcPr>
          <w:p w14:paraId="259FAED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 w:val="24"/>
              </w:rPr>
            </w:pPr>
            <w:r>
              <w:rPr>
                <w:rFonts w:hint="default" w:ascii="Times New Roman" w:hAnsi="Times New Roman" w:eastAsia="宋体" w:cs="Times New Roman"/>
                <w:b/>
                <w:sz w:val="24"/>
              </w:rPr>
              <w:t>地理坐标</w:t>
            </w:r>
          </w:p>
        </w:tc>
        <w:tc>
          <w:tcPr>
            <w:tcW w:w="7896" w:type="dxa"/>
            <w:gridSpan w:val="3"/>
            <w:noWrap w:val="0"/>
            <w:vAlign w:val="center"/>
          </w:tcPr>
          <w:p w14:paraId="3579CBC7">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rPr>
            </w:pPr>
            <w:r>
              <w:rPr>
                <w:rFonts w:hint="default" w:ascii="Times New Roman" w:hAnsi="Times New Roman" w:eastAsia="宋体" w:cs="Times New Roman"/>
                <w:color w:val="auto"/>
                <w:sz w:val="24"/>
              </w:rPr>
              <w:t>（北纬</w:t>
            </w:r>
            <w:r>
              <w:rPr>
                <w:rFonts w:hint="eastAsia" w:ascii="Times New Roman" w:hAnsi="Times New Roman" w:eastAsia="宋体" w:cs="Times New Roman"/>
                <w:color w:val="auto"/>
                <w:sz w:val="24"/>
                <w:u w:val="single"/>
                <w:lang w:val="en-US" w:eastAsia="zh-CN"/>
              </w:rPr>
              <w:t>38</w:t>
            </w:r>
            <w:r>
              <w:rPr>
                <w:rFonts w:hint="default" w:ascii="Times New Roman" w:hAnsi="Times New Roman" w:eastAsia="宋体" w:cs="Times New Roman"/>
                <w:color w:val="auto"/>
                <w:sz w:val="24"/>
              </w:rPr>
              <w:t>度</w:t>
            </w:r>
            <w:r>
              <w:rPr>
                <w:rFonts w:hint="eastAsia" w:ascii="Times New Roman" w:hAnsi="Times New Roman" w:eastAsia="宋体" w:cs="Times New Roman"/>
                <w:color w:val="auto"/>
                <w:sz w:val="24"/>
                <w:u w:val="single"/>
                <w:lang w:val="en-US" w:eastAsia="zh-CN"/>
              </w:rPr>
              <w:t>20</w:t>
            </w:r>
            <w:r>
              <w:rPr>
                <w:rFonts w:hint="default" w:ascii="Times New Roman" w:hAnsi="Times New Roman" w:eastAsia="宋体" w:cs="Times New Roman"/>
                <w:color w:val="auto"/>
                <w:sz w:val="24"/>
              </w:rPr>
              <w:t>分</w:t>
            </w:r>
            <w:r>
              <w:rPr>
                <w:rFonts w:hint="eastAsia" w:ascii="Times New Roman" w:hAnsi="Times New Roman" w:eastAsia="宋体" w:cs="Times New Roman"/>
                <w:color w:val="auto"/>
                <w:sz w:val="24"/>
                <w:u w:val="single"/>
                <w:lang w:val="en-US" w:eastAsia="zh-CN"/>
              </w:rPr>
              <w:t>16.882</w:t>
            </w:r>
            <w:r>
              <w:rPr>
                <w:rFonts w:hint="default" w:ascii="Times New Roman" w:hAnsi="Times New Roman" w:eastAsia="宋体" w:cs="Times New Roman"/>
                <w:color w:val="auto"/>
                <w:sz w:val="24"/>
              </w:rPr>
              <w:t>秒，东经</w:t>
            </w:r>
            <w:r>
              <w:rPr>
                <w:rFonts w:hint="eastAsia" w:ascii="Times New Roman" w:hAnsi="Times New Roman" w:eastAsia="宋体" w:cs="Times New Roman"/>
                <w:color w:val="auto"/>
                <w:sz w:val="24"/>
                <w:u w:val="single"/>
                <w:lang w:val="en-US" w:eastAsia="zh-CN"/>
              </w:rPr>
              <w:t>117</w:t>
            </w:r>
            <w:r>
              <w:rPr>
                <w:rFonts w:hint="default" w:ascii="Times New Roman" w:hAnsi="Times New Roman" w:eastAsia="宋体" w:cs="Times New Roman"/>
                <w:color w:val="auto"/>
                <w:sz w:val="24"/>
              </w:rPr>
              <w:t>度</w:t>
            </w:r>
            <w:r>
              <w:rPr>
                <w:rFonts w:hint="eastAsia" w:ascii="Times New Roman" w:hAnsi="Times New Roman" w:eastAsia="宋体" w:cs="Times New Roman"/>
                <w:color w:val="auto"/>
                <w:sz w:val="24"/>
                <w:u w:val="single"/>
                <w:lang w:val="en-US" w:eastAsia="zh-CN"/>
              </w:rPr>
              <w:t>31</w:t>
            </w:r>
            <w:r>
              <w:rPr>
                <w:rFonts w:hint="default" w:ascii="Times New Roman" w:hAnsi="Times New Roman" w:eastAsia="宋体" w:cs="Times New Roman"/>
                <w:color w:val="auto"/>
                <w:sz w:val="24"/>
              </w:rPr>
              <w:t>分</w:t>
            </w:r>
            <w:r>
              <w:rPr>
                <w:rFonts w:hint="eastAsia" w:ascii="Times New Roman" w:hAnsi="Times New Roman" w:eastAsia="宋体" w:cs="Times New Roman"/>
                <w:color w:val="auto"/>
                <w:sz w:val="24"/>
                <w:u w:val="single"/>
                <w:lang w:val="en-US" w:eastAsia="zh-CN"/>
              </w:rPr>
              <w:t>37.481</w:t>
            </w:r>
            <w:r>
              <w:rPr>
                <w:rFonts w:hint="default" w:ascii="Times New Roman" w:hAnsi="Times New Roman" w:eastAsia="宋体" w:cs="Times New Roman"/>
                <w:color w:val="auto"/>
                <w:sz w:val="24"/>
              </w:rPr>
              <w:t>秒）</w:t>
            </w:r>
          </w:p>
        </w:tc>
      </w:tr>
      <w:tr w14:paraId="000FB6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1" w:hRule="atLeast"/>
          <w:jc w:val="center"/>
        </w:trPr>
        <w:tc>
          <w:tcPr>
            <w:tcW w:w="1136" w:type="dxa"/>
            <w:noWrap w:val="0"/>
            <w:tcMar>
              <w:top w:w="16" w:type="dxa"/>
              <w:left w:w="16" w:type="dxa"/>
              <w:right w:w="16" w:type="dxa"/>
            </w:tcMar>
            <w:vAlign w:val="center"/>
          </w:tcPr>
          <w:p w14:paraId="35AA808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 w:val="24"/>
              </w:rPr>
            </w:pPr>
            <w:r>
              <w:rPr>
                <w:rFonts w:hint="default" w:ascii="Times New Roman" w:hAnsi="Times New Roman" w:eastAsia="宋体" w:cs="Times New Roman"/>
                <w:b/>
                <w:sz w:val="24"/>
              </w:rPr>
              <w:t>国民经济行业类别</w:t>
            </w:r>
          </w:p>
        </w:tc>
        <w:tc>
          <w:tcPr>
            <w:tcW w:w="2282" w:type="dxa"/>
            <w:noWrap w:val="0"/>
            <w:vAlign w:val="center"/>
          </w:tcPr>
          <w:p w14:paraId="4D0F124A">
            <w:pPr>
              <w:pStyle w:val="13"/>
              <w:keepNext w:val="0"/>
              <w:keepLines w:val="0"/>
              <w:suppressLineNumbers w:val="0"/>
              <w:spacing w:before="0" w:beforeAutospacing="0" w:after="0" w:afterAutospacing="0"/>
              <w:ind w:left="0" w:leftChars="0" w:right="0" w:firstLine="0" w:firstLineChars="0"/>
              <w:jc w:val="both"/>
              <w:rPr>
                <w:rFonts w:hint="default" w:cs="Times New Roman"/>
                <w:lang w:val="en-US"/>
              </w:rPr>
            </w:pPr>
            <w:r>
              <w:rPr>
                <w:rFonts w:hint="eastAsia" w:ascii="Times New Roman" w:hAnsi="Times New Roman" w:eastAsia="宋体" w:cs="Times New Roman"/>
                <w:color w:val="auto"/>
                <w:kern w:val="0"/>
                <w:sz w:val="24"/>
                <w:szCs w:val="24"/>
                <w:highlight w:val="none"/>
                <w:lang w:val="en-US" w:eastAsia="zh-CN"/>
              </w:rPr>
              <w:t>C2929塑料零件及其他塑料制品制造</w:t>
            </w:r>
          </w:p>
        </w:tc>
        <w:tc>
          <w:tcPr>
            <w:tcW w:w="2329" w:type="dxa"/>
            <w:noWrap w:val="0"/>
            <w:vAlign w:val="center"/>
          </w:tcPr>
          <w:p w14:paraId="5D6C274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 w:val="24"/>
              </w:rPr>
            </w:pPr>
            <w:bookmarkStart w:id="1" w:name="_Hlk49843745"/>
            <w:r>
              <w:rPr>
                <w:rFonts w:hint="default" w:ascii="Times New Roman" w:hAnsi="Times New Roman" w:eastAsia="宋体" w:cs="Times New Roman"/>
                <w:b/>
                <w:sz w:val="24"/>
              </w:rPr>
              <w:t>建设项目</w:t>
            </w:r>
          </w:p>
          <w:p w14:paraId="4A1D01F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4"/>
                <w:lang w:val="en-US" w:eastAsia="zh-CN"/>
              </w:rPr>
            </w:pPr>
            <w:r>
              <w:rPr>
                <w:rFonts w:hint="default" w:ascii="Times New Roman" w:hAnsi="Times New Roman" w:eastAsia="宋体" w:cs="Times New Roman"/>
                <w:b/>
                <w:sz w:val="24"/>
              </w:rPr>
              <w:t>行业类别</w:t>
            </w:r>
            <w:bookmarkEnd w:id="1"/>
          </w:p>
        </w:tc>
        <w:tc>
          <w:tcPr>
            <w:tcW w:w="3285" w:type="dxa"/>
            <w:noWrap w:val="0"/>
            <w:vAlign w:val="center"/>
          </w:tcPr>
          <w:p w14:paraId="50811639">
            <w:pPr>
              <w:pStyle w:val="13"/>
              <w:keepNext w:val="0"/>
              <w:keepLines w:val="0"/>
              <w:suppressLineNumbers w:val="0"/>
              <w:spacing w:before="0" w:beforeAutospacing="0" w:after="0" w:afterAutospacing="0"/>
              <w:ind w:left="0" w:leftChars="0" w:right="0" w:firstLine="0" w:firstLineChars="0"/>
              <w:jc w:val="both"/>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color w:val="auto"/>
                <w:kern w:val="0"/>
                <w:sz w:val="24"/>
                <w:szCs w:val="24"/>
                <w:lang w:val="en-US" w:eastAsia="zh-CN"/>
              </w:rPr>
              <w:t>二十六、橡胶和塑料制品业29</w:t>
            </w:r>
            <w:r>
              <w:rPr>
                <w:rFonts w:hint="eastAsia" w:ascii="Times New Roman" w:hAnsi="Times New Roman" w:eastAsia="宋体" w:cs="Times New Roman"/>
                <w:color w:val="auto"/>
                <w:kern w:val="0"/>
                <w:sz w:val="24"/>
                <w:szCs w:val="24"/>
                <w:lang w:val="en-US" w:eastAsia="zh-CN"/>
              </w:rPr>
              <w:t>-</w:t>
            </w:r>
            <w:r>
              <w:rPr>
                <w:rFonts w:hint="default" w:ascii="Times New Roman" w:hAnsi="Times New Roman" w:eastAsia="宋体" w:cs="Times New Roman"/>
                <w:color w:val="auto"/>
                <w:kern w:val="0"/>
                <w:sz w:val="24"/>
                <w:szCs w:val="24"/>
                <w:lang w:val="en-US" w:eastAsia="zh-CN"/>
              </w:rPr>
              <w:t>53、塑料制品业292</w:t>
            </w:r>
            <w:r>
              <w:rPr>
                <w:rFonts w:hint="eastAsia" w:ascii="Times New Roman" w:hAnsi="Times New Roman" w:eastAsia="宋体" w:cs="Times New Roman"/>
                <w:color w:val="auto"/>
                <w:kern w:val="0"/>
                <w:sz w:val="24"/>
                <w:szCs w:val="24"/>
                <w:lang w:val="en-US" w:eastAsia="zh-CN"/>
              </w:rPr>
              <w:t>-</w:t>
            </w:r>
            <w:r>
              <w:rPr>
                <w:rFonts w:hint="default" w:ascii="Times New Roman" w:hAnsi="Times New Roman" w:eastAsia="宋体" w:cs="Times New Roman"/>
                <w:color w:val="auto"/>
                <w:kern w:val="0"/>
                <w:sz w:val="24"/>
                <w:szCs w:val="24"/>
                <w:lang w:val="en-US" w:eastAsia="zh-CN"/>
              </w:rPr>
              <w:t>其他（年用非溶剂型低VOC</w:t>
            </w:r>
            <w:r>
              <w:rPr>
                <w:rFonts w:hint="default" w:ascii="Times New Roman" w:hAnsi="Times New Roman" w:eastAsia="宋体" w:cs="Times New Roman"/>
                <w:color w:val="auto"/>
                <w:kern w:val="0"/>
                <w:sz w:val="24"/>
                <w:szCs w:val="24"/>
                <w:vertAlign w:val="subscript"/>
                <w:lang w:val="en-US" w:eastAsia="zh-CN"/>
              </w:rPr>
              <w:t>S</w:t>
            </w:r>
            <w:r>
              <w:rPr>
                <w:rFonts w:hint="default" w:ascii="Times New Roman" w:hAnsi="Times New Roman" w:eastAsia="宋体" w:cs="Times New Roman"/>
                <w:color w:val="auto"/>
                <w:kern w:val="0"/>
                <w:sz w:val="24"/>
                <w:szCs w:val="24"/>
                <w:lang w:val="en-US" w:eastAsia="zh-CN"/>
              </w:rPr>
              <w:t>含量涂料10吨以下的除外）</w:t>
            </w:r>
            <w:r>
              <w:rPr>
                <w:rFonts w:hint="eastAsia" w:ascii="Times New Roman" w:hAnsi="Times New Roman" w:eastAsia="宋体" w:cs="Times New Roman"/>
                <w:color w:val="auto"/>
                <w:kern w:val="0"/>
                <w:sz w:val="24"/>
                <w:szCs w:val="24"/>
                <w:lang w:val="en-US" w:eastAsia="zh-CN"/>
              </w:rPr>
              <w:t>；二十、印刷和记录媒介复制业23-39、印刷231-其他（激光印刷除外；年用低VOC</w:t>
            </w:r>
            <w:r>
              <w:rPr>
                <w:rFonts w:hint="eastAsia" w:ascii="Times New Roman" w:hAnsi="Times New Roman" w:eastAsia="宋体" w:cs="Times New Roman"/>
                <w:color w:val="auto"/>
                <w:kern w:val="0"/>
                <w:sz w:val="24"/>
                <w:szCs w:val="24"/>
                <w:vertAlign w:val="subscript"/>
                <w:lang w:val="en-US" w:eastAsia="zh-CN"/>
              </w:rPr>
              <w:t>S</w:t>
            </w:r>
            <w:r>
              <w:rPr>
                <w:rFonts w:hint="eastAsia" w:ascii="Times New Roman" w:hAnsi="Times New Roman" w:eastAsia="宋体" w:cs="Times New Roman"/>
                <w:color w:val="auto"/>
                <w:kern w:val="0"/>
                <w:sz w:val="24"/>
                <w:szCs w:val="24"/>
                <w:lang w:val="en-US" w:eastAsia="zh-CN"/>
              </w:rPr>
              <w:t>含量油墨10吨以下的印刷除外）</w:t>
            </w:r>
          </w:p>
        </w:tc>
      </w:tr>
      <w:tr w14:paraId="22E57F1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1136" w:type="dxa"/>
            <w:noWrap w:val="0"/>
            <w:tcMar>
              <w:top w:w="16" w:type="dxa"/>
              <w:left w:w="16" w:type="dxa"/>
              <w:right w:w="16" w:type="dxa"/>
            </w:tcMar>
            <w:vAlign w:val="center"/>
          </w:tcPr>
          <w:p w14:paraId="72EA9D5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 w:val="24"/>
              </w:rPr>
            </w:pPr>
            <w:r>
              <w:rPr>
                <w:rFonts w:hint="default" w:ascii="Times New Roman" w:hAnsi="Times New Roman" w:eastAsia="宋体" w:cs="Times New Roman"/>
                <w:b/>
                <w:sz w:val="24"/>
              </w:rPr>
              <w:t>建设性质</w:t>
            </w:r>
          </w:p>
        </w:tc>
        <w:tc>
          <w:tcPr>
            <w:tcW w:w="2282" w:type="dxa"/>
            <w:noWrap w:val="0"/>
            <w:vAlign w:val="center"/>
          </w:tcPr>
          <w:p w14:paraId="1F4C0259">
            <w:pPr>
              <w:keepNext w:val="0"/>
              <w:keepLines w:val="0"/>
              <w:suppressLineNumbers w:val="0"/>
              <w:spacing w:before="0" w:beforeAutospacing="0" w:after="0" w:afterAutospacing="0"/>
              <w:ind w:left="0" w:right="0"/>
              <w:jc w:val="left"/>
              <w:rPr>
                <w:rFonts w:hint="default" w:ascii="Times New Roman" w:hAnsi="Times New Roman" w:eastAsia="宋体" w:cs="Times New Roman"/>
                <w:sz w:val="24"/>
              </w:rPr>
            </w:pPr>
            <w:r>
              <w:rPr>
                <w:rFonts w:hint="default" w:ascii="Times New Roman" w:hAnsi="Times New Roman" w:eastAsia="宋体" w:cs="Times New Roman"/>
                <w:sz w:val="24"/>
              </w:rPr>
              <w:sym w:font="Wingdings" w:char="00A8"/>
            </w:r>
            <w:r>
              <w:rPr>
                <w:rFonts w:hint="default" w:ascii="Times New Roman" w:hAnsi="Times New Roman" w:eastAsia="宋体" w:cs="Times New Roman"/>
                <w:sz w:val="24"/>
              </w:rPr>
              <w:t>新建（迁建）</w:t>
            </w:r>
          </w:p>
          <w:p w14:paraId="2D4EAB8C">
            <w:pPr>
              <w:keepNext w:val="0"/>
              <w:keepLines w:val="0"/>
              <w:suppressLineNumbers w:val="0"/>
              <w:spacing w:before="0" w:beforeAutospacing="0" w:after="0" w:afterAutospacing="0"/>
              <w:ind w:left="0" w:right="0"/>
              <w:jc w:val="left"/>
              <w:rPr>
                <w:rFonts w:hint="default" w:ascii="Times New Roman" w:hAnsi="Times New Roman" w:eastAsia="宋体" w:cs="Times New Roman"/>
                <w:sz w:val="24"/>
              </w:rPr>
            </w:pPr>
            <w:r>
              <w:rPr>
                <w:rFonts w:hint="default" w:ascii="Times New Roman" w:hAnsi="Times New Roman" w:eastAsia="宋体" w:cs="Times New Roman"/>
                <w:sz w:val="24"/>
              </w:rPr>
              <w:sym w:font="Wingdings" w:char="00A8"/>
            </w:r>
            <w:r>
              <w:rPr>
                <w:rFonts w:hint="default" w:ascii="Times New Roman" w:hAnsi="Times New Roman" w:eastAsia="宋体" w:cs="Times New Roman"/>
                <w:sz w:val="24"/>
              </w:rPr>
              <w:t>改建</w:t>
            </w:r>
          </w:p>
          <w:p w14:paraId="43763F2B">
            <w:pPr>
              <w:keepNext w:val="0"/>
              <w:keepLines w:val="0"/>
              <w:suppressLineNumbers w:val="0"/>
              <w:spacing w:before="0" w:beforeAutospacing="0" w:after="0" w:afterAutospacing="0"/>
              <w:ind w:left="0" w:right="0"/>
              <w:jc w:val="left"/>
              <w:rPr>
                <w:rFonts w:hint="default" w:ascii="Times New Roman" w:hAnsi="Times New Roman" w:eastAsia="宋体" w:cs="Times New Roman"/>
                <w:sz w:val="24"/>
              </w:rPr>
            </w:pPr>
            <w:r>
              <w:rPr>
                <w:rFonts w:hint="default" w:ascii="Times New Roman" w:hAnsi="Times New Roman" w:eastAsia="宋体" w:cs="Times New Roman"/>
                <w:sz w:val="24"/>
              </w:rPr>
              <w:sym w:font="Wingdings" w:char="00A8"/>
            </w:r>
            <w:r>
              <w:rPr>
                <w:rFonts w:hint="default" w:ascii="Times New Roman" w:hAnsi="Times New Roman" w:eastAsia="宋体" w:cs="Times New Roman"/>
                <w:sz w:val="24"/>
              </w:rPr>
              <w:t>扩建</w:t>
            </w:r>
          </w:p>
          <w:p w14:paraId="016DFF86">
            <w:pPr>
              <w:keepNext w:val="0"/>
              <w:keepLines w:val="0"/>
              <w:suppressLineNumbers w:val="0"/>
              <w:spacing w:before="0" w:beforeAutospacing="0" w:after="0" w:afterAutospacing="0"/>
              <w:ind w:left="0" w:right="0"/>
              <w:jc w:val="left"/>
              <w:rPr>
                <w:rFonts w:hint="default" w:ascii="Times New Roman" w:hAnsi="Times New Roman" w:eastAsia="宋体" w:cs="Times New Roman"/>
                <w:sz w:val="24"/>
              </w:rPr>
            </w:pPr>
            <w:r>
              <w:rPr>
                <w:rFonts w:hint="eastAsia" w:ascii="Times New Roman" w:hAnsi="Times New Roman" w:eastAsia="宋体" w:cs="Times New Roman"/>
                <w:sz w:val="24"/>
                <w:lang w:eastAsia="zh-CN"/>
              </w:rPr>
              <w:t>☑</w:t>
            </w:r>
            <w:r>
              <w:rPr>
                <w:rFonts w:hint="default" w:ascii="Times New Roman" w:hAnsi="Times New Roman" w:eastAsia="宋体" w:cs="Times New Roman"/>
                <w:sz w:val="24"/>
              </w:rPr>
              <w:t>技术改造</w:t>
            </w:r>
          </w:p>
        </w:tc>
        <w:tc>
          <w:tcPr>
            <w:tcW w:w="2329" w:type="dxa"/>
            <w:noWrap w:val="0"/>
            <w:vAlign w:val="center"/>
          </w:tcPr>
          <w:p w14:paraId="74C2F60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 w:val="24"/>
              </w:rPr>
            </w:pPr>
            <w:r>
              <w:rPr>
                <w:rFonts w:hint="default" w:ascii="Times New Roman" w:hAnsi="Times New Roman" w:eastAsia="宋体" w:cs="Times New Roman"/>
                <w:b/>
                <w:sz w:val="24"/>
              </w:rPr>
              <w:t>建设项目</w:t>
            </w:r>
          </w:p>
          <w:p w14:paraId="66AF462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4"/>
              </w:rPr>
            </w:pPr>
            <w:r>
              <w:rPr>
                <w:rFonts w:hint="default" w:ascii="Times New Roman" w:hAnsi="Times New Roman" w:eastAsia="宋体" w:cs="Times New Roman"/>
                <w:b/>
                <w:sz w:val="24"/>
              </w:rPr>
              <w:t>申报情形</w:t>
            </w:r>
          </w:p>
        </w:tc>
        <w:tc>
          <w:tcPr>
            <w:tcW w:w="3285" w:type="dxa"/>
            <w:noWrap w:val="0"/>
            <w:vAlign w:val="center"/>
          </w:tcPr>
          <w:p w14:paraId="52018B15">
            <w:pPr>
              <w:keepNext w:val="0"/>
              <w:keepLines w:val="0"/>
              <w:suppressLineNumbers w:val="0"/>
              <w:spacing w:before="0" w:beforeAutospacing="0" w:after="0" w:afterAutospacing="0"/>
              <w:ind w:left="0" w:right="0"/>
              <w:jc w:val="left"/>
              <w:rPr>
                <w:rFonts w:hint="eastAsia" w:ascii="Times New Roman" w:hAnsi="Times New Roman" w:eastAsia="宋体" w:cs="Times New Roman"/>
                <w:sz w:val="24"/>
                <w:lang w:eastAsia="zh-CN"/>
              </w:rPr>
            </w:pPr>
            <w:r>
              <w:rPr>
                <w:rFonts w:hint="default" w:ascii="Times New Roman" w:hAnsi="Times New Roman" w:eastAsia="宋体" w:cs="Times New Roman"/>
                <w:sz w:val="24"/>
              </w:rPr>
              <w:sym w:font="Wingdings" w:char="F0FE"/>
            </w:r>
            <w:r>
              <w:rPr>
                <w:rFonts w:hint="default" w:ascii="Times New Roman" w:hAnsi="Times New Roman" w:eastAsia="宋体" w:cs="Times New Roman"/>
                <w:sz w:val="24"/>
              </w:rPr>
              <w:t>首次申报项目</w:t>
            </w:r>
          </w:p>
          <w:p w14:paraId="160679D6">
            <w:pPr>
              <w:keepNext w:val="0"/>
              <w:keepLines w:val="0"/>
              <w:suppressLineNumbers w:val="0"/>
              <w:spacing w:before="0" w:beforeAutospacing="0" w:after="0" w:afterAutospacing="0"/>
              <w:ind w:left="0" w:right="0"/>
              <w:jc w:val="left"/>
              <w:rPr>
                <w:rFonts w:hint="default" w:ascii="Times New Roman" w:hAnsi="Times New Roman" w:eastAsia="宋体" w:cs="Times New Roman"/>
                <w:sz w:val="24"/>
              </w:rPr>
            </w:pPr>
            <w:r>
              <w:rPr>
                <w:rFonts w:hint="default" w:ascii="Times New Roman" w:hAnsi="Times New Roman" w:eastAsia="宋体" w:cs="Times New Roman"/>
                <w:sz w:val="24"/>
              </w:rPr>
              <w:t>□不予批准后再次申报项目</w:t>
            </w:r>
          </w:p>
          <w:p w14:paraId="02DCA48B">
            <w:pPr>
              <w:keepNext w:val="0"/>
              <w:keepLines w:val="0"/>
              <w:suppressLineNumbers w:val="0"/>
              <w:spacing w:before="0" w:beforeAutospacing="0" w:after="0" w:afterAutospacing="0"/>
              <w:ind w:left="0" w:right="0"/>
              <w:jc w:val="left"/>
              <w:rPr>
                <w:rFonts w:hint="eastAsia" w:ascii="Times New Roman" w:hAnsi="Times New Roman" w:eastAsia="宋体" w:cs="Times New Roman"/>
                <w:sz w:val="24"/>
                <w:lang w:eastAsia="zh-CN"/>
              </w:rPr>
            </w:pPr>
            <w:r>
              <w:rPr>
                <w:rFonts w:hint="default" w:ascii="Times New Roman" w:hAnsi="Times New Roman" w:eastAsia="宋体" w:cs="Times New Roman"/>
                <w:sz w:val="24"/>
              </w:rPr>
              <w:t>□超五年重新审核项目</w:t>
            </w:r>
          </w:p>
          <w:p w14:paraId="3D993CE8">
            <w:pPr>
              <w:keepNext w:val="0"/>
              <w:keepLines w:val="0"/>
              <w:suppressLineNumbers w:val="0"/>
              <w:spacing w:before="0" w:beforeAutospacing="0" w:after="0" w:afterAutospacing="0"/>
              <w:ind w:left="0" w:right="0"/>
              <w:jc w:val="left"/>
              <w:rPr>
                <w:rFonts w:hint="default" w:ascii="Times New Roman" w:hAnsi="Times New Roman" w:eastAsia="宋体" w:cs="Times New Roman"/>
                <w:sz w:val="24"/>
              </w:rPr>
            </w:pPr>
            <w:r>
              <w:rPr>
                <w:rFonts w:hint="default" w:ascii="Times New Roman" w:hAnsi="Times New Roman" w:eastAsia="宋体" w:cs="Times New Roman"/>
                <w:sz w:val="24"/>
              </w:rPr>
              <w:t>□重大变动重新报批项目</w:t>
            </w:r>
          </w:p>
        </w:tc>
      </w:tr>
      <w:tr w14:paraId="1CA5D75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136" w:type="dxa"/>
            <w:noWrap w:val="0"/>
            <w:tcMar>
              <w:top w:w="16" w:type="dxa"/>
              <w:left w:w="16" w:type="dxa"/>
              <w:right w:w="16" w:type="dxa"/>
            </w:tcMar>
            <w:vAlign w:val="center"/>
          </w:tcPr>
          <w:p w14:paraId="07A0CCA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 w:val="24"/>
              </w:rPr>
            </w:pPr>
            <w:r>
              <w:rPr>
                <w:rFonts w:hint="default" w:ascii="Times New Roman" w:hAnsi="Times New Roman" w:eastAsia="宋体" w:cs="Times New Roman"/>
                <w:b/>
                <w:sz w:val="24"/>
              </w:rPr>
              <w:t>项目审批（核准/</w:t>
            </w:r>
          </w:p>
          <w:p w14:paraId="71094EE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4"/>
              </w:rPr>
            </w:pPr>
            <w:r>
              <w:rPr>
                <w:rFonts w:hint="default" w:ascii="Times New Roman" w:hAnsi="Times New Roman" w:eastAsia="宋体" w:cs="Times New Roman"/>
                <w:b/>
                <w:sz w:val="24"/>
              </w:rPr>
              <w:t>备案）部门</w:t>
            </w:r>
          </w:p>
        </w:tc>
        <w:tc>
          <w:tcPr>
            <w:tcW w:w="2282" w:type="dxa"/>
            <w:noWrap w:val="0"/>
            <w:vAlign w:val="center"/>
          </w:tcPr>
          <w:p w14:paraId="6BB7BF9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FF0000"/>
                <w:sz w:val="24"/>
                <w:lang w:val="en-US"/>
              </w:rPr>
            </w:pPr>
            <w:r>
              <w:rPr>
                <w:rFonts w:hint="eastAsia" w:cs="Times New Roman"/>
                <w:color w:val="auto"/>
                <w:sz w:val="24"/>
                <w:highlight w:val="none"/>
                <w:lang w:val="en-US" w:eastAsia="zh-CN"/>
              </w:rPr>
              <w:t>沧州临港经济技术开发区经济发展局</w:t>
            </w:r>
          </w:p>
        </w:tc>
        <w:tc>
          <w:tcPr>
            <w:tcW w:w="2329" w:type="dxa"/>
            <w:noWrap w:val="0"/>
            <w:vAlign w:val="center"/>
          </w:tcPr>
          <w:p w14:paraId="79960C2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项目审批</w:t>
            </w:r>
          </w:p>
          <w:p w14:paraId="7ACED16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FF0000"/>
                <w:sz w:val="24"/>
              </w:rPr>
            </w:pPr>
            <w:r>
              <w:rPr>
                <w:rFonts w:hint="default" w:ascii="Times New Roman" w:hAnsi="Times New Roman" w:eastAsia="宋体" w:cs="Times New Roman"/>
                <w:b/>
                <w:color w:val="auto"/>
                <w:sz w:val="24"/>
              </w:rPr>
              <w:t>文号</w:t>
            </w:r>
          </w:p>
        </w:tc>
        <w:tc>
          <w:tcPr>
            <w:tcW w:w="3285" w:type="dxa"/>
            <w:noWrap w:val="0"/>
            <w:vAlign w:val="center"/>
          </w:tcPr>
          <w:p w14:paraId="54C07D6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FF0000"/>
                <w:sz w:val="24"/>
                <w:highlight w:val="none"/>
                <w:lang w:val="en-US" w:eastAsia="zh-CN"/>
              </w:rPr>
            </w:pPr>
            <w:r>
              <w:rPr>
                <w:rFonts w:hint="eastAsia" w:cs="Times New Roman"/>
                <w:color w:val="auto"/>
                <w:sz w:val="24"/>
                <w:highlight w:val="none"/>
                <w:lang w:val="en-US" w:eastAsia="zh-CN"/>
              </w:rPr>
              <w:t>沧港经</w:t>
            </w:r>
            <w:r>
              <w:rPr>
                <w:rFonts w:hint="eastAsia" w:ascii="Times New Roman" w:hAnsi="Times New Roman" w:eastAsia="宋体" w:cs="Times New Roman"/>
                <w:color w:val="auto"/>
                <w:sz w:val="24"/>
                <w:highlight w:val="none"/>
                <w:lang w:val="en-US" w:eastAsia="zh-CN"/>
              </w:rPr>
              <w:t>备字〔2025〕</w:t>
            </w:r>
            <w:r>
              <w:rPr>
                <w:rFonts w:hint="eastAsia" w:cs="Times New Roman"/>
                <w:color w:val="auto"/>
                <w:sz w:val="24"/>
                <w:highlight w:val="none"/>
                <w:lang w:val="en-US" w:eastAsia="zh-CN"/>
              </w:rPr>
              <w:t>75</w:t>
            </w:r>
            <w:r>
              <w:rPr>
                <w:rFonts w:hint="eastAsia" w:ascii="Times New Roman" w:hAnsi="Times New Roman" w:eastAsia="宋体" w:cs="Times New Roman"/>
                <w:color w:val="auto"/>
                <w:sz w:val="24"/>
                <w:highlight w:val="none"/>
                <w:lang w:val="en-US" w:eastAsia="zh-CN"/>
              </w:rPr>
              <w:t>号</w:t>
            </w:r>
          </w:p>
        </w:tc>
      </w:tr>
      <w:tr w14:paraId="11D4976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136" w:type="dxa"/>
            <w:noWrap w:val="0"/>
            <w:tcMar>
              <w:top w:w="16" w:type="dxa"/>
              <w:left w:w="16" w:type="dxa"/>
              <w:right w:w="16" w:type="dxa"/>
            </w:tcMar>
            <w:vAlign w:val="center"/>
          </w:tcPr>
          <w:p w14:paraId="14CCD4D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 w:val="24"/>
              </w:rPr>
            </w:pPr>
            <w:r>
              <w:rPr>
                <w:rFonts w:hint="default" w:ascii="Times New Roman" w:hAnsi="Times New Roman" w:eastAsia="宋体" w:cs="Times New Roman"/>
                <w:b/>
                <w:sz w:val="24"/>
              </w:rPr>
              <w:t>总投资（万元）</w:t>
            </w:r>
          </w:p>
        </w:tc>
        <w:tc>
          <w:tcPr>
            <w:tcW w:w="2282" w:type="dxa"/>
            <w:noWrap w:val="0"/>
            <w:vAlign w:val="center"/>
          </w:tcPr>
          <w:p w14:paraId="4F898AF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400</w:t>
            </w:r>
          </w:p>
        </w:tc>
        <w:tc>
          <w:tcPr>
            <w:tcW w:w="2329" w:type="dxa"/>
            <w:noWrap w:val="0"/>
            <w:tcMar>
              <w:top w:w="16" w:type="dxa"/>
              <w:left w:w="16" w:type="dxa"/>
              <w:right w:w="16" w:type="dxa"/>
            </w:tcMar>
            <w:vAlign w:val="center"/>
          </w:tcPr>
          <w:p w14:paraId="02B45AA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 w:val="24"/>
              </w:rPr>
            </w:pPr>
            <w:r>
              <w:rPr>
                <w:rFonts w:hint="default" w:ascii="Times New Roman" w:hAnsi="Times New Roman" w:eastAsia="宋体" w:cs="Times New Roman"/>
                <w:b/>
                <w:sz w:val="24"/>
              </w:rPr>
              <w:t>环保投资（万元）</w:t>
            </w:r>
          </w:p>
        </w:tc>
        <w:tc>
          <w:tcPr>
            <w:tcW w:w="3285" w:type="dxa"/>
            <w:noWrap w:val="0"/>
            <w:vAlign w:val="center"/>
          </w:tcPr>
          <w:p w14:paraId="794E631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4"/>
                <w:lang w:val="en-US"/>
              </w:rPr>
            </w:pPr>
            <w:r>
              <w:rPr>
                <w:rFonts w:hint="default" w:ascii="Times New Roman" w:hAnsi="Times New Roman" w:eastAsia="宋体" w:cs="Times New Roman"/>
                <w:sz w:val="24"/>
                <w:lang w:val="en-US" w:eastAsia="zh-CN"/>
              </w:rPr>
              <w:t>10</w:t>
            </w:r>
          </w:p>
        </w:tc>
      </w:tr>
      <w:tr w14:paraId="609358E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136" w:type="dxa"/>
            <w:noWrap w:val="0"/>
            <w:tcMar>
              <w:top w:w="16" w:type="dxa"/>
              <w:left w:w="16" w:type="dxa"/>
              <w:right w:w="16" w:type="dxa"/>
            </w:tcMar>
            <w:vAlign w:val="center"/>
          </w:tcPr>
          <w:p w14:paraId="3933A27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 w:val="24"/>
              </w:rPr>
            </w:pPr>
            <w:r>
              <w:rPr>
                <w:rFonts w:hint="default" w:ascii="Times New Roman" w:hAnsi="Times New Roman" w:eastAsia="宋体" w:cs="Times New Roman"/>
                <w:b/>
                <w:sz w:val="24"/>
              </w:rPr>
              <w:t>环保投资占比（%）</w:t>
            </w:r>
          </w:p>
        </w:tc>
        <w:tc>
          <w:tcPr>
            <w:tcW w:w="2282" w:type="dxa"/>
            <w:noWrap w:val="0"/>
            <w:vAlign w:val="center"/>
          </w:tcPr>
          <w:p w14:paraId="53B696B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2.5</w:t>
            </w:r>
          </w:p>
        </w:tc>
        <w:tc>
          <w:tcPr>
            <w:tcW w:w="2329" w:type="dxa"/>
            <w:noWrap w:val="0"/>
            <w:tcMar>
              <w:top w:w="16" w:type="dxa"/>
              <w:left w:w="16" w:type="dxa"/>
              <w:right w:w="16" w:type="dxa"/>
            </w:tcMar>
            <w:vAlign w:val="center"/>
          </w:tcPr>
          <w:p w14:paraId="7E93030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 w:val="24"/>
              </w:rPr>
            </w:pPr>
            <w:r>
              <w:rPr>
                <w:rFonts w:hint="default" w:ascii="Times New Roman" w:hAnsi="Times New Roman" w:eastAsia="宋体" w:cs="Times New Roman"/>
                <w:b/>
                <w:sz w:val="24"/>
              </w:rPr>
              <w:t>施工工期</w:t>
            </w:r>
          </w:p>
        </w:tc>
        <w:tc>
          <w:tcPr>
            <w:tcW w:w="3285" w:type="dxa"/>
            <w:noWrap w:val="0"/>
            <w:vAlign w:val="center"/>
          </w:tcPr>
          <w:p w14:paraId="7596F3F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4"/>
              </w:rPr>
            </w:pPr>
            <w:r>
              <w:rPr>
                <w:rFonts w:hint="default" w:ascii="Times New Roman" w:hAnsi="Times New Roman" w:eastAsia="宋体" w:cs="Times New Roman"/>
                <w:sz w:val="24"/>
                <w:lang w:val="en-US" w:eastAsia="zh-CN"/>
              </w:rPr>
              <w:t>2</w:t>
            </w:r>
            <w:r>
              <w:rPr>
                <w:rFonts w:hint="default" w:ascii="Times New Roman" w:hAnsi="Times New Roman" w:eastAsia="宋体" w:cs="Times New Roman"/>
                <w:sz w:val="24"/>
              </w:rPr>
              <w:t>个月</w:t>
            </w:r>
          </w:p>
        </w:tc>
      </w:tr>
      <w:tr w14:paraId="7C34128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714" w:hRule="atLeast"/>
          <w:jc w:val="center"/>
        </w:trPr>
        <w:tc>
          <w:tcPr>
            <w:tcW w:w="1136" w:type="dxa"/>
            <w:noWrap w:val="0"/>
            <w:tcMar>
              <w:top w:w="16" w:type="dxa"/>
              <w:left w:w="16" w:type="dxa"/>
              <w:right w:w="16" w:type="dxa"/>
            </w:tcMar>
            <w:vAlign w:val="center"/>
          </w:tcPr>
          <w:p w14:paraId="1638CCB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 w:val="24"/>
              </w:rPr>
            </w:pPr>
            <w:r>
              <w:rPr>
                <w:rFonts w:hint="default" w:ascii="Times New Roman" w:hAnsi="Times New Roman" w:eastAsia="宋体" w:cs="Times New Roman"/>
                <w:b/>
                <w:sz w:val="24"/>
              </w:rPr>
              <w:t>是否开工建设</w:t>
            </w:r>
          </w:p>
        </w:tc>
        <w:tc>
          <w:tcPr>
            <w:tcW w:w="2282" w:type="dxa"/>
            <w:noWrap w:val="0"/>
            <w:vAlign w:val="center"/>
          </w:tcPr>
          <w:p w14:paraId="24D11A8E">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sz w:val="24"/>
              </w:rPr>
            </w:pPr>
            <w:r>
              <w:rPr>
                <w:rFonts w:hint="default" w:ascii="Times New Roman" w:hAnsi="Times New Roman" w:eastAsia="宋体" w:cs="Times New Roman"/>
                <w:sz w:val="24"/>
              </w:rPr>
              <w:sym w:font="Wingdings" w:char="F0FE"/>
            </w:r>
            <w:r>
              <w:rPr>
                <w:rFonts w:hint="default" w:ascii="Times New Roman" w:hAnsi="Times New Roman" w:eastAsia="宋体" w:cs="Times New Roman"/>
                <w:sz w:val="24"/>
              </w:rPr>
              <w:t>否</w:t>
            </w:r>
          </w:p>
          <w:p w14:paraId="784B8BF4">
            <w:pPr>
              <w:keepNext w:val="0"/>
              <w:keepLines w:val="0"/>
              <w:suppressLineNumbers w:val="0"/>
              <w:adjustRightInd w:val="0"/>
              <w:snapToGrid w:val="0"/>
              <w:spacing w:before="0" w:beforeAutospacing="0" w:after="0" w:afterAutospacing="0"/>
              <w:ind w:left="0" w:right="0"/>
              <w:rPr>
                <w:rFonts w:hint="eastAsia" w:ascii="Times New Roman" w:hAnsi="Times New Roman" w:eastAsia="宋体" w:cs="Times New Roman"/>
                <w:sz w:val="24"/>
                <w:lang w:eastAsia="zh-CN"/>
              </w:rPr>
            </w:pPr>
            <w:r>
              <w:rPr>
                <w:rFonts w:hint="default" w:ascii="Times New Roman" w:hAnsi="Times New Roman" w:eastAsia="宋体" w:cs="Times New Roman"/>
                <w:sz w:val="24"/>
              </w:rPr>
              <w:t>□是：</w:t>
            </w:r>
            <w:r>
              <w:rPr>
                <w:rFonts w:hint="default" w:ascii="Times New Roman" w:hAnsi="Times New Roman" w:eastAsia="宋体" w:cs="Times New Roman"/>
                <w:sz w:val="24"/>
                <w:u w:val="single"/>
              </w:rPr>
              <w:t xml:space="preserve">             </w:t>
            </w:r>
          </w:p>
        </w:tc>
        <w:tc>
          <w:tcPr>
            <w:tcW w:w="2329" w:type="dxa"/>
            <w:noWrap w:val="0"/>
            <w:tcMar>
              <w:top w:w="16" w:type="dxa"/>
              <w:left w:w="16" w:type="dxa"/>
              <w:right w:w="16" w:type="dxa"/>
            </w:tcMar>
            <w:vAlign w:val="center"/>
          </w:tcPr>
          <w:p w14:paraId="1B659D4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pacing w:val="-6"/>
                <w:sz w:val="24"/>
              </w:rPr>
            </w:pPr>
            <w:r>
              <w:rPr>
                <w:rFonts w:hint="default" w:ascii="Times New Roman" w:hAnsi="Times New Roman" w:eastAsia="宋体" w:cs="Times New Roman"/>
                <w:b/>
                <w:spacing w:val="-6"/>
                <w:sz w:val="24"/>
              </w:rPr>
              <w:t>用地面积（m</w:t>
            </w:r>
            <w:r>
              <w:rPr>
                <w:rFonts w:hint="default" w:ascii="Times New Roman" w:hAnsi="Times New Roman" w:eastAsia="宋体" w:cs="Times New Roman"/>
                <w:b/>
                <w:spacing w:val="-6"/>
                <w:sz w:val="24"/>
                <w:vertAlign w:val="superscript"/>
              </w:rPr>
              <w:t>2</w:t>
            </w:r>
            <w:r>
              <w:rPr>
                <w:rFonts w:hint="default" w:ascii="Times New Roman" w:hAnsi="Times New Roman" w:eastAsia="宋体" w:cs="Times New Roman"/>
                <w:b/>
                <w:spacing w:val="-6"/>
                <w:sz w:val="24"/>
              </w:rPr>
              <w:t>）</w:t>
            </w:r>
          </w:p>
        </w:tc>
        <w:tc>
          <w:tcPr>
            <w:tcW w:w="3285" w:type="dxa"/>
            <w:noWrap w:val="0"/>
            <w:vAlign w:val="center"/>
          </w:tcPr>
          <w:p w14:paraId="19AE189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highlight w:val="none"/>
                <w:lang w:val="en-US" w:eastAsia="zh-CN"/>
              </w:rPr>
              <w:t>0（利用原有厂区不新增用地）</w:t>
            </w:r>
          </w:p>
        </w:tc>
      </w:tr>
      <w:tr w14:paraId="13C7F1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72" w:hRule="atLeast"/>
          <w:jc w:val="center"/>
        </w:trPr>
        <w:tc>
          <w:tcPr>
            <w:tcW w:w="1136" w:type="dxa"/>
            <w:noWrap w:val="0"/>
            <w:vAlign w:val="center"/>
          </w:tcPr>
          <w:p w14:paraId="35C13ED1">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b/>
                <w:kern w:val="0"/>
                <w:sz w:val="24"/>
              </w:rPr>
            </w:pPr>
            <w:r>
              <w:rPr>
                <w:rFonts w:hint="default" w:ascii="Times New Roman" w:hAnsi="Times New Roman" w:eastAsia="宋体" w:cs="Times New Roman"/>
                <w:b/>
                <w:kern w:val="0"/>
                <w:sz w:val="24"/>
              </w:rPr>
              <w:t>专项评价设置情况</w:t>
            </w:r>
          </w:p>
        </w:tc>
        <w:tc>
          <w:tcPr>
            <w:tcW w:w="7896" w:type="dxa"/>
            <w:gridSpan w:val="3"/>
            <w:noWrap w:val="0"/>
            <w:vAlign w:val="center"/>
          </w:tcPr>
          <w:p w14:paraId="63DDE872">
            <w:pPr>
              <w:keepNext w:val="0"/>
              <w:keepLines w:val="0"/>
              <w:suppressLineNumbers w:val="0"/>
              <w:autoSpaceDE w:val="0"/>
              <w:autoSpaceDN w:val="0"/>
              <w:adjustRightInd w:val="0"/>
              <w:snapToGrid w:val="0"/>
              <w:spacing w:before="0" w:beforeAutospacing="0" w:after="0" w:afterAutospacing="0" w:line="440" w:lineRule="exact"/>
              <w:ind w:left="0" w:right="0"/>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无</w:t>
            </w:r>
          </w:p>
        </w:tc>
      </w:tr>
      <w:tr w14:paraId="5B97A1C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0" w:hRule="atLeast"/>
          <w:jc w:val="center"/>
        </w:trPr>
        <w:tc>
          <w:tcPr>
            <w:tcW w:w="1136" w:type="dxa"/>
            <w:noWrap w:val="0"/>
            <w:vAlign w:val="center"/>
          </w:tcPr>
          <w:p w14:paraId="740349BF">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b/>
                <w:kern w:val="0"/>
                <w:sz w:val="24"/>
              </w:rPr>
            </w:pPr>
            <w:r>
              <w:rPr>
                <w:rFonts w:hint="default" w:ascii="Times New Roman" w:hAnsi="Times New Roman" w:eastAsia="宋体" w:cs="Times New Roman"/>
                <w:b/>
                <w:sz w:val="24"/>
              </w:rPr>
              <w:t>规划情况</w:t>
            </w:r>
          </w:p>
        </w:tc>
        <w:tc>
          <w:tcPr>
            <w:tcW w:w="7896" w:type="dxa"/>
            <w:gridSpan w:val="3"/>
            <w:noWrap w:val="0"/>
            <w:vAlign w:val="center"/>
          </w:tcPr>
          <w:p w14:paraId="17DCF05A">
            <w:pPr>
              <w:keepNext w:val="0"/>
              <w:keepLines w:val="0"/>
              <w:suppressLineNumbers w:val="0"/>
              <w:autoSpaceDE w:val="0"/>
              <w:autoSpaceDN w:val="0"/>
              <w:adjustRightInd w:val="0"/>
              <w:snapToGrid w:val="0"/>
              <w:spacing w:before="0" w:beforeAutospacing="0" w:after="0" w:afterAutospacing="0" w:line="440" w:lineRule="exact"/>
              <w:ind w:left="0" w:right="0"/>
              <w:rPr>
                <w:rFonts w:hint="eastAsia" w:ascii="Times New Roman" w:hAnsi="Times New Roman" w:eastAsia="宋体" w:cs="Times New Roman"/>
                <w:kern w:val="0"/>
                <w:sz w:val="24"/>
                <w:lang w:eastAsia="zh-CN"/>
              </w:rPr>
            </w:pPr>
            <w:r>
              <w:rPr>
                <w:rFonts w:hint="default" w:ascii="Times New Roman" w:hAnsi="Times New Roman" w:eastAsia="宋体" w:cs="Times New Roman"/>
                <w:kern w:val="0"/>
                <w:sz w:val="24"/>
              </w:rPr>
              <w:t>规划文件：《</w:t>
            </w:r>
            <w:r>
              <w:rPr>
                <w:rFonts w:hint="eastAsia" w:ascii="Times New Roman" w:hAnsi="Times New Roman" w:eastAsia="宋体" w:cs="Times New Roman"/>
                <w:kern w:val="0"/>
                <w:sz w:val="24"/>
                <w:lang w:eastAsia="zh-CN"/>
              </w:rPr>
              <w:t>沧州渤海新区临港经济技术开发区片区总体</w:t>
            </w:r>
            <w:r>
              <w:rPr>
                <w:rFonts w:hint="default" w:ascii="Times New Roman" w:hAnsi="Times New Roman" w:eastAsia="宋体" w:cs="Times New Roman"/>
                <w:kern w:val="0"/>
                <w:sz w:val="24"/>
              </w:rPr>
              <w:t>规划（2019-2030年）》</w:t>
            </w:r>
          </w:p>
          <w:p w14:paraId="3771BCDF">
            <w:pPr>
              <w:keepNext w:val="0"/>
              <w:keepLines w:val="0"/>
              <w:suppressLineNumbers w:val="0"/>
              <w:autoSpaceDE w:val="0"/>
              <w:autoSpaceDN w:val="0"/>
              <w:adjustRightInd w:val="0"/>
              <w:snapToGrid w:val="0"/>
              <w:spacing w:before="0" w:beforeAutospacing="0" w:after="0" w:afterAutospacing="0" w:line="440" w:lineRule="exact"/>
              <w:ind w:left="0" w:right="0"/>
              <w:rPr>
                <w:rFonts w:hint="eastAsia" w:ascii="Times New Roman" w:hAnsi="Times New Roman" w:eastAsia="宋体" w:cs="Times New Roman"/>
                <w:color w:val="auto"/>
                <w:kern w:val="0"/>
                <w:sz w:val="24"/>
                <w:highlight w:val="none"/>
                <w:lang w:eastAsia="zh-CN"/>
              </w:rPr>
            </w:pPr>
            <w:r>
              <w:rPr>
                <w:rFonts w:hint="default" w:ascii="Times New Roman" w:hAnsi="Times New Roman" w:eastAsia="宋体" w:cs="Times New Roman"/>
                <w:kern w:val="0"/>
                <w:sz w:val="24"/>
                <w:highlight w:val="none"/>
              </w:rPr>
              <w:t>审批部门：</w:t>
            </w:r>
            <w:r>
              <w:rPr>
                <w:rFonts w:hint="eastAsia" w:ascii="Times New Roman" w:hAnsi="Times New Roman" w:eastAsia="宋体" w:cs="Times New Roman"/>
                <w:color w:val="auto"/>
                <w:kern w:val="0"/>
                <w:sz w:val="24"/>
                <w:highlight w:val="none"/>
                <w:lang w:eastAsia="zh-CN"/>
              </w:rPr>
              <w:t>黄骅市人民政府</w:t>
            </w:r>
          </w:p>
          <w:p w14:paraId="334AC5CD">
            <w:pPr>
              <w:keepNext w:val="0"/>
              <w:keepLines w:val="0"/>
              <w:suppressLineNumbers w:val="0"/>
              <w:autoSpaceDE w:val="0"/>
              <w:autoSpaceDN w:val="0"/>
              <w:adjustRightInd w:val="0"/>
              <w:snapToGrid w:val="0"/>
              <w:spacing w:before="0" w:beforeAutospacing="0" w:after="0" w:afterAutospacing="0" w:line="440" w:lineRule="exact"/>
              <w:ind w:left="0" w:right="0"/>
              <w:rPr>
                <w:rFonts w:hint="default" w:ascii="Times New Roman" w:hAnsi="Times New Roman" w:cs="Times New Roman"/>
              </w:rPr>
            </w:pPr>
            <w:r>
              <w:rPr>
                <w:rFonts w:hint="eastAsia" w:ascii="Times New Roman" w:hAnsi="Times New Roman" w:eastAsia="宋体" w:cs="Times New Roman"/>
                <w:kern w:val="0"/>
                <w:sz w:val="24"/>
                <w:lang w:eastAsia="zh-CN"/>
              </w:rPr>
              <w:t>审批文号：黄政字〔2017〕255号。</w:t>
            </w:r>
          </w:p>
        </w:tc>
      </w:tr>
      <w:tr w14:paraId="597632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1136" w:type="dxa"/>
            <w:noWrap w:val="0"/>
            <w:vAlign w:val="center"/>
          </w:tcPr>
          <w:p w14:paraId="5070847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 w:val="24"/>
              </w:rPr>
            </w:pPr>
            <w:r>
              <w:rPr>
                <w:rFonts w:hint="default" w:ascii="Times New Roman" w:hAnsi="Times New Roman" w:eastAsia="宋体" w:cs="Times New Roman"/>
                <w:b/>
                <w:sz w:val="24"/>
              </w:rPr>
              <w:t>规划环境影响</w:t>
            </w:r>
          </w:p>
          <w:p w14:paraId="1B51EEE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kern w:val="0"/>
                <w:sz w:val="24"/>
              </w:rPr>
            </w:pPr>
            <w:r>
              <w:rPr>
                <w:rFonts w:hint="default" w:ascii="Times New Roman" w:hAnsi="Times New Roman" w:eastAsia="宋体" w:cs="Times New Roman"/>
                <w:b/>
                <w:sz w:val="24"/>
              </w:rPr>
              <w:t>评价情况</w:t>
            </w:r>
          </w:p>
        </w:tc>
        <w:tc>
          <w:tcPr>
            <w:tcW w:w="7896" w:type="dxa"/>
            <w:gridSpan w:val="3"/>
            <w:noWrap w:val="0"/>
            <w:vAlign w:val="center"/>
          </w:tcPr>
          <w:p w14:paraId="390D38B0">
            <w:pPr>
              <w:keepNext w:val="0"/>
              <w:keepLines w:val="0"/>
              <w:suppressLineNumbers w:val="0"/>
              <w:autoSpaceDE w:val="0"/>
              <w:autoSpaceDN w:val="0"/>
              <w:adjustRightInd w:val="0"/>
              <w:snapToGrid w:val="0"/>
              <w:spacing w:before="0" w:beforeAutospacing="0" w:after="0" w:afterAutospacing="0" w:line="440" w:lineRule="exact"/>
              <w:ind w:left="0" w:right="0"/>
              <w:rPr>
                <w:rFonts w:hint="default" w:ascii="Times New Roman" w:hAnsi="Times New Roman" w:eastAsia="宋体" w:cs="Times New Roman"/>
                <w:kern w:val="0"/>
                <w:sz w:val="24"/>
              </w:rPr>
            </w:pPr>
            <w:r>
              <w:rPr>
                <w:rFonts w:hint="eastAsia" w:ascii="Times New Roman" w:hAnsi="Times New Roman" w:eastAsia="宋体" w:cs="Times New Roman"/>
                <w:kern w:val="0"/>
                <w:sz w:val="24"/>
                <w:lang w:eastAsia="zh-CN"/>
              </w:rPr>
              <w:t>规划环评文件：</w:t>
            </w:r>
            <w:r>
              <w:rPr>
                <w:rFonts w:hint="default" w:ascii="Times New Roman" w:hAnsi="Times New Roman" w:eastAsia="宋体" w:cs="Times New Roman"/>
                <w:kern w:val="0"/>
                <w:sz w:val="24"/>
              </w:rPr>
              <w:t>《</w:t>
            </w:r>
            <w:r>
              <w:rPr>
                <w:rFonts w:hint="eastAsia" w:ascii="Times New Roman" w:hAnsi="Times New Roman" w:eastAsia="宋体" w:cs="Times New Roman"/>
                <w:kern w:val="0"/>
                <w:sz w:val="24"/>
                <w:lang w:eastAsia="zh-CN"/>
              </w:rPr>
              <w:t>沧州渤海新区临港经济技术开发区片区总体</w:t>
            </w:r>
            <w:r>
              <w:rPr>
                <w:rFonts w:hint="default" w:ascii="Times New Roman" w:hAnsi="Times New Roman" w:eastAsia="宋体" w:cs="Times New Roman"/>
                <w:kern w:val="0"/>
                <w:sz w:val="24"/>
              </w:rPr>
              <w:t>规划（2019-2030年）环境影响报告书》</w:t>
            </w:r>
          </w:p>
          <w:p w14:paraId="1AFDF4DC">
            <w:pPr>
              <w:keepNext w:val="0"/>
              <w:keepLines w:val="0"/>
              <w:suppressLineNumbers w:val="0"/>
              <w:autoSpaceDE w:val="0"/>
              <w:autoSpaceDN w:val="0"/>
              <w:adjustRightInd w:val="0"/>
              <w:snapToGrid w:val="0"/>
              <w:spacing w:before="0" w:beforeAutospacing="0" w:after="0" w:afterAutospacing="0" w:line="440" w:lineRule="exact"/>
              <w:ind w:left="0" w:right="0"/>
              <w:rPr>
                <w:rFonts w:hint="default" w:ascii="Times New Roman" w:hAnsi="Times New Roman" w:eastAsia="宋体" w:cs="Times New Roman"/>
                <w:kern w:val="0"/>
                <w:sz w:val="24"/>
                <w:lang w:eastAsia="zh-CN"/>
              </w:rPr>
            </w:pPr>
            <w:r>
              <w:rPr>
                <w:rFonts w:hint="eastAsia" w:ascii="Times New Roman" w:hAnsi="Times New Roman" w:eastAsia="宋体" w:cs="Times New Roman"/>
                <w:kern w:val="0"/>
                <w:sz w:val="24"/>
                <w:lang w:eastAsia="zh-CN"/>
              </w:rPr>
              <w:t>审批部门：</w:t>
            </w:r>
            <w:r>
              <w:rPr>
                <w:rFonts w:hint="eastAsia" w:ascii="Times New Roman" w:hAnsi="Times New Roman" w:eastAsia="宋体" w:cs="Times New Roman"/>
                <w:color w:val="auto"/>
                <w:kern w:val="0"/>
                <w:sz w:val="24"/>
                <w:lang w:eastAsia="zh-CN"/>
              </w:rPr>
              <w:t>中华人民共和国生态环境部</w:t>
            </w:r>
          </w:p>
          <w:p w14:paraId="7D72A661">
            <w:pPr>
              <w:keepNext w:val="0"/>
              <w:keepLines w:val="0"/>
              <w:suppressLineNumbers w:val="0"/>
              <w:autoSpaceDE w:val="0"/>
              <w:autoSpaceDN w:val="0"/>
              <w:adjustRightInd w:val="0"/>
              <w:snapToGrid w:val="0"/>
              <w:spacing w:before="0" w:beforeAutospacing="0" w:after="0" w:afterAutospacing="0" w:line="440" w:lineRule="exact"/>
              <w:ind w:left="0" w:right="0"/>
              <w:rPr>
                <w:rFonts w:hint="default" w:ascii="Times New Roman" w:hAnsi="Times New Roman" w:eastAsia="宋体" w:cs="Times New Roman"/>
                <w:kern w:val="0"/>
                <w:sz w:val="24"/>
              </w:rPr>
            </w:pPr>
            <w:r>
              <w:rPr>
                <w:rFonts w:hint="eastAsia" w:ascii="Times New Roman" w:hAnsi="Times New Roman" w:eastAsia="宋体" w:cs="Times New Roman"/>
                <w:kern w:val="0"/>
                <w:sz w:val="24"/>
                <w:lang w:eastAsia="zh-CN"/>
              </w:rPr>
              <w:t>审查意见：《关于</w:t>
            </w:r>
            <w:r>
              <w:rPr>
                <w:rFonts w:hint="eastAsia" w:ascii="Times New Roman" w:hAnsi="Times New Roman" w:eastAsia="宋体" w:cs="Times New Roman"/>
                <w:kern w:val="0"/>
                <w:sz w:val="24"/>
                <w:lang w:val="en-US" w:eastAsia="zh-CN"/>
              </w:rPr>
              <w:t>&lt;</w:t>
            </w:r>
            <w:r>
              <w:rPr>
                <w:rFonts w:hint="eastAsia" w:ascii="Times New Roman" w:hAnsi="Times New Roman" w:eastAsia="宋体" w:cs="Times New Roman"/>
                <w:kern w:val="0"/>
                <w:sz w:val="24"/>
                <w:lang w:eastAsia="zh-CN"/>
              </w:rPr>
              <w:t>沧州渤海新区临港经济技术开发区片区总体</w:t>
            </w:r>
            <w:r>
              <w:rPr>
                <w:rFonts w:hint="default" w:ascii="Times New Roman" w:hAnsi="Times New Roman" w:eastAsia="宋体" w:cs="Times New Roman"/>
                <w:kern w:val="0"/>
                <w:sz w:val="24"/>
              </w:rPr>
              <w:t>规划（2019-2030年）环境影响报告书</w:t>
            </w:r>
            <w:r>
              <w:rPr>
                <w:rFonts w:hint="eastAsia" w:ascii="Times New Roman" w:hAnsi="Times New Roman" w:eastAsia="宋体" w:cs="Times New Roman"/>
                <w:kern w:val="0"/>
                <w:sz w:val="24"/>
                <w:lang w:val="en-US" w:eastAsia="zh-CN"/>
              </w:rPr>
              <w:t>&gt;</w:t>
            </w:r>
            <w:r>
              <w:rPr>
                <w:rFonts w:hint="eastAsia" w:ascii="Times New Roman" w:hAnsi="Times New Roman" w:eastAsia="宋体" w:cs="Times New Roman"/>
                <w:kern w:val="0"/>
                <w:sz w:val="24"/>
                <w:lang w:eastAsia="zh-CN"/>
              </w:rPr>
              <w:t>的审查意见</w:t>
            </w:r>
            <w:r>
              <w:rPr>
                <w:rFonts w:hint="default" w:ascii="Times New Roman" w:hAnsi="Times New Roman" w:eastAsia="宋体" w:cs="Times New Roman"/>
                <w:kern w:val="0"/>
                <w:sz w:val="24"/>
              </w:rPr>
              <w:t>》</w:t>
            </w:r>
            <w:r>
              <w:rPr>
                <w:rFonts w:hint="default" w:ascii="Times New Roman" w:hAnsi="Times New Roman" w:eastAsia="宋体" w:cs="Times New Roman"/>
                <w:color w:val="auto"/>
                <w:kern w:val="0"/>
                <w:sz w:val="24"/>
              </w:rPr>
              <w:t>（</w:t>
            </w:r>
            <w:r>
              <w:rPr>
                <w:rFonts w:hint="eastAsia" w:ascii="Times New Roman" w:hAnsi="Times New Roman" w:eastAsia="宋体" w:cs="Times New Roman"/>
                <w:color w:val="auto"/>
                <w:kern w:val="0"/>
                <w:sz w:val="24"/>
                <w:lang w:eastAsia="zh-CN"/>
              </w:rPr>
              <w:t>环审</w:t>
            </w:r>
            <w:r>
              <w:rPr>
                <w:rFonts w:hint="eastAsia" w:ascii="Times New Roman" w:hAnsi="Times New Roman" w:eastAsia="宋体" w:cs="Times New Roman"/>
                <w:color w:val="auto"/>
                <w:sz w:val="24"/>
                <w:highlight w:val="none"/>
                <w:lang w:val="en-US" w:eastAsia="zh-CN"/>
              </w:rPr>
              <w:t>〔2020〕139 号</w:t>
            </w:r>
            <w:r>
              <w:rPr>
                <w:rFonts w:hint="default" w:ascii="Times New Roman" w:hAnsi="Times New Roman" w:eastAsia="宋体" w:cs="Times New Roman"/>
                <w:color w:val="auto"/>
                <w:kern w:val="0"/>
                <w:sz w:val="24"/>
              </w:rPr>
              <w:t>）</w:t>
            </w:r>
          </w:p>
        </w:tc>
      </w:tr>
      <w:tr w14:paraId="27507B6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199" w:hRule="atLeast"/>
          <w:jc w:val="center"/>
        </w:trPr>
        <w:tc>
          <w:tcPr>
            <w:tcW w:w="1136" w:type="dxa"/>
            <w:noWrap w:val="0"/>
            <w:vAlign w:val="center"/>
          </w:tcPr>
          <w:p w14:paraId="38784426">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b/>
                <w:kern w:val="0"/>
                <w:sz w:val="24"/>
              </w:rPr>
            </w:pPr>
            <w:r>
              <w:rPr>
                <w:rFonts w:hint="default" w:ascii="Times New Roman" w:hAnsi="Times New Roman" w:eastAsia="宋体" w:cs="Times New Roman"/>
                <w:b/>
                <w:kern w:val="0"/>
                <w:sz w:val="24"/>
              </w:rPr>
              <w:t>规划及规划环境</w:t>
            </w:r>
          </w:p>
          <w:p w14:paraId="27148A51">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b/>
                <w:kern w:val="0"/>
                <w:sz w:val="24"/>
              </w:rPr>
            </w:pPr>
            <w:r>
              <w:rPr>
                <w:rFonts w:hint="default" w:ascii="Times New Roman" w:hAnsi="Times New Roman" w:eastAsia="宋体" w:cs="Times New Roman"/>
                <w:b/>
                <w:kern w:val="0"/>
                <w:sz w:val="24"/>
              </w:rPr>
              <w:t>影响评价符合性分析</w:t>
            </w:r>
          </w:p>
        </w:tc>
        <w:tc>
          <w:tcPr>
            <w:tcW w:w="7896" w:type="dxa"/>
            <w:gridSpan w:val="3"/>
            <w:noWrap w:val="0"/>
            <w:vAlign w:val="center"/>
          </w:tcPr>
          <w:p w14:paraId="56A49DDC">
            <w:pPr>
              <w:keepNext w:val="0"/>
              <w:keepLines w:val="0"/>
              <w:suppressLineNumbers w:val="0"/>
              <w:autoSpaceDE w:val="0"/>
              <w:autoSpaceDN w:val="0"/>
              <w:adjustRightInd w:val="0"/>
              <w:snapToGrid w:val="0"/>
              <w:spacing w:before="0" w:beforeAutospacing="0" w:after="0" w:afterAutospacing="0" w:line="440" w:lineRule="exact"/>
              <w:ind w:left="0" w:right="0"/>
              <w:rPr>
                <w:rFonts w:hint="default" w:ascii="Times New Roman" w:hAnsi="Times New Roman" w:eastAsia="宋体" w:cs="Times New Roman"/>
                <w:kern w:val="0"/>
                <w:sz w:val="24"/>
                <w:lang w:eastAsia="zh-CN"/>
              </w:rPr>
            </w:pPr>
            <w:r>
              <w:rPr>
                <w:rFonts w:hint="default" w:ascii="Times New Roman" w:hAnsi="Times New Roman" w:eastAsia="宋体" w:cs="Times New Roman"/>
                <w:kern w:val="0"/>
                <w:sz w:val="24"/>
                <w:lang w:val="en-US" w:eastAsia="zh-CN"/>
              </w:rPr>
              <w:t>1、</w:t>
            </w:r>
            <w:r>
              <w:rPr>
                <w:rFonts w:hint="default" w:ascii="Times New Roman" w:hAnsi="Times New Roman" w:eastAsia="宋体" w:cs="Times New Roman"/>
                <w:kern w:val="0"/>
                <w:sz w:val="24"/>
                <w:lang w:eastAsia="zh-CN"/>
              </w:rPr>
              <w:t>与规划的符合性分析</w:t>
            </w:r>
          </w:p>
          <w:p w14:paraId="759E2E5B">
            <w:pPr>
              <w:keepNext w:val="0"/>
              <w:keepLines w:val="0"/>
              <w:suppressLineNumbers w:val="0"/>
              <w:autoSpaceDE w:val="0"/>
              <w:autoSpaceDN w:val="0"/>
              <w:adjustRightInd w:val="0"/>
              <w:snapToGrid w:val="0"/>
              <w:spacing w:before="0" w:beforeAutospacing="0" w:after="0" w:afterAutospacing="0" w:line="440" w:lineRule="exact"/>
              <w:ind w:left="0" w:right="0" w:firstLine="480" w:firstLineChars="200"/>
              <w:rPr>
                <w:rFonts w:hint="default" w:ascii="Times New Roman" w:hAnsi="Times New Roman" w:eastAsia="宋体" w:cs="Times New Roman"/>
                <w:color w:val="FF0000"/>
                <w:kern w:val="0"/>
                <w:sz w:val="24"/>
                <w:lang w:eastAsia="zh-CN"/>
              </w:rPr>
            </w:pPr>
            <w:r>
              <w:rPr>
                <w:rFonts w:hint="eastAsia" w:ascii="Times New Roman" w:hAnsi="Times New Roman" w:eastAsia="宋体" w:cs="Times New Roman"/>
                <w:color w:val="auto"/>
                <w:kern w:val="0"/>
                <w:sz w:val="24"/>
                <w:lang w:eastAsia="zh-CN"/>
              </w:rPr>
              <w:t>临港经济技术开发区隶属于沧州渤海新区</w:t>
            </w:r>
            <w:r>
              <w:rPr>
                <w:rFonts w:hint="default" w:ascii="Times New Roman" w:hAnsi="Times New Roman" w:eastAsia="宋体" w:cs="Times New Roman"/>
                <w:color w:val="auto"/>
                <w:kern w:val="0"/>
                <w:sz w:val="24"/>
                <w:lang w:eastAsia="zh-CN"/>
              </w:rPr>
              <w:t>，</w:t>
            </w:r>
            <w:r>
              <w:rPr>
                <w:rFonts w:hint="eastAsia" w:ascii="Times New Roman" w:hAnsi="Times New Roman" w:eastAsia="宋体" w:cs="Times New Roman"/>
                <w:color w:val="auto"/>
                <w:kern w:val="0"/>
                <w:sz w:val="24"/>
                <w:lang w:eastAsia="zh-CN"/>
              </w:rPr>
              <w:t>位于黄骅市东侧，</w:t>
            </w:r>
            <w:r>
              <w:rPr>
                <w:rFonts w:hint="default" w:ascii="Times New Roman" w:hAnsi="Times New Roman" w:eastAsia="宋体" w:cs="Times New Roman"/>
                <w:color w:val="auto"/>
                <w:kern w:val="0"/>
                <w:sz w:val="24"/>
                <w:lang w:eastAsia="zh-CN"/>
              </w:rPr>
              <w:t>规划总用地约</w:t>
            </w:r>
            <w:r>
              <w:rPr>
                <w:rFonts w:hint="eastAsia" w:ascii="Times New Roman" w:hAnsi="Times New Roman" w:eastAsia="宋体" w:cs="Times New Roman"/>
                <w:color w:val="auto"/>
                <w:kern w:val="0"/>
                <w:sz w:val="24"/>
                <w:lang w:val="en-US" w:eastAsia="zh-CN"/>
              </w:rPr>
              <w:t>69.28</w:t>
            </w:r>
            <w:r>
              <w:rPr>
                <w:rFonts w:hint="default" w:ascii="Times New Roman" w:hAnsi="Times New Roman" w:eastAsia="宋体" w:cs="Times New Roman"/>
                <w:color w:val="auto"/>
                <w:kern w:val="0"/>
                <w:sz w:val="24"/>
                <w:lang w:eastAsia="zh-CN"/>
              </w:rPr>
              <w:t>平方公里。工业园区分为</w:t>
            </w:r>
            <w:r>
              <w:rPr>
                <w:rFonts w:hint="eastAsia" w:ascii="Times New Roman" w:hAnsi="Times New Roman" w:eastAsia="宋体" w:cs="Times New Roman"/>
                <w:color w:val="auto"/>
                <w:kern w:val="0"/>
                <w:sz w:val="24"/>
                <w:lang w:eastAsia="zh-CN"/>
              </w:rPr>
              <w:t>西</w:t>
            </w:r>
            <w:r>
              <w:rPr>
                <w:rFonts w:hint="default" w:ascii="Times New Roman" w:hAnsi="Times New Roman" w:eastAsia="宋体" w:cs="Times New Roman"/>
                <w:color w:val="auto"/>
                <w:kern w:val="0"/>
                <w:sz w:val="24"/>
                <w:lang w:eastAsia="zh-CN"/>
              </w:rPr>
              <w:t>区</w:t>
            </w:r>
            <w:r>
              <w:rPr>
                <w:rFonts w:hint="eastAsia" w:ascii="Times New Roman" w:hAnsi="Times New Roman" w:eastAsia="宋体" w:cs="Times New Roman"/>
                <w:color w:val="auto"/>
                <w:kern w:val="0"/>
                <w:sz w:val="24"/>
                <w:lang w:eastAsia="zh-CN"/>
              </w:rPr>
              <w:t>（生物医药产业园）和东区（新型化工区）</w:t>
            </w:r>
            <w:r>
              <w:rPr>
                <w:rFonts w:hint="default" w:ascii="Times New Roman" w:hAnsi="Times New Roman" w:eastAsia="宋体" w:cs="Times New Roman"/>
                <w:color w:val="auto"/>
                <w:kern w:val="0"/>
                <w:sz w:val="24"/>
                <w:lang w:eastAsia="zh-CN"/>
              </w:rPr>
              <w:t>，</w:t>
            </w:r>
            <w:r>
              <w:rPr>
                <w:rFonts w:hint="eastAsia" w:ascii="Times New Roman" w:hAnsi="Times New Roman" w:eastAsia="宋体" w:cs="Times New Roman"/>
                <w:color w:val="auto"/>
                <w:kern w:val="0"/>
                <w:sz w:val="24"/>
                <w:lang w:eastAsia="zh-CN"/>
              </w:rPr>
              <w:t>西</w:t>
            </w:r>
            <w:r>
              <w:rPr>
                <w:rFonts w:hint="default" w:ascii="Times New Roman" w:hAnsi="Times New Roman" w:eastAsia="宋体" w:cs="Times New Roman"/>
                <w:color w:val="auto"/>
                <w:kern w:val="0"/>
                <w:sz w:val="24"/>
                <w:lang w:eastAsia="zh-CN"/>
              </w:rPr>
              <w:t>区规划面积</w:t>
            </w:r>
            <w:r>
              <w:rPr>
                <w:rFonts w:hint="eastAsia" w:ascii="Times New Roman" w:hAnsi="Times New Roman" w:eastAsia="宋体" w:cs="Times New Roman"/>
                <w:color w:val="auto"/>
                <w:kern w:val="0"/>
                <w:sz w:val="24"/>
                <w:lang w:val="en-US" w:eastAsia="zh-CN"/>
              </w:rPr>
              <w:t>28.29平方公里</w:t>
            </w:r>
            <w:r>
              <w:rPr>
                <w:rFonts w:hint="default" w:ascii="Times New Roman" w:hAnsi="Times New Roman" w:eastAsia="宋体" w:cs="Times New Roman"/>
                <w:color w:val="auto"/>
                <w:kern w:val="0"/>
                <w:sz w:val="24"/>
                <w:lang w:eastAsia="zh-CN"/>
              </w:rPr>
              <w:t>，</w:t>
            </w:r>
            <w:r>
              <w:rPr>
                <w:rFonts w:hint="eastAsia" w:ascii="Times New Roman" w:hAnsi="Times New Roman" w:eastAsia="宋体" w:cs="Times New Roman"/>
                <w:color w:val="auto"/>
                <w:kern w:val="0"/>
                <w:sz w:val="24"/>
                <w:lang w:eastAsia="zh-CN"/>
              </w:rPr>
              <w:t>东至黄帝路（规划路），南至中疏港路，西至辛公路（规划路），北至纬一北路（规划路），重点发展以高端特色化学原料药及制剂、现代中药、大健康、生物药物为主导产业。东区规划面积</w:t>
            </w:r>
            <w:r>
              <w:rPr>
                <w:rFonts w:hint="eastAsia" w:ascii="Times New Roman" w:hAnsi="Times New Roman" w:eastAsia="宋体" w:cs="Times New Roman"/>
                <w:color w:val="auto"/>
                <w:kern w:val="0"/>
                <w:sz w:val="24"/>
                <w:lang w:val="en-US" w:eastAsia="zh-CN"/>
              </w:rPr>
              <w:t>40.99平方公里，东至沿海高速，南至中疏港路，西至文明路（规划路），北至北京大道，以建设国际合作的新型化工产业为主导。</w:t>
            </w:r>
          </w:p>
          <w:p w14:paraId="1F39288B">
            <w:pPr>
              <w:keepNext w:val="0"/>
              <w:keepLines w:val="0"/>
              <w:suppressLineNumbers w:val="0"/>
              <w:autoSpaceDE w:val="0"/>
              <w:autoSpaceDN w:val="0"/>
              <w:adjustRightInd w:val="0"/>
              <w:snapToGrid w:val="0"/>
              <w:spacing w:before="0" w:beforeAutospacing="0" w:after="0" w:afterAutospacing="0" w:line="440" w:lineRule="exact"/>
              <w:ind w:left="0" w:right="0" w:firstLine="480" w:firstLineChars="200"/>
              <w:rPr>
                <w:rFonts w:hint="default" w:ascii="Times New Roman" w:hAnsi="Times New Roman" w:eastAsia="宋体" w:cs="Times New Roman"/>
                <w:kern w:val="0"/>
                <w:sz w:val="24"/>
              </w:rPr>
            </w:pPr>
            <w:r>
              <w:rPr>
                <w:rFonts w:hint="default" w:ascii="Times New Roman" w:hAnsi="Times New Roman" w:eastAsia="宋体" w:cs="Times New Roman"/>
                <w:kern w:val="0"/>
                <w:sz w:val="24"/>
                <w:lang w:eastAsia="zh-CN"/>
              </w:rPr>
              <w:t>本项目</w:t>
            </w:r>
            <w:r>
              <w:rPr>
                <w:rFonts w:hint="eastAsia" w:ascii="Times New Roman" w:hAnsi="Times New Roman" w:eastAsia="宋体" w:cs="Times New Roman"/>
                <w:kern w:val="0"/>
                <w:sz w:val="24"/>
                <w:lang w:eastAsia="zh-CN"/>
              </w:rPr>
              <w:t>位于临港经济开发区西区（生物医药产业园）</w:t>
            </w:r>
            <w:r>
              <w:rPr>
                <w:rFonts w:hint="eastAsia" w:cs="Times New Roman"/>
                <w:kern w:val="0"/>
                <w:sz w:val="24"/>
                <w:lang w:eastAsia="zh-CN"/>
              </w:rPr>
              <w:t>北京东华原医疗设备有限公司沧州分公司一期厂房内</w:t>
            </w:r>
            <w:r>
              <w:rPr>
                <w:rFonts w:hint="default" w:ascii="Times New Roman" w:hAnsi="Times New Roman" w:eastAsia="宋体" w:cs="Times New Roman"/>
                <w:kern w:val="0"/>
                <w:sz w:val="24"/>
                <w:highlight w:val="none"/>
                <w:lang w:eastAsia="zh-CN"/>
              </w:rPr>
              <w:t>，</w:t>
            </w:r>
            <w:r>
              <w:rPr>
                <w:rFonts w:hint="eastAsia" w:ascii="Times New Roman" w:hAnsi="Times New Roman" w:eastAsia="宋体" w:cs="Times New Roman"/>
                <w:color w:val="auto"/>
                <w:kern w:val="0"/>
                <w:sz w:val="24"/>
                <w:highlight w:val="none"/>
                <w:lang w:eastAsia="zh-CN"/>
              </w:rPr>
              <w:t>为</w:t>
            </w:r>
            <w:r>
              <w:rPr>
                <w:rFonts w:hint="eastAsia" w:cs="Times New Roman"/>
                <w:color w:val="auto"/>
                <w:kern w:val="0"/>
                <w:sz w:val="24"/>
                <w:szCs w:val="24"/>
                <w:lang w:val="en-US" w:eastAsia="zh-CN"/>
              </w:rPr>
              <w:t>塑料零件及其他塑料制品制造行业</w:t>
            </w:r>
            <w:r>
              <w:rPr>
                <w:rFonts w:hint="default" w:ascii="Times New Roman" w:hAnsi="Times New Roman" w:eastAsia="宋体" w:cs="Times New Roman"/>
                <w:color w:val="auto"/>
                <w:kern w:val="0"/>
                <w:sz w:val="24"/>
                <w:highlight w:val="none"/>
                <w:lang w:eastAsia="zh-CN"/>
              </w:rPr>
              <w:t>，</w:t>
            </w:r>
            <w:r>
              <w:rPr>
                <w:rFonts w:hint="default" w:ascii="Times New Roman" w:hAnsi="Times New Roman" w:eastAsia="宋体" w:cs="Times New Roman"/>
                <w:color w:val="auto"/>
                <w:kern w:val="0"/>
                <w:sz w:val="24"/>
                <w:highlight w:val="none"/>
                <w:lang w:val="en-US" w:eastAsia="zh-CN"/>
              </w:rPr>
              <w:t>项目生产</w:t>
            </w:r>
            <w:r>
              <w:rPr>
                <w:rFonts w:hint="eastAsia" w:ascii="Times New Roman" w:hAnsi="Times New Roman" w:eastAsia="宋体" w:cs="Times New Roman"/>
                <w:color w:val="auto"/>
                <w:kern w:val="0"/>
                <w:sz w:val="24"/>
                <w:highlight w:val="none"/>
                <w:lang w:eastAsia="zh-CN"/>
              </w:rPr>
              <w:t>中药包装袋，属于医药配套产业，</w:t>
            </w:r>
            <w:r>
              <w:rPr>
                <w:rFonts w:hint="default" w:ascii="Times New Roman" w:hAnsi="Times New Roman" w:eastAsia="宋体" w:cs="Times New Roman"/>
                <w:kern w:val="0"/>
                <w:sz w:val="24"/>
                <w:highlight w:val="none"/>
                <w:lang w:eastAsia="zh-CN"/>
              </w:rPr>
              <w:t>符合</w:t>
            </w:r>
            <w:r>
              <w:rPr>
                <w:rFonts w:hint="default" w:ascii="Times New Roman" w:hAnsi="Times New Roman" w:eastAsia="宋体" w:cs="Times New Roman"/>
                <w:kern w:val="0"/>
                <w:sz w:val="24"/>
                <w:highlight w:val="none"/>
                <w:lang w:val="en-US" w:eastAsia="zh-CN"/>
              </w:rPr>
              <w:t>园区</w:t>
            </w:r>
            <w:r>
              <w:rPr>
                <w:rFonts w:hint="default" w:ascii="Times New Roman" w:hAnsi="Times New Roman" w:eastAsia="宋体" w:cs="Times New Roman"/>
                <w:kern w:val="0"/>
                <w:sz w:val="24"/>
                <w:highlight w:val="none"/>
                <w:lang w:eastAsia="zh-CN"/>
              </w:rPr>
              <w:t>产业定位及产业布局要求。对照园区用地布局规划，本项目用地类型为</w:t>
            </w:r>
            <w:r>
              <w:rPr>
                <w:rFonts w:hint="eastAsia" w:ascii="Times New Roman" w:hAnsi="Times New Roman" w:eastAsia="宋体" w:cs="Times New Roman"/>
                <w:kern w:val="0"/>
                <w:sz w:val="24"/>
                <w:lang w:eastAsia="zh-CN"/>
              </w:rPr>
              <w:t>三</w:t>
            </w:r>
            <w:r>
              <w:rPr>
                <w:rFonts w:hint="default" w:ascii="Times New Roman" w:hAnsi="Times New Roman" w:eastAsia="宋体" w:cs="Times New Roman"/>
                <w:kern w:val="0"/>
                <w:sz w:val="24"/>
                <w:lang w:eastAsia="zh-CN"/>
              </w:rPr>
              <w:t>类工业用地，符合园区用地</w:t>
            </w:r>
            <w:r>
              <w:rPr>
                <w:rFonts w:hint="default" w:ascii="Times New Roman" w:hAnsi="Times New Roman" w:eastAsia="宋体" w:cs="Times New Roman"/>
                <w:kern w:val="0"/>
                <w:sz w:val="24"/>
              </w:rPr>
              <w:t>规划。</w:t>
            </w:r>
          </w:p>
          <w:p w14:paraId="63B4AE3B">
            <w:pPr>
              <w:keepNext w:val="0"/>
              <w:keepLines w:val="0"/>
              <w:suppressLineNumbers w:val="0"/>
              <w:autoSpaceDE w:val="0"/>
              <w:autoSpaceDN w:val="0"/>
              <w:adjustRightInd w:val="0"/>
              <w:snapToGrid w:val="0"/>
              <w:spacing w:before="0" w:beforeAutospacing="0" w:after="0" w:afterAutospacing="0" w:line="440" w:lineRule="exact"/>
              <w:ind w:left="0" w:right="0"/>
              <w:rPr>
                <w:rFonts w:hint="default" w:ascii="Times New Roman" w:hAnsi="Times New Roman" w:eastAsia="宋体" w:cs="Times New Roman"/>
                <w:color w:val="auto"/>
                <w:kern w:val="0"/>
                <w:sz w:val="24"/>
                <w:lang w:eastAsia="zh-CN"/>
              </w:rPr>
            </w:pPr>
            <w:r>
              <w:rPr>
                <w:rFonts w:hint="default" w:ascii="Times New Roman" w:hAnsi="Times New Roman" w:eastAsia="宋体" w:cs="Times New Roman"/>
                <w:kern w:val="0"/>
                <w:sz w:val="24"/>
                <w:lang w:eastAsia="zh-CN"/>
              </w:rPr>
              <w:t>2、</w:t>
            </w:r>
            <w:r>
              <w:rPr>
                <w:rFonts w:hint="default" w:ascii="Times New Roman" w:hAnsi="Times New Roman" w:eastAsia="宋体" w:cs="Times New Roman"/>
                <w:color w:val="auto"/>
                <w:kern w:val="0"/>
                <w:sz w:val="24"/>
                <w:lang w:eastAsia="zh-CN"/>
              </w:rPr>
              <w:t>与规划环境影响评价</w:t>
            </w:r>
            <w:r>
              <w:rPr>
                <w:rFonts w:hint="eastAsia" w:ascii="Times New Roman" w:hAnsi="Times New Roman" w:eastAsia="宋体" w:cs="Times New Roman"/>
                <w:color w:val="auto"/>
                <w:kern w:val="0"/>
                <w:sz w:val="24"/>
                <w:lang w:eastAsia="zh-CN"/>
              </w:rPr>
              <w:t>结论</w:t>
            </w:r>
            <w:r>
              <w:rPr>
                <w:rFonts w:hint="default" w:ascii="Times New Roman" w:hAnsi="Times New Roman" w:eastAsia="宋体" w:cs="Times New Roman"/>
                <w:color w:val="auto"/>
                <w:kern w:val="0"/>
                <w:sz w:val="24"/>
                <w:lang w:eastAsia="zh-CN"/>
              </w:rPr>
              <w:t>符合性分析</w:t>
            </w:r>
          </w:p>
          <w:p w14:paraId="20287F1C">
            <w:pPr>
              <w:keepNext w:val="0"/>
              <w:keepLines w:val="0"/>
              <w:pageBreakBefore w:val="0"/>
              <w:widowControl w:val="0"/>
              <w:suppressLineNumbers w:val="0"/>
              <w:kinsoku/>
              <w:wordWrap/>
              <w:overflowPunct/>
              <w:topLinePunct w:val="0"/>
              <w:autoSpaceDE w:val="0"/>
              <w:autoSpaceDN w:val="0"/>
              <w:bidi w:val="0"/>
              <w:adjustRightInd w:val="0"/>
              <w:snapToGrid w:val="0"/>
              <w:spacing w:before="157" w:beforeLines="50" w:beforeAutospacing="0" w:after="0" w:afterAutospacing="0" w:line="360" w:lineRule="auto"/>
              <w:ind w:left="0" w:right="0" w:firstLine="480" w:firstLineChars="200"/>
              <w:textAlignment w:val="auto"/>
              <w:rPr>
                <w:rFonts w:hint="eastAsia" w:ascii="Times New Roman" w:hAnsi="Times New Roman" w:eastAsia="宋体" w:cs="Times New Roman"/>
                <w:color w:val="auto"/>
                <w:kern w:val="0"/>
                <w:sz w:val="24"/>
                <w:lang w:val="en-US" w:eastAsia="zh-CN"/>
              </w:rPr>
            </w:pPr>
            <w:r>
              <w:rPr>
                <w:rFonts w:hint="default" w:ascii="Times New Roman" w:hAnsi="Times New Roman" w:eastAsia="微软雅黑" w:cs="Times New Roman"/>
                <w:color w:val="auto"/>
                <w:kern w:val="0"/>
                <w:sz w:val="24"/>
                <w:lang w:eastAsia="zh-CN"/>
              </w:rPr>
              <w:t>①</w:t>
            </w:r>
            <w:r>
              <w:rPr>
                <w:rFonts w:hint="eastAsia" w:ascii="Times New Roman" w:hAnsi="Times New Roman" w:eastAsia="宋体" w:cs="Times New Roman"/>
                <w:color w:val="auto"/>
                <w:kern w:val="0"/>
                <w:sz w:val="24"/>
                <w:lang w:eastAsia="zh-CN"/>
              </w:rPr>
              <w:t>本项目与规划环评结论符合性见下表。</w:t>
            </w:r>
          </w:p>
          <w:p w14:paraId="73675EE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422" w:firstLineChars="200"/>
              <w:jc w:val="center"/>
              <w:textAlignment w:val="auto"/>
              <w:rPr>
                <w:rFonts w:hint="default" w:ascii="Times New Roman" w:hAnsi="Times New Roman" w:cs="Times New Roman"/>
                <w:lang w:eastAsia="zh-CN"/>
              </w:rPr>
            </w:pPr>
            <w:r>
              <w:rPr>
                <w:rFonts w:hint="eastAsia" w:ascii="Times New Roman" w:hAnsi="Times New Roman" w:eastAsia="宋体" w:cs="Times New Roman"/>
                <w:b/>
                <w:bCs/>
                <w:color w:val="000000"/>
                <w:kern w:val="0"/>
                <w:sz w:val="21"/>
                <w:szCs w:val="21"/>
                <w:lang w:val="en-US" w:eastAsia="zh-CN" w:bidi="ar-SA"/>
              </w:rPr>
              <w:t>本项目与规划环评结论符合性分析一览表</w:t>
            </w:r>
          </w:p>
          <w:tbl>
            <w:tblPr>
              <w:tblStyle w:val="38"/>
              <w:tblW w:w="76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10"/>
              <w:gridCol w:w="5153"/>
              <w:gridCol w:w="1575"/>
              <w:gridCol w:w="469"/>
            </w:tblGrid>
            <w:tr w14:paraId="7D41CF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410" w:type="dxa"/>
                  <w:noWrap w:val="0"/>
                  <w:vAlign w:val="center"/>
                </w:tcPr>
                <w:p w14:paraId="23759B3E">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eastAsia" w:ascii="Times New Roman" w:hAnsi="Times New Roman" w:eastAsia="宋体" w:cs="黑体"/>
                      <w:position w:val="2"/>
                      <w:sz w:val="21"/>
                      <w:szCs w:val="21"/>
                    </w:rPr>
                  </w:pPr>
                  <w:r>
                    <w:rPr>
                      <w:rFonts w:hint="eastAsia" w:ascii="Times New Roman" w:hAnsi="Times New Roman" w:eastAsia="宋体" w:cs="黑体"/>
                      <w:position w:val="2"/>
                      <w:sz w:val="21"/>
                      <w:szCs w:val="21"/>
                    </w:rPr>
                    <w:t>分类</w:t>
                  </w:r>
                </w:p>
              </w:tc>
              <w:tc>
                <w:tcPr>
                  <w:tcW w:w="5153" w:type="dxa"/>
                  <w:noWrap w:val="0"/>
                  <w:vAlign w:val="center"/>
                </w:tcPr>
                <w:p w14:paraId="77C8CC06">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eastAsia" w:ascii="Times New Roman" w:hAnsi="Times New Roman" w:eastAsia="宋体" w:cs="黑体"/>
                      <w:position w:val="2"/>
                      <w:sz w:val="21"/>
                      <w:szCs w:val="21"/>
                    </w:rPr>
                  </w:pPr>
                  <w:r>
                    <w:rPr>
                      <w:rFonts w:hint="eastAsia" w:ascii="Times New Roman" w:hAnsi="Times New Roman" w:eastAsia="宋体" w:cs="黑体"/>
                      <w:position w:val="2"/>
                      <w:sz w:val="21"/>
                      <w:szCs w:val="21"/>
                    </w:rPr>
                    <w:t>规划环评结论</w:t>
                  </w:r>
                </w:p>
              </w:tc>
              <w:tc>
                <w:tcPr>
                  <w:tcW w:w="1575" w:type="dxa"/>
                  <w:noWrap w:val="0"/>
                  <w:vAlign w:val="center"/>
                </w:tcPr>
                <w:p w14:paraId="6725167E">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eastAsia" w:ascii="Times New Roman" w:hAnsi="Times New Roman" w:eastAsia="宋体" w:cs="黑体"/>
                      <w:position w:val="2"/>
                      <w:sz w:val="21"/>
                      <w:szCs w:val="21"/>
                    </w:rPr>
                  </w:pPr>
                  <w:r>
                    <w:rPr>
                      <w:rFonts w:hint="eastAsia" w:ascii="Times New Roman" w:hAnsi="Times New Roman" w:eastAsia="宋体" w:cs="黑体"/>
                      <w:position w:val="2"/>
                      <w:sz w:val="21"/>
                      <w:szCs w:val="21"/>
                    </w:rPr>
                    <w:t>本项目</w:t>
                  </w:r>
                </w:p>
              </w:tc>
              <w:tc>
                <w:tcPr>
                  <w:tcW w:w="469" w:type="dxa"/>
                  <w:noWrap w:val="0"/>
                  <w:vAlign w:val="center"/>
                </w:tcPr>
                <w:p w14:paraId="463B7B94">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eastAsia" w:ascii="Times New Roman" w:hAnsi="Times New Roman" w:eastAsia="宋体" w:cs="黑体"/>
                      <w:position w:val="2"/>
                      <w:sz w:val="21"/>
                      <w:szCs w:val="21"/>
                    </w:rPr>
                  </w:pPr>
                  <w:r>
                    <w:rPr>
                      <w:rFonts w:hint="eastAsia" w:ascii="Times New Roman" w:hAnsi="Times New Roman" w:eastAsia="宋体" w:cs="黑体"/>
                      <w:position w:val="2"/>
                      <w:sz w:val="21"/>
                      <w:szCs w:val="21"/>
                    </w:rPr>
                    <w:t>结论</w:t>
                  </w:r>
                </w:p>
              </w:tc>
            </w:tr>
            <w:tr w14:paraId="29BC4D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410" w:type="dxa"/>
                  <w:vMerge w:val="restart"/>
                  <w:noWrap w:val="0"/>
                  <w:vAlign w:val="center"/>
                </w:tcPr>
                <w:p w14:paraId="1817FB2C">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eastAsia" w:ascii="Times New Roman" w:hAnsi="Times New Roman" w:eastAsia="宋体" w:cs="黑体"/>
                      <w:position w:val="2"/>
                      <w:sz w:val="21"/>
                      <w:szCs w:val="21"/>
                    </w:rPr>
                  </w:pPr>
                  <w:r>
                    <w:rPr>
                      <w:rFonts w:hint="eastAsia" w:ascii="Times New Roman" w:hAnsi="Times New Roman" w:eastAsia="宋体" w:cs="黑体"/>
                      <w:position w:val="2"/>
                      <w:sz w:val="21"/>
                      <w:szCs w:val="21"/>
                    </w:rPr>
                    <w:t>入区项目管理原则</w:t>
                  </w:r>
                </w:p>
              </w:tc>
              <w:tc>
                <w:tcPr>
                  <w:tcW w:w="5153" w:type="dxa"/>
                  <w:noWrap w:val="0"/>
                  <w:vAlign w:val="center"/>
                </w:tcPr>
                <w:p w14:paraId="18CA1310">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both"/>
                    <w:textAlignment w:val="auto"/>
                    <w:rPr>
                      <w:rFonts w:hint="eastAsia" w:ascii="Times New Roman" w:hAnsi="Times New Roman" w:eastAsia="宋体" w:cs="黑体"/>
                      <w:position w:val="2"/>
                      <w:sz w:val="21"/>
                      <w:szCs w:val="21"/>
                    </w:rPr>
                  </w:pPr>
                  <w:r>
                    <w:rPr>
                      <w:rFonts w:hint="eastAsia" w:ascii="Times New Roman" w:hAnsi="Times New Roman" w:eastAsia="宋体" w:cs="黑体"/>
                      <w:position w:val="2"/>
                      <w:sz w:val="21"/>
                      <w:szCs w:val="21"/>
                    </w:rPr>
                    <w:t>符合规划产业定位，即新型化工和生物医药。</w:t>
                  </w:r>
                </w:p>
              </w:tc>
              <w:tc>
                <w:tcPr>
                  <w:tcW w:w="1575" w:type="dxa"/>
                  <w:vMerge w:val="restart"/>
                  <w:noWrap w:val="0"/>
                  <w:vAlign w:val="center"/>
                </w:tcPr>
                <w:p w14:paraId="22CD9A17">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both"/>
                    <w:textAlignment w:val="auto"/>
                    <w:rPr>
                      <w:rFonts w:hint="eastAsia" w:ascii="Times New Roman" w:hAnsi="Times New Roman" w:eastAsia="宋体" w:cs="黑体"/>
                      <w:position w:val="2"/>
                      <w:sz w:val="21"/>
                      <w:szCs w:val="21"/>
                    </w:rPr>
                  </w:pPr>
                  <w:r>
                    <w:rPr>
                      <w:rFonts w:hint="eastAsia" w:ascii="Times New Roman" w:hAnsi="Times New Roman" w:eastAsia="宋体" w:cs="黑体"/>
                      <w:position w:val="2"/>
                      <w:sz w:val="21"/>
                      <w:szCs w:val="21"/>
                    </w:rPr>
                    <w:t>本项目</w:t>
                  </w:r>
                  <w:r>
                    <w:rPr>
                      <w:rFonts w:hint="eastAsia" w:ascii="Times New Roman" w:hAnsi="Times New Roman" w:eastAsia="宋体" w:cs="黑体"/>
                      <w:position w:val="2"/>
                      <w:sz w:val="21"/>
                      <w:szCs w:val="21"/>
                      <w:lang w:eastAsia="zh-CN"/>
                    </w:rPr>
                    <w:t>为</w:t>
                  </w:r>
                  <w:r>
                    <w:rPr>
                      <w:rFonts w:hint="eastAsia" w:cs="黑体"/>
                      <w:position w:val="2"/>
                      <w:sz w:val="21"/>
                      <w:szCs w:val="21"/>
                      <w:lang w:val="en-US" w:eastAsia="zh-CN"/>
                    </w:rPr>
                    <w:t>塑料零件及其他塑料制品制造行业</w:t>
                  </w:r>
                  <w:r>
                    <w:rPr>
                      <w:rFonts w:hint="eastAsia" w:ascii="Times New Roman" w:hAnsi="Times New Roman" w:eastAsia="宋体" w:cs="黑体"/>
                      <w:position w:val="2"/>
                      <w:sz w:val="21"/>
                      <w:szCs w:val="21"/>
                    </w:rPr>
                    <w:t>，</w:t>
                  </w:r>
                  <w:r>
                    <w:rPr>
                      <w:rFonts w:hint="eastAsia" w:ascii="Times New Roman" w:hAnsi="Times New Roman" w:eastAsia="宋体" w:cs="黑体"/>
                      <w:position w:val="2"/>
                      <w:sz w:val="21"/>
                      <w:szCs w:val="21"/>
                      <w:lang w:eastAsia="zh-CN"/>
                    </w:rPr>
                    <w:t>生产中药包装袋，属于医药配套产业，</w:t>
                  </w:r>
                  <w:r>
                    <w:rPr>
                      <w:rFonts w:hint="eastAsia" w:ascii="Times New Roman" w:hAnsi="Times New Roman" w:eastAsia="宋体" w:cs="黑体"/>
                      <w:position w:val="2"/>
                      <w:sz w:val="21"/>
                      <w:szCs w:val="21"/>
                    </w:rPr>
                    <w:t>在企业现有</w:t>
                  </w:r>
                  <w:r>
                    <w:rPr>
                      <w:rFonts w:hint="eastAsia" w:ascii="Times New Roman" w:hAnsi="Times New Roman" w:eastAsia="宋体" w:cs="黑体"/>
                      <w:position w:val="2"/>
                      <w:sz w:val="21"/>
                      <w:szCs w:val="21"/>
                      <w:lang w:eastAsia="zh-CN"/>
                    </w:rPr>
                    <w:t>生产车间</w:t>
                  </w:r>
                  <w:r>
                    <w:rPr>
                      <w:rFonts w:hint="eastAsia" w:ascii="Times New Roman" w:hAnsi="Times New Roman" w:eastAsia="宋体" w:cs="黑体"/>
                      <w:position w:val="2"/>
                      <w:sz w:val="21"/>
                      <w:szCs w:val="21"/>
                    </w:rPr>
                    <w:t>内建设，不新增占地，符合园区产业定位、行业准入条件；项目生产工艺先进、自动化程度高，污染治理技术先进可靠。</w:t>
                  </w:r>
                </w:p>
              </w:tc>
              <w:tc>
                <w:tcPr>
                  <w:tcW w:w="469" w:type="dxa"/>
                  <w:vMerge w:val="restart"/>
                  <w:noWrap w:val="0"/>
                  <w:vAlign w:val="center"/>
                </w:tcPr>
                <w:p w14:paraId="6E427798">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eastAsia" w:ascii="Times New Roman" w:hAnsi="Times New Roman" w:eastAsia="宋体" w:cs="黑体"/>
                      <w:position w:val="2"/>
                      <w:sz w:val="21"/>
                      <w:szCs w:val="21"/>
                    </w:rPr>
                  </w:pPr>
                  <w:r>
                    <w:rPr>
                      <w:rFonts w:hint="eastAsia" w:ascii="Times New Roman" w:hAnsi="Times New Roman" w:eastAsia="宋体" w:cs="黑体"/>
                      <w:position w:val="2"/>
                      <w:sz w:val="21"/>
                      <w:szCs w:val="21"/>
                    </w:rPr>
                    <w:t>符合</w:t>
                  </w:r>
                </w:p>
              </w:tc>
            </w:tr>
            <w:tr w14:paraId="04785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410" w:type="dxa"/>
                  <w:vMerge w:val="continue"/>
                  <w:noWrap w:val="0"/>
                  <w:vAlign w:val="center"/>
                </w:tcPr>
                <w:p w14:paraId="46287731">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eastAsia" w:ascii="Times New Roman" w:hAnsi="Times New Roman" w:eastAsia="宋体" w:cs="黑体"/>
                      <w:position w:val="2"/>
                      <w:sz w:val="21"/>
                      <w:szCs w:val="21"/>
                    </w:rPr>
                  </w:pPr>
                </w:p>
              </w:tc>
              <w:tc>
                <w:tcPr>
                  <w:tcW w:w="5153" w:type="dxa"/>
                  <w:noWrap w:val="0"/>
                  <w:vAlign w:val="center"/>
                </w:tcPr>
                <w:p w14:paraId="6F5AA009">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both"/>
                    <w:textAlignment w:val="auto"/>
                    <w:rPr>
                      <w:rFonts w:hint="eastAsia" w:ascii="Times New Roman" w:hAnsi="Times New Roman" w:eastAsia="宋体" w:cs="黑体"/>
                      <w:position w:val="2"/>
                      <w:sz w:val="21"/>
                      <w:szCs w:val="21"/>
                    </w:rPr>
                  </w:pPr>
                  <w:r>
                    <w:rPr>
                      <w:rFonts w:hint="eastAsia" w:ascii="Times New Roman" w:hAnsi="Times New Roman" w:eastAsia="宋体" w:cs="黑体"/>
                      <w:position w:val="2"/>
                      <w:sz w:val="21"/>
                      <w:szCs w:val="21"/>
                    </w:rPr>
                    <w:t>坚持高起点规划、高标准建设、高水平管理，发展技术含量高、附加价值高，引进符合国家产业政策，采用先进生产工艺和设备、自动化程度高、智能制造和绿色制造、具有可靠先进的污染治理技术的项目。</w:t>
                  </w:r>
                </w:p>
              </w:tc>
              <w:tc>
                <w:tcPr>
                  <w:tcW w:w="1575" w:type="dxa"/>
                  <w:vMerge w:val="continue"/>
                  <w:noWrap w:val="0"/>
                  <w:vAlign w:val="center"/>
                </w:tcPr>
                <w:p w14:paraId="2E592BC1">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both"/>
                    <w:textAlignment w:val="auto"/>
                    <w:rPr>
                      <w:rFonts w:hint="eastAsia" w:ascii="Times New Roman" w:hAnsi="Times New Roman" w:eastAsia="宋体" w:cs="黑体"/>
                      <w:position w:val="2"/>
                      <w:sz w:val="21"/>
                      <w:szCs w:val="21"/>
                    </w:rPr>
                  </w:pPr>
                </w:p>
              </w:tc>
              <w:tc>
                <w:tcPr>
                  <w:tcW w:w="469" w:type="dxa"/>
                  <w:vMerge w:val="continue"/>
                  <w:noWrap w:val="0"/>
                  <w:vAlign w:val="center"/>
                </w:tcPr>
                <w:p w14:paraId="453B85BE">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eastAsia" w:ascii="Times New Roman" w:hAnsi="Times New Roman" w:eastAsia="宋体" w:cs="黑体"/>
                      <w:position w:val="2"/>
                      <w:sz w:val="21"/>
                      <w:szCs w:val="21"/>
                    </w:rPr>
                  </w:pPr>
                </w:p>
              </w:tc>
            </w:tr>
            <w:tr w14:paraId="4E60B8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410" w:type="dxa"/>
                  <w:vMerge w:val="continue"/>
                  <w:noWrap w:val="0"/>
                  <w:vAlign w:val="center"/>
                </w:tcPr>
                <w:p w14:paraId="698C54C6">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eastAsia" w:ascii="Times New Roman" w:hAnsi="Times New Roman" w:eastAsia="宋体" w:cs="黑体"/>
                      <w:position w:val="2"/>
                      <w:sz w:val="21"/>
                      <w:szCs w:val="21"/>
                    </w:rPr>
                  </w:pPr>
                </w:p>
              </w:tc>
              <w:tc>
                <w:tcPr>
                  <w:tcW w:w="5153" w:type="dxa"/>
                  <w:noWrap w:val="0"/>
                  <w:vAlign w:val="center"/>
                </w:tcPr>
                <w:p w14:paraId="54E4777F">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both"/>
                    <w:textAlignment w:val="auto"/>
                    <w:rPr>
                      <w:rFonts w:hint="eastAsia" w:ascii="Times New Roman" w:hAnsi="Times New Roman" w:eastAsia="宋体" w:cs="黑体"/>
                      <w:position w:val="2"/>
                      <w:sz w:val="21"/>
                      <w:szCs w:val="21"/>
                    </w:rPr>
                  </w:pPr>
                  <w:r>
                    <w:rPr>
                      <w:rFonts w:hint="eastAsia" w:ascii="Times New Roman" w:hAnsi="Times New Roman" w:eastAsia="宋体" w:cs="黑体"/>
                      <w:position w:val="2"/>
                      <w:sz w:val="21"/>
                      <w:szCs w:val="21"/>
                    </w:rPr>
                    <w:t>鼓励具有先进、科学、智慧化环境管理水平、符合园区产业定位、行业准入条件的项目入区。</w:t>
                  </w:r>
                </w:p>
              </w:tc>
              <w:tc>
                <w:tcPr>
                  <w:tcW w:w="1575" w:type="dxa"/>
                  <w:vMerge w:val="continue"/>
                  <w:noWrap w:val="0"/>
                  <w:vAlign w:val="center"/>
                </w:tcPr>
                <w:p w14:paraId="1EF469F1">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both"/>
                    <w:textAlignment w:val="auto"/>
                    <w:rPr>
                      <w:rFonts w:hint="eastAsia" w:ascii="Times New Roman" w:hAnsi="Times New Roman" w:eastAsia="宋体" w:cs="黑体"/>
                      <w:position w:val="2"/>
                      <w:sz w:val="21"/>
                      <w:szCs w:val="21"/>
                    </w:rPr>
                  </w:pPr>
                </w:p>
              </w:tc>
              <w:tc>
                <w:tcPr>
                  <w:tcW w:w="469" w:type="dxa"/>
                  <w:vMerge w:val="continue"/>
                  <w:noWrap w:val="0"/>
                  <w:vAlign w:val="center"/>
                </w:tcPr>
                <w:p w14:paraId="52671838">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eastAsia" w:ascii="Times New Roman" w:hAnsi="Times New Roman" w:eastAsia="宋体" w:cs="黑体"/>
                      <w:position w:val="2"/>
                      <w:sz w:val="21"/>
                      <w:szCs w:val="21"/>
                    </w:rPr>
                  </w:pPr>
                </w:p>
              </w:tc>
            </w:tr>
            <w:tr w14:paraId="2D8CF8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410" w:type="dxa"/>
                  <w:vMerge w:val="continue"/>
                  <w:noWrap w:val="0"/>
                  <w:vAlign w:val="center"/>
                </w:tcPr>
                <w:p w14:paraId="7027CCBA">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eastAsia" w:ascii="Times New Roman" w:hAnsi="Times New Roman" w:eastAsia="宋体" w:cs="黑体"/>
                      <w:position w:val="2"/>
                      <w:sz w:val="21"/>
                      <w:szCs w:val="21"/>
                    </w:rPr>
                  </w:pPr>
                </w:p>
              </w:tc>
              <w:tc>
                <w:tcPr>
                  <w:tcW w:w="5153" w:type="dxa"/>
                  <w:noWrap w:val="0"/>
                  <w:vAlign w:val="center"/>
                </w:tcPr>
                <w:p w14:paraId="7F451A46">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both"/>
                    <w:textAlignment w:val="auto"/>
                    <w:rPr>
                      <w:rFonts w:hint="eastAsia" w:ascii="Times New Roman" w:hAnsi="Times New Roman" w:eastAsia="宋体" w:cs="黑体"/>
                      <w:position w:val="2"/>
                      <w:sz w:val="21"/>
                      <w:szCs w:val="21"/>
                    </w:rPr>
                  </w:pPr>
                  <w:r>
                    <w:rPr>
                      <w:rFonts w:hint="eastAsia" w:ascii="Times New Roman" w:hAnsi="Times New Roman" w:eastAsia="宋体" w:cs="黑体"/>
                      <w:position w:val="2"/>
                      <w:sz w:val="21"/>
                      <w:szCs w:val="21"/>
                    </w:rPr>
                    <w:t>引进项目需要与园区基础设施条件匹配。</w:t>
                  </w:r>
                </w:p>
              </w:tc>
              <w:tc>
                <w:tcPr>
                  <w:tcW w:w="1575" w:type="dxa"/>
                  <w:vMerge w:val="continue"/>
                  <w:noWrap w:val="0"/>
                  <w:vAlign w:val="center"/>
                </w:tcPr>
                <w:p w14:paraId="55CA672A">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both"/>
                    <w:textAlignment w:val="auto"/>
                    <w:rPr>
                      <w:rFonts w:hint="eastAsia" w:ascii="Times New Roman" w:hAnsi="Times New Roman" w:eastAsia="宋体" w:cs="黑体"/>
                      <w:position w:val="2"/>
                      <w:sz w:val="21"/>
                      <w:szCs w:val="21"/>
                    </w:rPr>
                  </w:pPr>
                </w:p>
              </w:tc>
              <w:tc>
                <w:tcPr>
                  <w:tcW w:w="469" w:type="dxa"/>
                  <w:vMerge w:val="continue"/>
                  <w:noWrap w:val="0"/>
                  <w:vAlign w:val="center"/>
                </w:tcPr>
                <w:p w14:paraId="4AF32E1A">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eastAsia" w:ascii="Times New Roman" w:hAnsi="Times New Roman" w:eastAsia="宋体" w:cs="黑体"/>
                      <w:position w:val="2"/>
                      <w:sz w:val="21"/>
                      <w:szCs w:val="21"/>
                    </w:rPr>
                  </w:pPr>
                </w:p>
              </w:tc>
            </w:tr>
            <w:tr w14:paraId="3C93AC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410" w:type="dxa"/>
                  <w:vMerge w:val="restart"/>
                  <w:noWrap w:val="0"/>
                  <w:vAlign w:val="center"/>
                </w:tcPr>
                <w:p w14:paraId="3B2D3F8E">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eastAsia" w:ascii="Times New Roman" w:hAnsi="Times New Roman" w:eastAsia="宋体" w:cs="黑体"/>
                      <w:position w:val="2"/>
                      <w:sz w:val="21"/>
                      <w:szCs w:val="21"/>
                    </w:rPr>
                  </w:pPr>
                  <w:r>
                    <w:rPr>
                      <w:rFonts w:hint="eastAsia" w:ascii="Times New Roman" w:hAnsi="Times New Roman" w:eastAsia="宋体" w:cs="黑体"/>
                      <w:position w:val="2"/>
                      <w:sz w:val="21"/>
                      <w:szCs w:val="21"/>
                    </w:rPr>
                    <w:t>管控要求</w:t>
                  </w:r>
                </w:p>
              </w:tc>
              <w:tc>
                <w:tcPr>
                  <w:tcW w:w="5153" w:type="dxa"/>
                  <w:noWrap w:val="0"/>
                  <w:vAlign w:val="center"/>
                </w:tcPr>
                <w:p w14:paraId="470C0514">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both"/>
                    <w:textAlignment w:val="auto"/>
                    <w:rPr>
                      <w:rFonts w:hint="eastAsia" w:ascii="Times New Roman" w:hAnsi="Times New Roman" w:eastAsia="宋体" w:cs="黑体"/>
                      <w:position w:val="2"/>
                      <w:sz w:val="21"/>
                      <w:szCs w:val="21"/>
                    </w:rPr>
                  </w:pPr>
                  <w:r>
                    <w:rPr>
                      <w:rFonts w:hint="eastAsia" w:ascii="Times New Roman" w:hAnsi="Times New Roman" w:eastAsia="宋体" w:cs="黑体"/>
                      <w:position w:val="2"/>
                      <w:sz w:val="21"/>
                      <w:szCs w:val="21"/>
                    </w:rPr>
                    <w:t>清洁生产水平应达到国内先进水平：即二级以上水平，同时符合循环经济要求。</w:t>
                  </w:r>
                </w:p>
              </w:tc>
              <w:tc>
                <w:tcPr>
                  <w:tcW w:w="1575" w:type="dxa"/>
                  <w:vMerge w:val="restart"/>
                  <w:noWrap w:val="0"/>
                  <w:vAlign w:val="center"/>
                </w:tcPr>
                <w:p w14:paraId="57094409">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both"/>
                    <w:textAlignment w:val="auto"/>
                    <w:rPr>
                      <w:rFonts w:hint="eastAsia" w:ascii="Times New Roman" w:hAnsi="Times New Roman" w:eastAsia="宋体" w:cs="黑体"/>
                      <w:position w:val="2"/>
                      <w:sz w:val="21"/>
                      <w:szCs w:val="21"/>
                    </w:rPr>
                  </w:pPr>
                  <w:r>
                    <w:rPr>
                      <w:rFonts w:hint="eastAsia" w:ascii="Times New Roman" w:hAnsi="Times New Roman" w:eastAsia="宋体" w:cs="黑体"/>
                      <w:position w:val="2"/>
                      <w:sz w:val="21"/>
                      <w:szCs w:val="21"/>
                    </w:rPr>
                    <w:t>企业清洁生产水平可达到国内先进水平，且</w:t>
                  </w:r>
                  <w:r>
                    <w:rPr>
                      <w:rFonts w:hint="eastAsia" w:cs="黑体"/>
                      <w:position w:val="2"/>
                      <w:sz w:val="21"/>
                      <w:szCs w:val="21"/>
                      <w:lang w:eastAsia="zh-CN"/>
                    </w:rPr>
                    <w:t>符合</w:t>
                  </w:r>
                  <w:r>
                    <w:rPr>
                      <w:rFonts w:hint="eastAsia" w:ascii="Times New Roman" w:hAnsi="Times New Roman" w:eastAsia="宋体" w:cs="黑体"/>
                      <w:position w:val="2"/>
                      <w:sz w:val="21"/>
                      <w:szCs w:val="21"/>
                    </w:rPr>
                    <w:t>循环经济要求；项目能耗、水耗低，不涉及COD、氨氮、SO</w:t>
                  </w:r>
                  <w:r>
                    <w:rPr>
                      <w:rFonts w:hint="eastAsia" w:ascii="Times New Roman" w:hAnsi="Times New Roman" w:eastAsia="宋体" w:cs="黑体"/>
                      <w:position w:val="2"/>
                      <w:sz w:val="21"/>
                      <w:szCs w:val="21"/>
                      <w:vertAlign w:val="subscript"/>
                    </w:rPr>
                    <w:t>2</w:t>
                  </w:r>
                  <w:r>
                    <w:rPr>
                      <w:rFonts w:hint="eastAsia" w:ascii="Times New Roman" w:hAnsi="Times New Roman" w:eastAsia="宋体" w:cs="黑体"/>
                      <w:position w:val="2"/>
                      <w:sz w:val="21"/>
                      <w:szCs w:val="21"/>
                    </w:rPr>
                    <w:t>、NO</w:t>
                  </w:r>
                  <w:r>
                    <w:rPr>
                      <w:rFonts w:hint="eastAsia" w:ascii="Times New Roman" w:hAnsi="Times New Roman" w:eastAsia="宋体" w:cs="黑体"/>
                      <w:position w:val="2"/>
                      <w:sz w:val="21"/>
                      <w:szCs w:val="21"/>
                      <w:vertAlign w:val="subscript"/>
                    </w:rPr>
                    <w:t>X</w:t>
                  </w:r>
                  <w:r>
                    <w:rPr>
                      <w:rFonts w:hint="eastAsia" w:ascii="Times New Roman" w:hAnsi="Times New Roman" w:eastAsia="宋体" w:cs="黑体"/>
                      <w:position w:val="2"/>
                      <w:sz w:val="21"/>
                      <w:szCs w:val="21"/>
                    </w:rPr>
                    <w:t>排放。</w:t>
                  </w:r>
                </w:p>
              </w:tc>
              <w:tc>
                <w:tcPr>
                  <w:tcW w:w="469" w:type="dxa"/>
                  <w:vMerge w:val="restart"/>
                  <w:noWrap w:val="0"/>
                  <w:vAlign w:val="center"/>
                </w:tcPr>
                <w:p w14:paraId="7E9B684E">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eastAsia" w:ascii="Times New Roman" w:hAnsi="Times New Roman" w:eastAsia="宋体" w:cs="黑体"/>
                      <w:position w:val="2"/>
                      <w:sz w:val="21"/>
                      <w:szCs w:val="21"/>
                    </w:rPr>
                  </w:pPr>
                  <w:r>
                    <w:rPr>
                      <w:rFonts w:hint="eastAsia" w:ascii="Times New Roman" w:hAnsi="Times New Roman" w:eastAsia="宋体" w:cs="黑体"/>
                      <w:position w:val="2"/>
                      <w:sz w:val="21"/>
                      <w:szCs w:val="21"/>
                    </w:rPr>
                    <w:t>符合</w:t>
                  </w:r>
                </w:p>
              </w:tc>
            </w:tr>
            <w:tr w14:paraId="4D9AED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410" w:type="dxa"/>
                  <w:vMerge w:val="continue"/>
                  <w:noWrap w:val="0"/>
                  <w:vAlign w:val="center"/>
                </w:tcPr>
                <w:p w14:paraId="44B6CD5D">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eastAsia" w:ascii="Times New Roman" w:hAnsi="Times New Roman" w:eastAsia="宋体" w:cs="黑体"/>
                      <w:position w:val="2"/>
                      <w:sz w:val="21"/>
                      <w:szCs w:val="21"/>
                    </w:rPr>
                  </w:pPr>
                </w:p>
              </w:tc>
              <w:tc>
                <w:tcPr>
                  <w:tcW w:w="5153" w:type="dxa"/>
                  <w:noWrap w:val="0"/>
                  <w:vAlign w:val="center"/>
                </w:tcPr>
                <w:p w14:paraId="3D96D097">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both"/>
                    <w:textAlignment w:val="auto"/>
                    <w:rPr>
                      <w:rFonts w:hint="eastAsia" w:ascii="Times New Roman" w:hAnsi="Times New Roman" w:eastAsia="宋体" w:cs="黑体"/>
                      <w:position w:val="2"/>
                      <w:sz w:val="21"/>
                      <w:szCs w:val="21"/>
                    </w:rPr>
                  </w:pPr>
                  <w:r>
                    <w:rPr>
                      <w:rFonts w:hint="eastAsia" w:ascii="Times New Roman" w:hAnsi="Times New Roman" w:eastAsia="宋体" w:cs="黑体"/>
                      <w:position w:val="2"/>
                      <w:sz w:val="21"/>
                      <w:szCs w:val="21"/>
                    </w:rPr>
                    <w:t>符合规划指标和总量控制指标要求：入区项目单位GDP综合能耗、新鲜水耗及COD</w:t>
                  </w:r>
                  <w:r>
                    <w:rPr>
                      <w:rFonts w:hint="eastAsia" w:ascii="Times New Roman" w:hAnsi="Times New Roman" w:eastAsia="宋体" w:cs="黑体"/>
                      <w:position w:val="2"/>
                      <w:sz w:val="21"/>
                      <w:szCs w:val="21"/>
                      <w:lang w:eastAsia="zh-CN"/>
                    </w:rPr>
                    <w:t>、</w:t>
                  </w:r>
                  <w:r>
                    <w:rPr>
                      <w:rFonts w:hint="eastAsia" w:ascii="Times New Roman" w:hAnsi="Times New Roman" w:eastAsia="宋体" w:cs="黑体"/>
                      <w:position w:val="2"/>
                      <w:sz w:val="21"/>
                      <w:szCs w:val="21"/>
                    </w:rPr>
                    <w:t>氨氮、二氧化硫、氮氧化物排放总量等指标应符合园区规划指标要求，即入区项目相应指标应优于或不劣于规划指标，污染物排放总量控制指标满足本次规划环评提出的临港开发区总量控制及指标要求。</w:t>
                  </w:r>
                </w:p>
              </w:tc>
              <w:tc>
                <w:tcPr>
                  <w:tcW w:w="1575" w:type="dxa"/>
                  <w:vMerge w:val="continue"/>
                  <w:noWrap w:val="0"/>
                  <w:vAlign w:val="center"/>
                </w:tcPr>
                <w:p w14:paraId="14286835">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both"/>
                    <w:textAlignment w:val="auto"/>
                    <w:rPr>
                      <w:rFonts w:hint="eastAsia" w:ascii="Times New Roman" w:hAnsi="Times New Roman" w:eastAsia="宋体" w:cs="黑体"/>
                      <w:position w:val="2"/>
                      <w:sz w:val="21"/>
                      <w:szCs w:val="21"/>
                    </w:rPr>
                  </w:pPr>
                </w:p>
              </w:tc>
              <w:tc>
                <w:tcPr>
                  <w:tcW w:w="469" w:type="dxa"/>
                  <w:vMerge w:val="continue"/>
                  <w:noWrap w:val="0"/>
                  <w:vAlign w:val="center"/>
                </w:tcPr>
                <w:p w14:paraId="7A683C94">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eastAsia" w:ascii="Times New Roman" w:hAnsi="Times New Roman" w:eastAsia="宋体" w:cs="黑体"/>
                      <w:position w:val="2"/>
                      <w:sz w:val="21"/>
                      <w:szCs w:val="21"/>
                    </w:rPr>
                  </w:pPr>
                </w:p>
              </w:tc>
            </w:tr>
            <w:tr w14:paraId="57665A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410" w:type="dxa"/>
                  <w:vMerge w:val="continue"/>
                  <w:noWrap w:val="0"/>
                  <w:vAlign w:val="center"/>
                </w:tcPr>
                <w:p w14:paraId="1E395833">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eastAsia" w:ascii="Times New Roman" w:hAnsi="Times New Roman" w:eastAsia="宋体" w:cs="黑体"/>
                      <w:position w:val="2"/>
                      <w:sz w:val="21"/>
                      <w:szCs w:val="21"/>
                    </w:rPr>
                  </w:pPr>
                </w:p>
              </w:tc>
              <w:tc>
                <w:tcPr>
                  <w:tcW w:w="5153" w:type="dxa"/>
                  <w:noWrap w:val="0"/>
                  <w:vAlign w:val="center"/>
                </w:tcPr>
                <w:p w14:paraId="454DD825">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both"/>
                    <w:textAlignment w:val="auto"/>
                    <w:rPr>
                      <w:rFonts w:hint="eastAsia" w:ascii="Times New Roman" w:hAnsi="Times New Roman" w:eastAsia="宋体" w:cs="黑体"/>
                      <w:position w:val="2"/>
                      <w:sz w:val="21"/>
                      <w:szCs w:val="21"/>
                    </w:rPr>
                  </w:pPr>
                  <w:r>
                    <w:rPr>
                      <w:rFonts w:hint="eastAsia" w:ascii="Times New Roman" w:hAnsi="Times New Roman" w:eastAsia="宋体" w:cs="黑体"/>
                      <w:position w:val="2"/>
                      <w:sz w:val="21"/>
                      <w:szCs w:val="21"/>
                    </w:rPr>
                    <w:t>符合生态保护红线和管控要求：临港开发区规划范围未涉及生态保护红线，但需要满足河北省生态保护红线和海洋生态红线要求。</w:t>
                  </w:r>
                </w:p>
              </w:tc>
              <w:tc>
                <w:tcPr>
                  <w:tcW w:w="1575" w:type="dxa"/>
                  <w:vMerge w:val="restart"/>
                  <w:noWrap w:val="0"/>
                  <w:vAlign w:val="center"/>
                </w:tcPr>
                <w:p w14:paraId="0B1AB4D7">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both"/>
                    <w:textAlignment w:val="auto"/>
                    <w:rPr>
                      <w:rFonts w:hint="eastAsia" w:ascii="Times New Roman" w:hAnsi="Times New Roman" w:eastAsia="宋体" w:cs="黑体"/>
                      <w:position w:val="2"/>
                      <w:sz w:val="21"/>
                      <w:szCs w:val="21"/>
                    </w:rPr>
                  </w:pPr>
                  <w:r>
                    <w:rPr>
                      <w:rFonts w:hint="eastAsia" w:ascii="Times New Roman" w:hAnsi="Times New Roman" w:eastAsia="宋体" w:cs="黑体"/>
                      <w:position w:val="2"/>
                      <w:sz w:val="21"/>
                      <w:szCs w:val="21"/>
                    </w:rPr>
                    <w:t>根据本次环评“三线一单”符合性分析，项目满足生态保护红线、环境质量底线和资源利用上线的要求。</w:t>
                  </w:r>
                </w:p>
              </w:tc>
              <w:tc>
                <w:tcPr>
                  <w:tcW w:w="469" w:type="dxa"/>
                  <w:vMerge w:val="restart"/>
                  <w:noWrap w:val="0"/>
                  <w:vAlign w:val="center"/>
                </w:tcPr>
                <w:p w14:paraId="6623F340">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eastAsia" w:ascii="Times New Roman" w:hAnsi="Times New Roman" w:eastAsia="宋体" w:cs="黑体"/>
                      <w:position w:val="2"/>
                      <w:sz w:val="21"/>
                      <w:szCs w:val="21"/>
                    </w:rPr>
                  </w:pPr>
                  <w:r>
                    <w:rPr>
                      <w:rFonts w:hint="eastAsia" w:ascii="Times New Roman" w:hAnsi="Times New Roman" w:eastAsia="宋体" w:cs="黑体"/>
                      <w:position w:val="2"/>
                      <w:sz w:val="21"/>
                      <w:szCs w:val="21"/>
                    </w:rPr>
                    <w:t>符合</w:t>
                  </w:r>
                </w:p>
              </w:tc>
            </w:tr>
            <w:tr w14:paraId="4E9907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410" w:type="dxa"/>
                  <w:vMerge w:val="continue"/>
                  <w:noWrap w:val="0"/>
                  <w:vAlign w:val="center"/>
                </w:tcPr>
                <w:p w14:paraId="45B461AE">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eastAsia" w:ascii="Times New Roman" w:hAnsi="Times New Roman" w:eastAsia="宋体" w:cs="黑体"/>
                      <w:position w:val="2"/>
                      <w:sz w:val="21"/>
                      <w:szCs w:val="21"/>
                    </w:rPr>
                  </w:pPr>
                </w:p>
              </w:tc>
              <w:tc>
                <w:tcPr>
                  <w:tcW w:w="5153" w:type="dxa"/>
                  <w:noWrap w:val="0"/>
                  <w:vAlign w:val="center"/>
                </w:tcPr>
                <w:p w14:paraId="1D9C1A7B">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both"/>
                    <w:textAlignment w:val="auto"/>
                    <w:rPr>
                      <w:rFonts w:hint="eastAsia" w:ascii="Times New Roman" w:hAnsi="Times New Roman" w:eastAsia="宋体" w:cs="黑体"/>
                      <w:position w:val="2"/>
                      <w:sz w:val="21"/>
                      <w:szCs w:val="21"/>
                    </w:rPr>
                  </w:pPr>
                  <w:r>
                    <w:rPr>
                      <w:rFonts w:hint="eastAsia" w:ascii="Times New Roman" w:hAnsi="Times New Roman" w:eastAsia="宋体" w:cs="黑体"/>
                      <w:position w:val="2"/>
                      <w:sz w:val="21"/>
                      <w:szCs w:val="21"/>
                    </w:rPr>
                    <w:t>符合环境质量底线的要求：入区项目均应实施主要污染物“倍量替代”要求，规划实施应确保区域环境质量改善。</w:t>
                  </w:r>
                </w:p>
              </w:tc>
              <w:tc>
                <w:tcPr>
                  <w:tcW w:w="1575" w:type="dxa"/>
                  <w:vMerge w:val="continue"/>
                  <w:noWrap w:val="0"/>
                  <w:vAlign w:val="center"/>
                </w:tcPr>
                <w:p w14:paraId="0366512A">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both"/>
                    <w:textAlignment w:val="auto"/>
                    <w:rPr>
                      <w:rFonts w:hint="eastAsia" w:ascii="Times New Roman" w:hAnsi="Times New Roman" w:eastAsia="宋体" w:cs="黑体"/>
                      <w:position w:val="2"/>
                      <w:sz w:val="21"/>
                      <w:szCs w:val="21"/>
                    </w:rPr>
                  </w:pPr>
                </w:p>
              </w:tc>
              <w:tc>
                <w:tcPr>
                  <w:tcW w:w="469" w:type="dxa"/>
                  <w:vMerge w:val="continue"/>
                  <w:noWrap w:val="0"/>
                  <w:vAlign w:val="center"/>
                </w:tcPr>
                <w:p w14:paraId="4491A930">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eastAsia" w:ascii="Times New Roman" w:hAnsi="Times New Roman" w:eastAsia="宋体" w:cs="黑体"/>
                      <w:position w:val="2"/>
                      <w:sz w:val="21"/>
                      <w:szCs w:val="21"/>
                    </w:rPr>
                  </w:pPr>
                </w:p>
              </w:tc>
            </w:tr>
            <w:tr w14:paraId="23B399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410" w:type="dxa"/>
                  <w:vMerge w:val="continue"/>
                  <w:noWrap w:val="0"/>
                  <w:vAlign w:val="center"/>
                </w:tcPr>
                <w:p w14:paraId="1BBB9C25">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eastAsia" w:ascii="Times New Roman" w:hAnsi="Times New Roman" w:eastAsia="宋体" w:cs="黑体"/>
                      <w:position w:val="2"/>
                      <w:sz w:val="21"/>
                      <w:szCs w:val="21"/>
                    </w:rPr>
                  </w:pPr>
                </w:p>
              </w:tc>
              <w:tc>
                <w:tcPr>
                  <w:tcW w:w="5153" w:type="dxa"/>
                  <w:noWrap w:val="0"/>
                  <w:vAlign w:val="center"/>
                </w:tcPr>
                <w:p w14:paraId="31B2002E">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both"/>
                    <w:textAlignment w:val="auto"/>
                    <w:rPr>
                      <w:rFonts w:hint="eastAsia" w:ascii="Times New Roman" w:hAnsi="Times New Roman" w:eastAsia="宋体" w:cs="黑体"/>
                      <w:position w:val="2"/>
                      <w:sz w:val="21"/>
                      <w:szCs w:val="21"/>
                    </w:rPr>
                  </w:pPr>
                  <w:r>
                    <w:rPr>
                      <w:rFonts w:hint="eastAsia" w:ascii="Times New Roman" w:hAnsi="Times New Roman" w:eastAsia="宋体" w:cs="黑体"/>
                      <w:position w:val="2"/>
                      <w:sz w:val="21"/>
                      <w:szCs w:val="21"/>
                    </w:rPr>
                    <w:t>符合资源利用上线的要求：入区企业应当注重资源节约，资源利用应当符合资源利用上限清单要求。</w:t>
                  </w:r>
                </w:p>
              </w:tc>
              <w:tc>
                <w:tcPr>
                  <w:tcW w:w="1575" w:type="dxa"/>
                  <w:vMerge w:val="continue"/>
                  <w:noWrap w:val="0"/>
                  <w:vAlign w:val="center"/>
                </w:tcPr>
                <w:p w14:paraId="21FD9B8A">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both"/>
                    <w:textAlignment w:val="auto"/>
                    <w:rPr>
                      <w:rFonts w:hint="eastAsia" w:ascii="Times New Roman" w:hAnsi="Times New Roman" w:eastAsia="宋体" w:cs="黑体"/>
                      <w:position w:val="2"/>
                      <w:sz w:val="21"/>
                      <w:szCs w:val="21"/>
                    </w:rPr>
                  </w:pPr>
                </w:p>
              </w:tc>
              <w:tc>
                <w:tcPr>
                  <w:tcW w:w="469" w:type="dxa"/>
                  <w:vMerge w:val="continue"/>
                  <w:noWrap w:val="0"/>
                  <w:vAlign w:val="center"/>
                </w:tcPr>
                <w:p w14:paraId="04A5AE61">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eastAsia" w:ascii="Times New Roman" w:hAnsi="Times New Roman" w:eastAsia="宋体" w:cs="黑体"/>
                      <w:position w:val="2"/>
                      <w:sz w:val="21"/>
                      <w:szCs w:val="21"/>
                    </w:rPr>
                  </w:pPr>
                </w:p>
              </w:tc>
            </w:tr>
            <w:tr w14:paraId="63ABA6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410" w:type="dxa"/>
                  <w:vMerge w:val="continue"/>
                  <w:noWrap w:val="0"/>
                  <w:vAlign w:val="center"/>
                </w:tcPr>
                <w:p w14:paraId="00E81536">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eastAsia" w:ascii="Times New Roman" w:hAnsi="Times New Roman" w:eastAsia="宋体" w:cs="黑体"/>
                      <w:position w:val="2"/>
                      <w:sz w:val="21"/>
                      <w:szCs w:val="21"/>
                    </w:rPr>
                  </w:pPr>
                </w:p>
              </w:tc>
              <w:tc>
                <w:tcPr>
                  <w:tcW w:w="5153" w:type="dxa"/>
                  <w:noWrap w:val="0"/>
                  <w:vAlign w:val="center"/>
                </w:tcPr>
                <w:p w14:paraId="1B36ED32">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both"/>
                    <w:textAlignment w:val="auto"/>
                    <w:rPr>
                      <w:rFonts w:hint="eastAsia" w:ascii="Times New Roman" w:hAnsi="Times New Roman" w:eastAsia="宋体" w:cs="黑体"/>
                      <w:position w:val="2"/>
                      <w:sz w:val="21"/>
                      <w:szCs w:val="21"/>
                    </w:rPr>
                  </w:pPr>
                  <w:r>
                    <w:rPr>
                      <w:rFonts w:hint="eastAsia" w:ascii="Times New Roman" w:hAnsi="Times New Roman" w:eastAsia="宋体" w:cs="黑体"/>
                      <w:position w:val="2"/>
                      <w:sz w:val="21"/>
                      <w:szCs w:val="21"/>
                    </w:rPr>
                    <w:t>符合园区环境管理和风险防控要求：执行环境影响评价、“三同时”制度、总量控制制度、排污许可管理制度、排污权交易制度、危险废物转移联单管理制度等。入区企业应当严格按照临港开发区环境管理和风险防控要求进行环境管理和风险防控，满足环境风险管控区要求。</w:t>
                  </w:r>
                </w:p>
              </w:tc>
              <w:tc>
                <w:tcPr>
                  <w:tcW w:w="1575" w:type="dxa"/>
                  <w:noWrap w:val="0"/>
                  <w:vAlign w:val="center"/>
                </w:tcPr>
                <w:p w14:paraId="26A97041">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both"/>
                    <w:textAlignment w:val="auto"/>
                    <w:rPr>
                      <w:rFonts w:hint="eastAsia" w:ascii="Times New Roman" w:hAnsi="Times New Roman" w:eastAsia="宋体" w:cs="黑体"/>
                      <w:position w:val="2"/>
                      <w:sz w:val="21"/>
                      <w:szCs w:val="21"/>
                    </w:rPr>
                  </w:pPr>
                  <w:r>
                    <w:rPr>
                      <w:rFonts w:hint="eastAsia" w:ascii="Times New Roman" w:hAnsi="Times New Roman" w:eastAsia="宋体" w:cs="黑体"/>
                      <w:position w:val="2"/>
                      <w:sz w:val="21"/>
                      <w:szCs w:val="21"/>
                    </w:rPr>
                    <w:t>项目按园区要求严格执行环境管理和风险防控，项目建设满足园区环境风险管控区要求。</w:t>
                  </w:r>
                </w:p>
              </w:tc>
              <w:tc>
                <w:tcPr>
                  <w:tcW w:w="469" w:type="dxa"/>
                  <w:noWrap w:val="0"/>
                  <w:vAlign w:val="center"/>
                </w:tcPr>
                <w:p w14:paraId="45C749B7">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eastAsia" w:ascii="Times New Roman" w:hAnsi="Times New Roman" w:eastAsia="宋体" w:cs="黑体"/>
                      <w:position w:val="2"/>
                      <w:sz w:val="21"/>
                      <w:szCs w:val="21"/>
                    </w:rPr>
                  </w:pPr>
                  <w:r>
                    <w:rPr>
                      <w:rFonts w:hint="eastAsia" w:ascii="Times New Roman" w:hAnsi="Times New Roman" w:eastAsia="宋体" w:cs="黑体"/>
                      <w:position w:val="2"/>
                      <w:sz w:val="21"/>
                      <w:szCs w:val="21"/>
                    </w:rPr>
                    <w:t>符合</w:t>
                  </w:r>
                </w:p>
              </w:tc>
            </w:tr>
          </w:tbl>
          <w:p w14:paraId="56F07E13">
            <w:pPr>
              <w:keepNext w:val="0"/>
              <w:keepLines w:val="0"/>
              <w:suppressLineNumbers w:val="0"/>
              <w:autoSpaceDE w:val="0"/>
              <w:autoSpaceDN w:val="0"/>
              <w:adjustRightInd w:val="0"/>
              <w:snapToGrid w:val="0"/>
              <w:spacing w:before="0" w:beforeAutospacing="0" w:after="0" w:afterAutospacing="0" w:line="440" w:lineRule="exact"/>
              <w:ind w:left="0" w:right="0" w:firstLine="480" w:firstLineChars="200"/>
              <w:rPr>
                <w:rFonts w:hint="default" w:ascii="Times New Roman" w:hAnsi="Times New Roman" w:eastAsia="宋体" w:cs="Times New Roman"/>
                <w:color w:val="auto"/>
                <w:kern w:val="0"/>
                <w:sz w:val="24"/>
                <w:highlight w:val="none"/>
                <w:lang w:val="en-US" w:eastAsia="zh-CN"/>
              </w:rPr>
            </w:pPr>
            <w:r>
              <w:rPr>
                <w:rFonts w:hint="eastAsia" w:cs="Times New Roman"/>
                <w:color w:val="auto"/>
                <w:kern w:val="0"/>
                <w:sz w:val="24"/>
                <w:highlight w:val="none"/>
                <w:lang w:val="en-US" w:eastAsia="zh-CN"/>
              </w:rPr>
              <w:t>根据上表，本项目符合规划环评结论中的相关要求。</w:t>
            </w:r>
          </w:p>
          <w:p w14:paraId="2E32C7B0">
            <w:pPr>
              <w:keepNext w:val="0"/>
              <w:keepLines w:val="0"/>
              <w:suppressLineNumbers w:val="0"/>
              <w:autoSpaceDE w:val="0"/>
              <w:autoSpaceDN w:val="0"/>
              <w:adjustRightInd w:val="0"/>
              <w:snapToGrid w:val="0"/>
              <w:spacing w:before="0" w:beforeAutospacing="0" w:after="0" w:afterAutospacing="0" w:line="440" w:lineRule="exact"/>
              <w:ind w:left="0" w:right="0" w:firstLine="480" w:firstLineChars="200"/>
              <w:rPr>
                <w:rFonts w:hint="default" w:ascii="Times New Roman" w:hAnsi="Times New Roman" w:eastAsia="宋体" w:cs="Times New Roman"/>
                <w:color w:val="auto"/>
                <w:kern w:val="0"/>
                <w:sz w:val="24"/>
                <w:highlight w:val="none"/>
                <w:lang w:val="en-US" w:eastAsia="zh-CN"/>
              </w:rPr>
            </w:pPr>
            <w:r>
              <w:rPr>
                <w:rFonts w:hint="default" w:ascii="Times New Roman" w:hAnsi="Times New Roman" w:eastAsia="微软雅黑" w:cs="Times New Roman"/>
                <w:color w:val="auto"/>
                <w:kern w:val="0"/>
                <w:sz w:val="24"/>
                <w:highlight w:val="none"/>
                <w:lang w:val="en-US" w:eastAsia="zh-CN"/>
              </w:rPr>
              <w:t>②</w:t>
            </w:r>
            <w:r>
              <w:rPr>
                <w:rFonts w:hint="default" w:ascii="Times New Roman" w:hAnsi="Times New Roman" w:eastAsia="宋体" w:cs="Times New Roman"/>
                <w:color w:val="auto"/>
                <w:kern w:val="0"/>
                <w:sz w:val="24"/>
                <w:highlight w:val="none"/>
                <w:lang w:val="en-US" w:eastAsia="zh-CN"/>
              </w:rPr>
              <w:t>根据《沧州渤海新区临港经济技术开发区片区总体规划（2019-2030）环境影响报告书》，入区项目准入条件见下表。</w:t>
            </w:r>
          </w:p>
          <w:p w14:paraId="1E401DC5">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240" w:lineRule="auto"/>
              <w:ind w:left="0" w:right="0" w:firstLine="422" w:firstLineChars="200"/>
              <w:jc w:val="center"/>
              <w:textAlignment w:val="auto"/>
              <w:rPr>
                <w:rFonts w:hint="default" w:ascii="Times New Roman" w:hAnsi="Times New Roman" w:eastAsia="宋体" w:cs="Times New Roman"/>
                <w:b/>
                <w:bCs/>
                <w:kern w:val="0"/>
                <w:sz w:val="24"/>
                <w:lang w:eastAsia="zh-CN"/>
              </w:rPr>
            </w:pPr>
            <w:r>
              <w:rPr>
                <w:rFonts w:hint="default" w:ascii="Times New Roman" w:hAnsi="Times New Roman" w:eastAsia="宋体" w:cs="Times New Roman"/>
                <w:b/>
                <w:bCs/>
                <w:color w:val="000000"/>
                <w:kern w:val="0"/>
                <w:sz w:val="21"/>
                <w:szCs w:val="21"/>
                <w:lang w:val="en-US" w:eastAsia="zh-CN" w:bidi="ar-SA"/>
              </w:rPr>
              <w:t>园区入区项目准入条件</w:t>
            </w:r>
          </w:p>
          <w:tbl>
            <w:tblPr>
              <w:tblStyle w:val="38"/>
              <w:tblW w:w="76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64"/>
              <w:gridCol w:w="1123"/>
              <w:gridCol w:w="3722"/>
              <w:gridCol w:w="2068"/>
              <w:gridCol w:w="411"/>
            </w:tblGrid>
            <w:tr w14:paraId="6EDBF8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0" w:hRule="atLeast"/>
                <w:tblHeader/>
                <w:jc w:val="center"/>
              </w:trPr>
              <w:tc>
                <w:tcPr>
                  <w:tcW w:w="236" w:type="pct"/>
                  <w:vMerge w:val="restart"/>
                  <w:noWrap w:val="0"/>
                  <w:vAlign w:val="center"/>
                </w:tcPr>
                <w:p w14:paraId="204DD096">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eastAsia" w:ascii="Times New Roman" w:hAnsi="Times New Roman" w:eastAsia="宋体" w:cs="黑体"/>
                      <w:position w:val="2"/>
                      <w:sz w:val="21"/>
                      <w:szCs w:val="21"/>
                    </w:rPr>
                  </w:pPr>
                  <w:r>
                    <w:rPr>
                      <w:rFonts w:hint="eastAsia" w:ascii="Times New Roman" w:hAnsi="Times New Roman" w:eastAsia="宋体" w:cs="黑体"/>
                      <w:position w:val="2"/>
                      <w:sz w:val="21"/>
                      <w:szCs w:val="21"/>
                    </w:rPr>
                    <w:t>序号</w:t>
                  </w:r>
                </w:p>
              </w:tc>
              <w:tc>
                <w:tcPr>
                  <w:tcW w:w="3151" w:type="pct"/>
                  <w:gridSpan w:val="2"/>
                  <w:noWrap w:val="0"/>
                  <w:vAlign w:val="top"/>
                </w:tcPr>
                <w:p w14:paraId="049F4D86">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eastAsia" w:ascii="Times New Roman" w:hAnsi="Times New Roman" w:eastAsia="宋体" w:cs="黑体"/>
                      <w:position w:val="2"/>
                      <w:sz w:val="21"/>
                      <w:szCs w:val="21"/>
                    </w:rPr>
                  </w:pPr>
                  <w:r>
                    <w:rPr>
                      <w:rFonts w:hint="eastAsia" w:ascii="Times New Roman" w:hAnsi="Times New Roman" w:eastAsia="宋体" w:cs="黑体"/>
                      <w:position w:val="2"/>
                      <w:sz w:val="21"/>
                      <w:szCs w:val="21"/>
                    </w:rPr>
                    <w:t>准入条件</w:t>
                  </w:r>
                </w:p>
              </w:tc>
              <w:tc>
                <w:tcPr>
                  <w:tcW w:w="1344" w:type="pct"/>
                  <w:vMerge w:val="restart"/>
                  <w:noWrap w:val="0"/>
                  <w:vAlign w:val="center"/>
                </w:tcPr>
                <w:p w14:paraId="5D0C8A7D">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eastAsia" w:ascii="Times New Roman" w:hAnsi="Times New Roman" w:eastAsia="宋体" w:cs="黑体"/>
                      <w:position w:val="2"/>
                      <w:sz w:val="21"/>
                      <w:szCs w:val="21"/>
                    </w:rPr>
                  </w:pPr>
                  <w:r>
                    <w:rPr>
                      <w:rFonts w:hint="eastAsia" w:ascii="Times New Roman" w:hAnsi="Times New Roman" w:eastAsia="宋体" w:cs="黑体"/>
                      <w:position w:val="2"/>
                      <w:sz w:val="21"/>
                      <w:szCs w:val="21"/>
                    </w:rPr>
                    <w:t>本项目内容</w:t>
                  </w:r>
                </w:p>
              </w:tc>
              <w:tc>
                <w:tcPr>
                  <w:tcW w:w="267" w:type="pct"/>
                  <w:vMerge w:val="restart"/>
                  <w:noWrap w:val="0"/>
                  <w:vAlign w:val="center"/>
                </w:tcPr>
                <w:p w14:paraId="52704738">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eastAsia" w:ascii="Times New Roman" w:hAnsi="Times New Roman" w:eastAsia="宋体" w:cs="黑体"/>
                      <w:position w:val="2"/>
                      <w:sz w:val="21"/>
                      <w:szCs w:val="21"/>
                    </w:rPr>
                  </w:pPr>
                  <w:r>
                    <w:rPr>
                      <w:rFonts w:hint="eastAsia" w:ascii="Times New Roman" w:hAnsi="Times New Roman" w:eastAsia="宋体" w:cs="黑体"/>
                      <w:position w:val="2"/>
                      <w:sz w:val="21"/>
                      <w:szCs w:val="21"/>
                    </w:rPr>
                    <w:t>结果</w:t>
                  </w:r>
                </w:p>
              </w:tc>
            </w:tr>
            <w:tr w14:paraId="4DCBAA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blHeader/>
                <w:jc w:val="center"/>
              </w:trPr>
              <w:tc>
                <w:tcPr>
                  <w:tcW w:w="236" w:type="pct"/>
                  <w:vMerge w:val="continue"/>
                  <w:noWrap w:val="0"/>
                  <w:vAlign w:val="center"/>
                </w:tcPr>
                <w:p w14:paraId="73B8C5B6">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position w:val="2"/>
                      <w:sz w:val="21"/>
                      <w:szCs w:val="21"/>
                    </w:rPr>
                  </w:pPr>
                </w:p>
              </w:tc>
              <w:tc>
                <w:tcPr>
                  <w:tcW w:w="730" w:type="pct"/>
                  <w:noWrap w:val="0"/>
                  <w:vAlign w:val="top"/>
                </w:tcPr>
                <w:p w14:paraId="36846D95">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eastAsia" w:ascii="Times New Roman" w:hAnsi="Times New Roman" w:eastAsia="宋体" w:cs="黑体"/>
                      <w:position w:val="2"/>
                      <w:sz w:val="21"/>
                      <w:szCs w:val="21"/>
                    </w:rPr>
                  </w:pPr>
                  <w:r>
                    <w:rPr>
                      <w:rFonts w:hint="eastAsia" w:ascii="Times New Roman" w:hAnsi="Times New Roman" w:eastAsia="宋体" w:cs="黑体"/>
                      <w:position w:val="2"/>
                      <w:sz w:val="21"/>
                      <w:szCs w:val="21"/>
                    </w:rPr>
                    <w:t>准入类型</w:t>
                  </w:r>
                </w:p>
              </w:tc>
              <w:tc>
                <w:tcPr>
                  <w:tcW w:w="2420" w:type="pct"/>
                  <w:noWrap w:val="0"/>
                  <w:vAlign w:val="center"/>
                </w:tcPr>
                <w:p w14:paraId="52CA273E">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eastAsia" w:ascii="Times New Roman" w:hAnsi="Times New Roman" w:eastAsia="宋体" w:cs="黑体"/>
                      <w:position w:val="2"/>
                      <w:sz w:val="21"/>
                      <w:szCs w:val="21"/>
                    </w:rPr>
                  </w:pPr>
                  <w:r>
                    <w:rPr>
                      <w:rFonts w:hint="eastAsia" w:ascii="Times New Roman" w:hAnsi="Times New Roman" w:eastAsia="宋体" w:cs="黑体"/>
                      <w:position w:val="2"/>
                      <w:sz w:val="21"/>
                      <w:szCs w:val="21"/>
                    </w:rPr>
                    <w:t>内容</w:t>
                  </w:r>
                </w:p>
              </w:tc>
              <w:tc>
                <w:tcPr>
                  <w:tcW w:w="1344" w:type="pct"/>
                  <w:vMerge w:val="continue"/>
                  <w:noWrap w:val="0"/>
                  <w:vAlign w:val="center"/>
                </w:tcPr>
                <w:p w14:paraId="21EA3FC8">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position w:val="2"/>
                      <w:sz w:val="21"/>
                      <w:szCs w:val="21"/>
                    </w:rPr>
                  </w:pPr>
                </w:p>
              </w:tc>
              <w:tc>
                <w:tcPr>
                  <w:tcW w:w="267" w:type="pct"/>
                  <w:vMerge w:val="continue"/>
                  <w:noWrap w:val="0"/>
                  <w:vAlign w:val="center"/>
                </w:tcPr>
                <w:p w14:paraId="74036F69">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position w:val="2"/>
                      <w:sz w:val="21"/>
                      <w:szCs w:val="21"/>
                    </w:rPr>
                  </w:pPr>
                </w:p>
              </w:tc>
            </w:tr>
            <w:tr w14:paraId="48CE89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 w:hRule="atLeast"/>
                <w:jc w:val="center"/>
              </w:trPr>
              <w:tc>
                <w:tcPr>
                  <w:tcW w:w="236" w:type="pct"/>
                  <w:vMerge w:val="restart"/>
                  <w:noWrap w:val="0"/>
                  <w:vAlign w:val="center"/>
                </w:tcPr>
                <w:p w14:paraId="2C3BF77C">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position w:val="2"/>
                      <w:sz w:val="21"/>
                      <w:szCs w:val="21"/>
                    </w:rPr>
                  </w:pPr>
                  <w:r>
                    <w:rPr>
                      <w:rFonts w:hint="default" w:ascii="Times New Roman" w:hAnsi="Times New Roman" w:eastAsia="宋体" w:cs="Times New Roman"/>
                      <w:position w:val="2"/>
                      <w:sz w:val="21"/>
                      <w:szCs w:val="21"/>
                    </w:rPr>
                    <w:t>1</w:t>
                  </w:r>
                </w:p>
              </w:tc>
              <w:tc>
                <w:tcPr>
                  <w:tcW w:w="730" w:type="pct"/>
                  <w:vMerge w:val="restart"/>
                  <w:noWrap w:val="0"/>
                  <w:vAlign w:val="center"/>
                </w:tcPr>
                <w:p w14:paraId="00C12B2A">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position w:val="2"/>
                      <w:sz w:val="21"/>
                      <w:szCs w:val="21"/>
                    </w:rPr>
                  </w:pPr>
                  <w:r>
                    <w:rPr>
                      <w:rFonts w:hint="default" w:ascii="Times New Roman" w:hAnsi="Times New Roman" w:eastAsia="宋体" w:cs="Times New Roman"/>
                      <w:position w:val="2"/>
                      <w:sz w:val="21"/>
                      <w:szCs w:val="21"/>
                    </w:rPr>
                    <w:t>入区项目国家及地方产业政策和行业准入条件要求</w:t>
                  </w:r>
                </w:p>
              </w:tc>
              <w:tc>
                <w:tcPr>
                  <w:tcW w:w="2420" w:type="pct"/>
                  <w:noWrap w:val="0"/>
                  <w:vAlign w:val="center"/>
                </w:tcPr>
                <w:p w14:paraId="0C7673FC">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textAlignment w:val="auto"/>
                    <w:rPr>
                      <w:rFonts w:hint="default" w:ascii="Times New Roman" w:hAnsi="Times New Roman" w:eastAsia="宋体" w:cs="Times New Roman"/>
                      <w:position w:val="2"/>
                      <w:sz w:val="21"/>
                      <w:szCs w:val="21"/>
                    </w:rPr>
                  </w:pPr>
                  <w:r>
                    <w:rPr>
                      <w:rFonts w:hint="default" w:ascii="Times New Roman" w:hAnsi="Times New Roman" w:eastAsia="宋体" w:cs="Times New Roman"/>
                      <w:position w:val="2"/>
                      <w:sz w:val="21"/>
                      <w:szCs w:val="21"/>
                    </w:rPr>
                    <w:t>《产业结构调整指导目录》</w:t>
                  </w:r>
                  <w:r>
                    <w:rPr>
                      <w:rFonts w:hint="eastAsia" w:ascii="Times New Roman" w:hAnsi="Times New Roman" w:eastAsia="宋体" w:cs="Times New Roman"/>
                      <w:position w:val="2"/>
                      <w:sz w:val="21"/>
                      <w:szCs w:val="21"/>
                    </w:rPr>
                    <w:t>。</w:t>
                  </w:r>
                </w:p>
              </w:tc>
              <w:tc>
                <w:tcPr>
                  <w:tcW w:w="1344" w:type="pct"/>
                  <w:vMerge w:val="restart"/>
                  <w:noWrap w:val="0"/>
                  <w:vAlign w:val="center"/>
                </w:tcPr>
                <w:p w14:paraId="22470CEA">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textAlignment w:val="auto"/>
                    <w:rPr>
                      <w:rFonts w:hint="default" w:ascii="Times New Roman" w:hAnsi="Times New Roman" w:eastAsia="宋体" w:cs="Times New Roman"/>
                      <w:position w:val="2"/>
                      <w:sz w:val="21"/>
                      <w:szCs w:val="21"/>
                    </w:rPr>
                  </w:pPr>
                  <w:r>
                    <w:rPr>
                      <w:rFonts w:hint="eastAsia" w:ascii="Times New Roman" w:hAnsi="Times New Roman" w:eastAsia="宋体" w:cs="黑体"/>
                      <w:position w:val="2"/>
                      <w:sz w:val="21"/>
                      <w:szCs w:val="21"/>
                    </w:rPr>
                    <w:t>本项目</w:t>
                  </w:r>
                  <w:r>
                    <w:rPr>
                      <w:rFonts w:hint="eastAsia" w:ascii="Times New Roman" w:hAnsi="Times New Roman" w:eastAsia="宋体" w:cs="黑体"/>
                      <w:position w:val="2"/>
                      <w:sz w:val="21"/>
                      <w:szCs w:val="21"/>
                      <w:lang w:eastAsia="zh-CN"/>
                    </w:rPr>
                    <w:t>为</w:t>
                  </w:r>
                  <w:r>
                    <w:rPr>
                      <w:rFonts w:hint="eastAsia" w:cs="黑体"/>
                      <w:position w:val="2"/>
                      <w:sz w:val="21"/>
                      <w:szCs w:val="21"/>
                      <w:lang w:val="en-US" w:eastAsia="zh-CN"/>
                    </w:rPr>
                    <w:t>塑料零件及其他塑料制品制造行业</w:t>
                  </w:r>
                  <w:r>
                    <w:rPr>
                      <w:rFonts w:hint="eastAsia" w:ascii="Times New Roman" w:hAnsi="Times New Roman" w:eastAsia="宋体" w:cs="黑体"/>
                      <w:position w:val="2"/>
                      <w:sz w:val="21"/>
                      <w:szCs w:val="21"/>
                    </w:rPr>
                    <w:t>，</w:t>
                  </w:r>
                  <w:r>
                    <w:rPr>
                      <w:rFonts w:hint="eastAsia" w:ascii="Times New Roman" w:hAnsi="Times New Roman" w:eastAsia="宋体" w:cs="黑体"/>
                      <w:position w:val="2"/>
                      <w:sz w:val="21"/>
                      <w:szCs w:val="21"/>
                      <w:lang w:eastAsia="zh-CN"/>
                    </w:rPr>
                    <w:t>生产中药包装袋，属于医药配套产业，</w:t>
                  </w:r>
                  <w:r>
                    <w:rPr>
                      <w:rFonts w:hint="eastAsia" w:ascii="Times New Roman" w:hAnsi="Times New Roman" w:eastAsia="宋体" w:cs="Times New Roman"/>
                      <w:position w:val="2"/>
                      <w:sz w:val="21"/>
                      <w:szCs w:val="21"/>
                    </w:rPr>
                    <w:t>满足国家及地方产业政策和行业准入条件要求。</w:t>
                  </w:r>
                </w:p>
              </w:tc>
              <w:tc>
                <w:tcPr>
                  <w:tcW w:w="267" w:type="pct"/>
                  <w:vMerge w:val="restart"/>
                  <w:noWrap w:val="0"/>
                  <w:vAlign w:val="center"/>
                </w:tcPr>
                <w:p w14:paraId="5291EA0C">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position w:val="2"/>
                      <w:sz w:val="21"/>
                      <w:szCs w:val="21"/>
                    </w:rPr>
                  </w:pPr>
                  <w:r>
                    <w:rPr>
                      <w:rFonts w:hint="default" w:ascii="Times New Roman" w:hAnsi="Times New Roman" w:eastAsia="宋体" w:cs="Times New Roman"/>
                      <w:position w:val="2"/>
                      <w:sz w:val="21"/>
                      <w:szCs w:val="21"/>
                    </w:rPr>
                    <w:t>符合</w:t>
                  </w:r>
                </w:p>
              </w:tc>
            </w:tr>
            <w:tr w14:paraId="5609A6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 w:hRule="atLeast"/>
                <w:jc w:val="center"/>
              </w:trPr>
              <w:tc>
                <w:tcPr>
                  <w:tcW w:w="236" w:type="pct"/>
                  <w:vMerge w:val="continue"/>
                  <w:noWrap w:val="0"/>
                  <w:vAlign w:val="center"/>
                </w:tcPr>
                <w:p w14:paraId="6FABF15D">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position w:val="2"/>
                      <w:sz w:val="21"/>
                      <w:szCs w:val="21"/>
                    </w:rPr>
                  </w:pPr>
                </w:p>
              </w:tc>
              <w:tc>
                <w:tcPr>
                  <w:tcW w:w="730" w:type="pct"/>
                  <w:vMerge w:val="continue"/>
                  <w:noWrap w:val="0"/>
                  <w:vAlign w:val="top"/>
                </w:tcPr>
                <w:p w14:paraId="2E8B9FBE">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textAlignment w:val="auto"/>
                    <w:rPr>
                      <w:rFonts w:hint="default" w:ascii="Times New Roman" w:hAnsi="Times New Roman" w:eastAsia="宋体" w:cs="Times New Roman"/>
                      <w:position w:val="2"/>
                      <w:sz w:val="21"/>
                      <w:szCs w:val="21"/>
                    </w:rPr>
                  </w:pPr>
                </w:p>
              </w:tc>
              <w:tc>
                <w:tcPr>
                  <w:tcW w:w="2420" w:type="pct"/>
                  <w:noWrap w:val="0"/>
                  <w:vAlign w:val="center"/>
                </w:tcPr>
                <w:p w14:paraId="24F83895">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textAlignment w:val="auto"/>
                    <w:rPr>
                      <w:rFonts w:hint="default" w:ascii="Times New Roman" w:hAnsi="Times New Roman" w:eastAsia="宋体" w:cs="Times New Roman"/>
                      <w:position w:val="2"/>
                      <w:sz w:val="21"/>
                      <w:szCs w:val="21"/>
                    </w:rPr>
                  </w:pPr>
                  <w:r>
                    <w:rPr>
                      <w:rFonts w:hint="default" w:ascii="Times New Roman" w:hAnsi="Times New Roman" w:eastAsia="宋体" w:cs="Times New Roman"/>
                      <w:position w:val="2"/>
                      <w:sz w:val="21"/>
                      <w:szCs w:val="21"/>
                    </w:rPr>
                    <w:t>《鼓励外商投资产业目录》</w:t>
                  </w:r>
                  <w:r>
                    <w:rPr>
                      <w:rFonts w:hint="eastAsia" w:ascii="Times New Roman" w:hAnsi="Times New Roman" w:eastAsia="宋体" w:cs="Times New Roman"/>
                      <w:position w:val="2"/>
                      <w:sz w:val="21"/>
                      <w:szCs w:val="21"/>
                    </w:rPr>
                    <w:t>。</w:t>
                  </w:r>
                </w:p>
              </w:tc>
              <w:tc>
                <w:tcPr>
                  <w:tcW w:w="1344" w:type="pct"/>
                  <w:vMerge w:val="continue"/>
                  <w:noWrap w:val="0"/>
                  <w:vAlign w:val="center"/>
                </w:tcPr>
                <w:p w14:paraId="6BE20179">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textAlignment w:val="auto"/>
                    <w:rPr>
                      <w:rFonts w:hint="default" w:ascii="Times New Roman" w:hAnsi="Times New Roman" w:eastAsia="宋体" w:cs="Times New Roman"/>
                      <w:position w:val="2"/>
                      <w:sz w:val="21"/>
                      <w:szCs w:val="21"/>
                    </w:rPr>
                  </w:pPr>
                </w:p>
              </w:tc>
              <w:tc>
                <w:tcPr>
                  <w:tcW w:w="267" w:type="pct"/>
                  <w:vMerge w:val="continue"/>
                  <w:noWrap w:val="0"/>
                  <w:vAlign w:val="center"/>
                </w:tcPr>
                <w:p w14:paraId="139CA543">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position w:val="2"/>
                      <w:sz w:val="21"/>
                      <w:szCs w:val="21"/>
                    </w:rPr>
                  </w:pPr>
                </w:p>
              </w:tc>
            </w:tr>
            <w:tr w14:paraId="39D704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4" w:hRule="atLeast"/>
                <w:jc w:val="center"/>
              </w:trPr>
              <w:tc>
                <w:tcPr>
                  <w:tcW w:w="236" w:type="pct"/>
                  <w:vMerge w:val="continue"/>
                  <w:noWrap w:val="0"/>
                  <w:vAlign w:val="center"/>
                </w:tcPr>
                <w:p w14:paraId="2CEC9F1B">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position w:val="2"/>
                      <w:sz w:val="21"/>
                      <w:szCs w:val="21"/>
                    </w:rPr>
                  </w:pPr>
                </w:p>
              </w:tc>
              <w:tc>
                <w:tcPr>
                  <w:tcW w:w="730" w:type="pct"/>
                  <w:vMerge w:val="continue"/>
                  <w:noWrap w:val="0"/>
                  <w:vAlign w:val="top"/>
                </w:tcPr>
                <w:p w14:paraId="2107E76C">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textAlignment w:val="auto"/>
                    <w:rPr>
                      <w:rFonts w:hint="default" w:ascii="Times New Roman" w:hAnsi="Times New Roman" w:eastAsia="宋体" w:cs="Times New Roman"/>
                      <w:position w:val="2"/>
                      <w:sz w:val="21"/>
                      <w:szCs w:val="21"/>
                    </w:rPr>
                  </w:pPr>
                </w:p>
              </w:tc>
              <w:tc>
                <w:tcPr>
                  <w:tcW w:w="2420" w:type="pct"/>
                  <w:noWrap w:val="0"/>
                  <w:vAlign w:val="center"/>
                </w:tcPr>
                <w:p w14:paraId="376D54D8">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textAlignment w:val="auto"/>
                    <w:rPr>
                      <w:rFonts w:hint="default" w:ascii="Times New Roman" w:hAnsi="Times New Roman" w:eastAsia="宋体" w:cs="Times New Roman"/>
                      <w:position w:val="2"/>
                      <w:sz w:val="21"/>
                      <w:szCs w:val="21"/>
                    </w:rPr>
                  </w:pPr>
                  <w:r>
                    <w:rPr>
                      <w:rFonts w:hint="default" w:ascii="Times New Roman" w:hAnsi="Times New Roman" w:eastAsia="宋体" w:cs="Times New Roman"/>
                      <w:position w:val="2"/>
                      <w:sz w:val="21"/>
                      <w:szCs w:val="21"/>
                    </w:rPr>
                    <w:t>《外商投资准入特别管理措施（负面清单）》</w:t>
                  </w:r>
                  <w:r>
                    <w:rPr>
                      <w:rFonts w:hint="eastAsia" w:ascii="Times New Roman" w:hAnsi="Times New Roman" w:eastAsia="宋体" w:cs="Times New Roman"/>
                      <w:position w:val="2"/>
                      <w:sz w:val="21"/>
                      <w:szCs w:val="21"/>
                    </w:rPr>
                    <w:t>。</w:t>
                  </w:r>
                </w:p>
              </w:tc>
              <w:tc>
                <w:tcPr>
                  <w:tcW w:w="1344" w:type="pct"/>
                  <w:vMerge w:val="continue"/>
                  <w:noWrap w:val="0"/>
                  <w:vAlign w:val="center"/>
                </w:tcPr>
                <w:p w14:paraId="7BFC209D">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textAlignment w:val="auto"/>
                    <w:rPr>
                      <w:rFonts w:hint="default" w:ascii="Times New Roman" w:hAnsi="Times New Roman" w:eastAsia="宋体" w:cs="Times New Roman"/>
                      <w:position w:val="2"/>
                      <w:sz w:val="21"/>
                      <w:szCs w:val="21"/>
                    </w:rPr>
                  </w:pPr>
                </w:p>
              </w:tc>
              <w:tc>
                <w:tcPr>
                  <w:tcW w:w="267" w:type="pct"/>
                  <w:vMerge w:val="continue"/>
                  <w:noWrap w:val="0"/>
                  <w:vAlign w:val="center"/>
                </w:tcPr>
                <w:p w14:paraId="518DDFEF">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position w:val="2"/>
                      <w:sz w:val="21"/>
                      <w:szCs w:val="21"/>
                    </w:rPr>
                  </w:pPr>
                </w:p>
              </w:tc>
            </w:tr>
            <w:tr w14:paraId="1D3D90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 w:hRule="atLeast"/>
                <w:jc w:val="center"/>
              </w:trPr>
              <w:tc>
                <w:tcPr>
                  <w:tcW w:w="236" w:type="pct"/>
                  <w:vMerge w:val="continue"/>
                  <w:noWrap w:val="0"/>
                  <w:vAlign w:val="center"/>
                </w:tcPr>
                <w:p w14:paraId="2C3D6005">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position w:val="2"/>
                      <w:sz w:val="21"/>
                      <w:szCs w:val="21"/>
                    </w:rPr>
                  </w:pPr>
                </w:p>
              </w:tc>
              <w:tc>
                <w:tcPr>
                  <w:tcW w:w="730" w:type="pct"/>
                  <w:vMerge w:val="continue"/>
                  <w:noWrap w:val="0"/>
                  <w:vAlign w:val="top"/>
                </w:tcPr>
                <w:p w14:paraId="4B619B94">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textAlignment w:val="auto"/>
                    <w:rPr>
                      <w:rFonts w:hint="default" w:ascii="Times New Roman" w:hAnsi="Times New Roman" w:eastAsia="宋体" w:cs="Times New Roman"/>
                      <w:position w:val="2"/>
                      <w:sz w:val="21"/>
                      <w:szCs w:val="21"/>
                    </w:rPr>
                  </w:pPr>
                </w:p>
              </w:tc>
              <w:tc>
                <w:tcPr>
                  <w:tcW w:w="2420" w:type="pct"/>
                  <w:noWrap w:val="0"/>
                  <w:vAlign w:val="center"/>
                </w:tcPr>
                <w:p w14:paraId="12257785">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textAlignment w:val="auto"/>
                    <w:rPr>
                      <w:rFonts w:hint="default" w:ascii="Times New Roman" w:hAnsi="Times New Roman" w:eastAsia="宋体" w:cs="Times New Roman"/>
                      <w:position w:val="2"/>
                      <w:sz w:val="21"/>
                      <w:szCs w:val="21"/>
                    </w:rPr>
                  </w:pPr>
                  <w:r>
                    <w:rPr>
                      <w:rFonts w:hint="default" w:ascii="Times New Roman" w:hAnsi="Times New Roman" w:eastAsia="宋体" w:cs="Times New Roman"/>
                      <w:position w:val="2"/>
                      <w:sz w:val="21"/>
                      <w:szCs w:val="21"/>
                    </w:rPr>
                    <w:t>《国家鼓励的有毒有害原料（产品）替代品目录（2016年版）》</w:t>
                  </w:r>
                  <w:r>
                    <w:rPr>
                      <w:rFonts w:hint="eastAsia" w:ascii="Times New Roman" w:hAnsi="Times New Roman" w:eastAsia="宋体" w:cs="Times New Roman"/>
                      <w:position w:val="2"/>
                      <w:sz w:val="21"/>
                      <w:szCs w:val="21"/>
                    </w:rPr>
                    <w:t>。</w:t>
                  </w:r>
                </w:p>
              </w:tc>
              <w:tc>
                <w:tcPr>
                  <w:tcW w:w="1344" w:type="pct"/>
                  <w:vMerge w:val="continue"/>
                  <w:noWrap w:val="0"/>
                  <w:vAlign w:val="center"/>
                </w:tcPr>
                <w:p w14:paraId="6F4ADF84">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textAlignment w:val="auto"/>
                    <w:rPr>
                      <w:rFonts w:hint="default" w:ascii="Times New Roman" w:hAnsi="Times New Roman" w:eastAsia="宋体" w:cs="Times New Roman"/>
                      <w:position w:val="2"/>
                      <w:sz w:val="21"/>
                      <w:szCs w:val="21"/>
                    </w:rPr>
                  </w:pPr>
                </w:p>
              </w:tc>
              <w:tc>
                <w:tcPr>
                  <w:tcW w:w="267" w:type="pct"/>
                  <w:vMerge w:val="continue"/>
                  <w:noWrap w:val="0"/>
                  <w:vAlign w:val="center"/>
                </w:tcPr>
                <w:p w14:paraId="18DF35FB">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position w:val="2"/>
                      <w:sz w:val="21"/>
                      <w:szCs w:val="21"/>
                    </w:rPr>
                  </w:pPr>
                </w:p>
              </w:tc>
            </w:tr>
            <w:tr w14:paraId="1DD258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 w:hRule="atLeast"/>
                <w:jc w:val="center"/>
              </w:trPr>
              <w:tc>
                <w:tcPr>
                  <w:tcW w:w="236" w:type="pct"/>
                  <w:vMerge w:val="continue"/>
                  <w:noWrap w:val="0"/>
                  <w:vAlign w:val="center"/>
                </w:tcPr>
                <w:p w14:paraId="55F3BC8C">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position w:val="2"/>
                      <w:sz w:val="21"/>
                      <w:szCs w:val="21"/>
                    </w:rPr>
                  </w:pPr>
                </w:p>
              </w:tc>
              <w:tc>
                <w:tcPr>
                  <w:tcW w:w="730" w:type="pct"/>
                  <w:vMerge w:val="continue"/>
                  <w:noWrap w:val="0"/>
                  <w:vAlign w:val="top"/>
                </w:tcPr>
                <w:p w14:paraId="3677AD42">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textAlignment w:val="auto"/>
                    <w:rPr>
                      <w:rFonts w:hint="default" w:ascii="Times New Roman" w:hAnsi="Times New Roman" w:eastAsia="宋体" w:cs="Times New Roman"/>
                      <w:position w:val="2"/>
                      <w:sz w:val="21"/>
                      <w:szCs w:val="21"/>
                    </w:rPr>
                  </w:pPr>
                </w:p>
              </w:tc>
              <w:tc>
                <w:tcPr>
                  <w:tcW w:w="2420" w:type="pct"/>
                  <w:noWrap w:val="0"/>
                  <w:vAlign w:val="center"/>
                </w:tcPr>
                <w:p w14:paraId="76D8CF3A">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textAlignment w:val="auto"/>
                    <w:rPr>
                      <w:rFonts w:hint="default" w:ascii="Times New Roman" w:hAnsi="Times New Roman" w:eastAsia="宋体" w:cs="Times New Roman"/>
                      <w:position w:val="2"/>
                      <w:sz w:val="21"/>
                      <w:szCs w:val="21"/>
                    </w:rPr>
                  </w:pPr>
                  <w:r>
                    <w:rPr>
                      <w:rFonts w:hint="default" w:ascii="Times New Roman" w:hAnsi="Times New Roman" w:eastAsia="宋体" w:cs="Times New Roman"/>
                      <w:position w:val="2"/>
                      <w:sz w:val="21"/>
                      <w:szCs w:val="21"/>
                    </w:rPr>
                    <w:t>《环境保护综合名录》</w:t>
                  </w:r>
                  <w:r>
                    <w:rPr>
                      <w:rFonts w:hint="eastAsia" w:ascii="Times New Roman" w:hAnsi="Times New Roman" w:eastAsia="宋体" w:cs="Times New Roman"/>
                      <w:position w:val="2"/>
                      <w:sz w:val="21"/>
                      <w:szCs w:val="21"/>
                    </w:rPr>
                    <w:t>。</w:t>
                  </w:r>
                </w:p>
              </w:tc>
              <w:tc>
                <w:tcPr>
                  <w:tcW w:w="1344" w:type="pct"/>
                  <w:vMerge w:val="continue"/>
                  <w:noWrap w:val="0"/>
                  <w:vAlign w:val="center"/>
                </w:tcPr>
                <w:p w14:paraId="6AF9D384">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textAlignment w:val="auto"/>
                    <w:rPr>
                      <w:rFonts w:hint="default" w:ascii="Times New Roman" w:hAnsi="Times New Roman" w:eastAsia="宋体" w:cs="Times New Roman"/>
                      <w:position w:val="2"/>
                      <w:sz w:val="21"/>
                      <w:szCs w:val="21"/>
                    </w:rPr>
                  </w:pPr>
                </w:p>
              </w:tc>
              <w:tc>
                <w:tcPr>
                  <w:tcW w:w="267" w:type="pct"/>
                  <w:vMerge w:val="continue"/>
                  <w:noWrap w:val="0"/>
                  <w:vAlign w:val="center"/>
                </w:tcPr>
                <w:p w14:paraId="5F851A96">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position w:val="2"/>
                      <w:sz w:val="21"/>
                      <w:szCs w:val="21"/>
                    </w:rPr>
                  </w:pPr>
                </w:p>
              </w:tc>
            </w:tr>
            <w:tr w14:paraId="5A0C58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 w:hRule="atLeast"/>
                <w:jc w:val="center"/>
              </w:trPr>
              <w:tc>
                <w:tcPr>
                  <w:tcW w:w="236" w:type="pct"/>
                  <w:vMerge w:val="continue"/>
                  <w:noWrap w:val="0"/>
                  <w:vAlign w:val="center"/>
                </w:tcPr>
                <w:p w14:paraId="4E28527F">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position w:val="2"/>
                      <w:sz w:val="21"/>
                      <w:szCs w:val="21"/>
                    </w:rPr>
                  </w:pPr>
                </w:p>
              </w:tc>
              <w:tc>
                <w:tcPr>
                  <w:tcW w:w="730" w:type="pct"/>
                  <w:vMerge w:val="continue"/>
                  <w:noWrap w:val="0"/>
                  <w:vAlign w:val="top"/>
                </w:tcPr>
                <w:p w14:paraId="73281615">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textAlignment w:val="auto"/>
                    <w:rPr>
                      <w:rFonts w:hint="default" w:ascii="Times New Roman" w:hAnsi="Times New Roman" w:eastAsia="宋体" w:cs="Times New Roman"/>
                      <w:position w:val="2"/>
                      <w:sz w:val="21"/>
                      <w:szCs w:val="21"/>
                    </w:rPr>
                  </w:pPr>
                </w:p>
              </w:tc>
              <w:tc>
                <w:tcPr>
                  <w:tcW w:w="2420" w:type="pct"/>
                  <w:noWrap w:val="0"/>
                  <w:vAlign w:val="center"/>
                </w:tcPr>
                <w:p w14:paraId="0B889741">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textAlignment w:val="auto"/>
                    <w:rPr>
                      <w:rFonts w:hint="default" w:ascii="Times New Roman" w:hAnsi="Times New Roman" w:eastAsia="宋体" w:cs="Times New Roman"/>
                      <w:position w:val="2"/>
                      <w:sz w:val="21"/>
                      <w:szCs w:val="21"/>
                    </w:rPr>
                  </w:pPr>
                  <w:r>
                    <w:rPr>
                      <w:rFonts w:hint="default" w:ascii="Times New Roman" w:hAnsi="Times New Roman" w:eastAsia="宋体" w:cs="Times New Roman"/>
                      <w:position w:val="2"/>
                      <w:sz w:val="21"/>
                      <w:szCs w:val="21"/>
                    </w:rPr>
                    <w:t>河北省人民政府办公厅 关于促进全省经济开发区转型升级创新发展的实施意见（冀政办发[2015]4号）</w:t>
                  </w:r>
                  <w:r>
                    <w:rPr>
                      <w:rFonts w:hint="eastAsia" w:ascii="Times New Roman" w:hAnsi="Times New Roman" w:eastAsia="宋体" w:cs="Times New Roman"/>
                      <w:position w:val="2"/>
                      <w:sz w:val="21"/>
                      <w:szCs w:val="21"/>
                    </w:rPr>
                    <w:t>。</w:t>
                  </w:r>
                </w:p>
              </w:tc>
              <w:tc>
                <w:tcPr>
                  <w:tcW w:w="1344" w:type="pct"/>
                  <w:vMerge w:val="continue"/>
                  <w:noWrap w:val="0"/>
                  <w:vAlign w:val="center"/>
                </w:tcPr>
                <w:p w14:paraId="5AEBC26B">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textAlignment w:val="auto"/>
                    <w:rPr>
                      <w:rFonts w:hint="default" w:ascii="Times New Roman" w:hAnsi="Times New Roman" w:eastAsia="宋体" w:cs="Times New Roman"/>
                      <w:position w:val="2"/>
                      <w:sz w:val="21"/>
                      <w:szCs w:val="21"/>
                    </w:rPr>
                  </w:pPr>
                </w:p>
              </w:tc>
              <w:tc>
                <w:tcPr>
                  <w:tcW w:w="267" w:type="pct"/>
                  <w:vMerge w:val="continue"/>
                  <w:noWrap w:val="0"/>
                  <w:vAlign w:val="center"/>
                </w:tcPr>
                <w:p w14:paraId="2D29A0C2">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position w:val="2"/>
                      <w:sz w:val="21"/>
                      <w:szCs w:val="21"/>
                    </w:rPr>
                  </w:pPr>
                </w:p>
              </w:tc>
            </w:tr>
            <w:tr w14:paraId="7A6C3A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 w:hRule="atLeast"/>
                <w:jc w:val="center"/>
              </w:trPr>
              <w:tc>
                <w:tcPr>
                  <w:tcW w:w="236" w:type="pct"/>
                  <w:vMerge w:val="continue"/>
                  <w:noWrap w:val="0"/>
                  <w:vAlign w:val="center"/>
                </w:tcPr>
                <w:p w14:paraId="0B71E92F">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position w:val="2"/>
                      <w:sz w:val="21"/>
                      <w:szCs w:val="21"/>
                    </w:rPr>
                  </w:pPr>
                </w:p>
              </w:tc>
              <w:tc>
                <w:tcPr>
                  <w:tcW w:w="730" w:type="pct"/>
                  <w:vMerge w:val="continue"/>
                  <w:noWrap w:val="0"/>
                  <w:vAlign w:val="top"/>
                </w:tcPr>
                <w:p w14:paraId="5D4C26AC">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textAlignment w:val="auto"/>
                    <w:rPr>
                      <w:rFonts w:hint="default" w:ascii="Times New Roman" w:hAnsi="Times New Roman" w:eastAsia="宋体" w:cs="Times New Roman"/>
                      <w:position w:val="2"/>
                      <w:sz w:val="21"/>
                      <w:szCs w:val="21"/>
                    </w:rPr>
                  </w:pPr>
                </w:p>
              </w:tc>
              <w:tc>
                <w:tcPr>
                  <w:tcW w:w="2420" w:type="pct"/>
                  <w:noWrap w:val="0"/>
                  <w:vAlign w:val="center"/>
                </w:tcPr>
                <w:p w14:paraId="1F4FD14C">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textAlignment w:val="auto"/>
                    <w:rPr>
                      <w:rFonts w:hint="default" w:ascii="Times New Roman" w:hAnsi="Times New Roman" w:eastAsia="宋体" w:cs="Times New Roman"/>
                      <w:position w:val="2"/>
                      <w:sz w:val="21"/>
                      <w:szCs w:val="21"/>
                    </w:rPr>
                  </w:pPr>
                  <w:r>
                    <w:rPr>
                      <w:rFonts w:hint="default" w:ascii="Times New Roman" w:hAnsi="Times New Roman" w:eastAsia="宋体" w:cs="Times New Roman"/>
                      <w:position w:val="2"/>
                      <w:sz w:val="21"/>
                      <w:szCs w:val="21"/>
                    </w:rPr>
                    <w:t>河北省人民政府办公厅关于石化产业调结构促转型增效益的实施意见（冀政办字[2016]166号）</w:t>
                  </w:r>
                  <w:r>
                    <w:rPr>
                      <w:rFonts w:hint="eastAsia" w:ascii="Times New Roman" w:hAnsi="Times New Roman" w:eastAsia="宋体" w:cs="Times New Roman"/>
                      <w:position w:val="2"/>
                      <w:sz w:val="21"/>
                      <w:szCs w:val="21"/>
                    </w:rPr>
                    <w:t>。</w:t>
                  </w:r>
                </w:p>
              </w:tc>
              <w:tc>
                <w:tcPr>
                  <w:tcW w:w="1344" w:type="pct"/>
                  <w:vMerge w:val="continue"/>
                  <w:noWrap w:val="0"/>
                  <w:vAlign w:val="center"/>
                </w:tcPr>
                <w:p w14:paraId="2C4AA46B">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textAlignment w:val="auto"/>
                    <w:rPr>
                      <w:rFonts w:hint="default" w:ascii="Times New Roman" w:hAnsi="Times New Roman" w:eastAsia="宋体" w:cs="Times New Roman"/>
                      <w:position w:val="2"/>
                      <w:sz w:val="21"/>
                      <w:szCs w:val="21"/>
                    </w:rPr>
                  </w:pPr>
                </w:p>
              </w:tc>
              <w:tc>
                <w:tcPr>
                  <w:tcW w:w="267" w:type="pct"/>
                  <w:vMerge w:val="continue"/>
                  <w:noWrap w:val="0"/>
                  <w:vAlign w:val="center"/>
                </w:tcPr>
                <w:p w14:paraId="60735922">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position w:val="2"/>
                      <w:sz w:val="21"/>
                      <w:szCs w:val="21"/>
                    </w:rPr>
                  </w:pPr>
                </w:p>
              </w:tc>
            </w:tr>
            <w:tr w14:paraId="228C5E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 w:hRule="atLeast"/>
                <w:jc w:val="center"/>
              </w:trPr>
              <w:tc>
                <w:tcPr>
                  <w:tcW w:w="236" w:type="pct"/>
                  <w:vMerge w:val="continue"/>
                  <w:noWrap w:val="0"/>
                  <w:vAlign w:val="center"/>
                </w:tcPr>
                <w:p w14:paraId="034D56D4">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position w:val="2"/>
                      <w:sz w:val="21"/>
                      <w:szCs w:val="21"/>
                    </w:rPr>
                  </w:pPr>
                </w:p>
              </w:tc>
              <w:tc>
                <w:tcPr>
                  <w:tcW w:w="730" w:type="pct"/>
                  <w:vMerge w:val="continue"/>
                  <w:noWrap w:val="0"/>
                  <w:vAlign w:val="top"/>
                </w:tcPr>
                <w:p w14:paraId="12C25DCE">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textAlignment w:val="auto"/>
                    <w:rPr>
                      <w:rFonts w:hint="default" w:ascii="Times New Roman" w:hAnsi="Times New Roman" w:eastAsia="宋体" w:cs="Times New Roman"/>
                      <w:position w:val="2"/>
                      <w:sz w:val="21"/>
                      <w:szCs w:val="21"/>
                    </w:rPr>
                  </w:pPr>
                </w:p>
              </w:tc>
              <w:tc>
                <w:tcPr>
                  <w:tcW w:w="2420" w:type="pct"/>
                  <w:noWrap w:val="0"/>
                  <w:vAlign w:val="center"/>
                </w:tcPr>
                <w:p w14:paraId="33EBCD85">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textAlignment w:val="auto"/>
                    <w:rPr>
                      <w:rFonts w:hint="default" w:ascii="Times New Roman" w:hAnsi="Times New Roman" w:eastAsia="宋体" w:cs="Times New Roman"/>
                      <w:position w:val="2"/>
                      <w:sz w:val="21"/>
                      <w:szCs w:val="21"/>
                    </w:rPr>
                  </w:pPr>
                  <w:r>
                    <w:rPr>
                      <w:rFonts w:hint="default" w:ascii="Times New Roman" w:hAnsi="Times New Roman" w:eastAsia="宋体" w:cs="Times New Roman"/>
                      <w:position w:val="2"/>
                      <w:sz w:val="21"/>
                      <w:szCs w:val="21"/>
                    </w:rPr>
                    <w:t>河北省人民政府关于加快推进工业转型升级建设现代化工业体系的指导意见（冀政发[2018]4号）</w:t>
                  </w:r>
                  <w:r>
                    <w:rPr>
                      <w:rFonts w:hint="eastAsia" w:ascii="Times New Roman" w:hAnsi="Times New Roman" w:eastAsia="宋体" w:cs="Times New Roman"/>
                      <w:position w:val="2"/>
                      <w:sz w:val="21"/>
                      <w:szCs w:val="21"/>
                    </w:rPr>
                    <w:t>。</w:t>
                  </w:r>
                </w:p>
              </w:tc>
              <w:tc>
                <w:tcPr>
                  <w:tcW w:w="1344" w:type="pct"/>
                  <w:vMerge w:val="continue"/>
                  <w:noWrap w:val="0"/>
                  <w:vAlign w:val="center"/>
                </w:tcPr>
                <w:p w14:paraId="3A52E3C9">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textAlignment w:val="auto"/>
                    <w:rPr>
                      <w:rFonts w:hint="default" w:ascii="Times New Roman" w:hAnsi="Times New Roman" w:eastAsia="宋体" w:cs="Times New Roman"/>
                      <w:position w:val="2"/>
                      <w:sz w:val="21"/>
                      <w:szCs w:val="21"/>
                    </w:rPr>
                  </w:pPr>
                </w:p>
              </w:tc>
              <w:tc>
                <w:tcPr>
                  <w:tcW w:w="267" w:type="pct"/>
                  <w:vMerge w:val="continue"/>
                  <w:noWrap w:val="0"/>
                  <w:vAlign w:val="center"/>
                </w:tcPr>
                <w:p w14:paraId="16962DA1">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position w:val="2"/>
                      <w:sz w:val="21"/>
                      <w:szCs w:val="21"/>
                    </w:rPr>
                  </w:pPr>
                </w:p>
              </w:tc>
            </w:tr>
            <w:tr w14:paraId="05448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 w:hRule="atLeast"/>
                <w:jc w:val="center"/>
              </w:trPr>
              <w:tc>
                <w:tcPr>
                  <w:tcW w:w="236" w:type="pct"/>
                  <w:vMerge w:val="continue"/>
                  <w:noWrap w:val="0"/>
                  <w:vAlign w:val="center"/>
                </w:tcPr>
                <w:p w14:paraId="18A77315">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position w:val="2"/>
                      <w:sz w:val="21"/>
                      <w:szCs w:val="21"/>
                    </w:rPr>
                  </w:pPr>
                </w:p>
              </w:tc>
              <w:tc>
                <w:tcPr>
                  <w:tcW w:w="730" w:type="pct"/>
                  <w:vMerge w:val="continue"/>
                  <w:noWrap w:val="0"/>
                  <w:vAlign w:val="top"/>
                </w:tcPr>
                <w:p w14:paraId="4DC5E2E2">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textAlignment w:val="auto"/>
                    <w:rPr>
                      <w:rFonts w:hint="default" w:ascii="Times New Roman" w:hAnsi="Times New Roman" w:eastAsia="宋体" w:cs="Times New Roman"/>
                      <w:position w:val="2"/>
                      <w:sz w:val="21"/>
                      <w:szCs w:val="21"/>
                    </w:rPr>
                  </w:pPr>
                </w:p>
              </w:tc>
              <w:tc>
                <w:tcPr>
                  <w:tcW w:w="2420" w:type="pct"/>
                  <w:noWrap w:val="0"/>
                  <w:vAlign w:val="center"/>
                </w:tcPr>
                <w:p w14:paraId="316539FD">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textAlignment w:val="auto"/>
                    <w:rPr>
                      <w:rFonts w:hint="default" w:ascii="Times New Roman" w:hAnsi="Times New Roman" w:eastAsia="宋体" w:cs="Times New Roman"/>
                      <w:position w:val="2"/>
                      <w:sz w:val="21"/>
                      <w:szCs w:val="21"/>
                    </w:rPr>
                  </w:pPr>
                  <w:r>
                    <w:rPr>
                      <w:rFonts w:hint="default" w:ascii="Times New Roman" w:hAnsi="Times New Roman" w:eastAsia="宋体" w:cs="Times New Roman"/>
                      <w:position w:val="2"/>
                      <w:sz w:val="21"/>
                      <w:szCs w:val="21"/>
                    </w:rPr>
                    <w:t>《加快推进工业转型升级建设现代化工业体系的指导意见任务分工方案》（冀政办字[2018]46号）</w:t>
                  </w:r>
                  <w:r>
                    <w:rPr>
                      <w:rFonts w:hint="eastAsia" w:ascii="Times New Roman" w:hAnsi="Times New Roman" w:eastAsia="宋体" w:cs="Times New Roman"/>
                      <w:position w:val="2"/>
                      <w:sz w:val="21"/>
                      <w:szCs w:val="21"/>
                    </w:rPr>
                    <w:t>。</w:t>
                  </w:r>
                </w:p>
              </w:tc>
              <w:tc>
                <w:tcPr>
                  <w:tcW w:w="1344" w:type="pct"/>
                  <w:vMerge w:val="continue"/>
                  <w:noWrap w:val="0"/>
                  <w:vAlign w:val="center"/>
                </w:tcPr>
                <w:p w14:paraId="2444FA35">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textAlignment w:val="auto"/>
                    <w:rPr>
                      <w:rFonts w:hint="default" w:ascii="Times New Roman" w:hAnsi="Times New Roman" w:eastAsia="宋体" w:cs="Times New Roman"/>
                      <w:position w:val="2"/>
                      <w:sz w:val="21"/>
                      <w:szCs w:val="21"/>
                    </w:rPr>
                  </w:pPr>
                </w:p>
              </w:tc>
              <w:tc>
                <w:tcPr>
                  <w:tcW w:w="267" w:type="pct"/>
                  <w:vMerge w:val="continue"/>
                  <w:noWrap w:val="0"/>
                  <w:vAlign w:val="center"/>
                </w:tcPr>
                <w:p w14:paraId="07EF3BCB">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position w:val="2"/>
                      <w:sz w:val="21"/>
                      <w:szCs w:val="21"/>
                    </w:rPr>
                  </w:pPr>
                </w:p>
              </w:tc>
            </w:tr>
            <w:tr w14:paraId="7BA0A4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 w:hRule="atLeast"/>
                <w:jc w:val="center"/>
              </w:trPr>
              <w:tc>
                <w:tcPr>
                  <w:tcW w:w="236" w:type="pct"/>
                  <w:vMerge w:val="continue"/>
                  <w:noWrap w:val="0"/>
                  <w:vAlign w:val="center"/>
                </w:tcPr>
                <w:p w14:paraId="72B813BD">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position w:val="2"/>
                      <w:sz w:val="21"/>
                      <w:szCs w:val="21"/>
                    </w:rPr>
                  </w:pPr>
                </w:p>
              </w:tc>
              <w:tc>
                <w:tcPr>
                  <w:tcW w:w="730" w:type="pct"/>
                  <w:vMerge w:val="continue"/>
                  <w:noWrap w:val="0"/>
                  <w:vAlign w:val="top"/>
                </w:tcPr>
                <w:p w14:paraId="3A92AFDC">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textAlignment w:val="auto"/>
                    <w:rPr>
                      <w:rFonts w:hint="default" w:ascii="Times New Roman" w:hAnsi="Times New Roman" w:eastAsia="宋体" w:cs="Times New Roman"/>
                      <w:position w:val="2"/>
                      <w:sz w:val="21"/>
                      <w:szCs w:val="21"/>
                    </w:rPr>
                  </w:pPr>
                </w:p>
              </w:tc>
              <w:tc>
                <w:tcPr>
                  <w:tcW w:w="2420" w:type="pct"/>
                  <w:noWrap w:val="0"/>
                  <w:vAlign w:val="center"/>
                </w:tcPr>
                <w:p w14:paraId="651712AC">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textAlignment w:val="auto"/>
                    <w:rPr>
                      <w:rFonts w:hint="default" w:ascii="Times New Roman" w:hAnsi="Times New Roman" w:eastAsia="宋体" w:cs="Times New Roman"/>
                      <w:position w:val="2"/>
                      <w:sz w:val="21"/>
                      <w:szCs w:val="21"/>
                    </w:rPr>
                  </w:pPr>
                  <w:r>
                    <w:rPr>
                      <w:rFonts w:hint="default" w:ascii="Times New Roman" w:hAnsi="Times New Roman" w:eastAsia="宋体" w:cs="Times New Roman"/>
                      <w:position w:val="2"/>
                      <w:sz w:val="21"/>
                      <w:szCs w:val="21"/>
                    </w:rPr>
                    <w:t>《京冀、津冀合作框架协议重点事项任务分解方案》（冀政办字[2018]106号）</w:t>
                  </w:r>
                  <w:r>
                    <w:rPr>
                      <w:rFonts w:hint="eastAsia" w:ascii="Times New Roman" w:hAnsi="Times New Roman" w:eastAsia="宋体" w:cs="Times New Roman"/>
                      <w:position w:val="2"/>
                      <w:sz w:val="21"/>
                      <w:szCs w:val="21"/>
                    </w:rPr>
                    <w:t>。</w:t>
                  </w:r>
                </w:p>
              </w:tc>
              <w:tc>
                <w:tcPr>
                  <w:tcW w:w="1344" w:type="pct"/>
                  <w:vMerge w:val="continue"/>
                  <w:noWrap w:val="0"/>
                  <w:vAlign w:val="center"/>
                </w:tcPr>
                <w:p w14:paraId="455F8CBF">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textAlignment w:val="auto"/>
                    <w:rPr>
                      <w:rFonts w:hint="default" w:ascii="Times New Roman" w:hAnsi="Times New Roman" w:eastAsia="宋体" w:cs="Times New Roman"/>
                      <w:position w:val="2"/>
                      <w:sz w:val="21"/>
                      <w:szCs w:val="21"/>
                    </w:rPr>
                  </w:pPr>
                </w:p>
              </w:tc>
              <w:tc>
                <w:tcPr>
                  <w:tcW w:w="267" w:type="pct"/>
                  <w:vMerge w:val="continue"/>
                  <w:noWrap w:val="0"/>
                  <w:vAlign w:val="center"/>
                </w:tcPr>
                <w:p w14:paraId="05EDF416">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position w:val="2"/>
                      <w:sz w:val="21"/>
                      <w:szCs w:val="21"/>
                    </w:rPr>
                  </w:pPr>
                </w:p>
              </w:tc>
            </w:tr>
            <w:tr w14:paraId="1FD3B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 w:hRule="atLeast"/>
                <w:jc w:val="center"/>
              </w:trPr>
              <w:tc>
                <w:tcPr>
                  <w:tcW w:w="236" w:type="pct"/>
                  <w:vMerge w:val="continue"/>
                  <w:noWrap w:val="0"/>
                  <w:vAlign w:val="center"/>
                </w:tcPr>
                <w:p w14:paraId="7619D52F">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position w:val="2"/>
                      <w:sz w:val="21"/>
                      <w:szCs w:val="21"/>
                    </w:rPr>
                  </w:pPr>
                </w:p>
              </w:tc>
              <w:tc>
                <w:tcPr>
                  <w:tcW w:w="730" w:type="pct"/>
                  <w:vMerge w:val="continue"/>
                  <w:noWrap w:val="0"/>
                  <w:vAlign w:val="top"/>
                </w:tcPr>
                <w:p w14:paraId="48F833CA">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textAlignment w:val="auto"/>
                    <w:rPr>
                      <w:rFonts w:hint="default" w:ascii="Times New Roman" w:hAnsi="Times New Roman" w:eastAsia="宋体" w:cs="Times New Roman"/>
                      <w:position w:val="2"/>
                      <w:sz w:val="21"/>
                      <w:szCs w:val="21"/>
                    </w:rPr>
                  </w:pPr>
                </w:p>
              </w:tc>
              <w:tc>
                <w:tcPr>
                  <w:tcW w:w="2420" w:type="pct"/>
                  <w:noWrap w:val="0"/>
                  <w:vAlign w:val="center"/>
                </w:tcPr>
                <w:p w14:paraId="49012BFE">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textAlignment w:val="auto"/>
                    <w:rPr>
                      <w:rFonts w:hint="default" w:ascii="Times New Roman" w:hAnsi="Times New Roman" w:eastAsia="宋体" w:cs="Times New Roman"/>
                      <w:position w:val="2"/>
                      <w:sz w:val="21"/>
                      <w:szCs w:val="21"/>
                    </w:rPr>
                  </w:pPr>
                  <w:r>
                    <w:rPr>
                      <w:rFonts w:hint="default" w:ascii="Times New Roman" w:hAnsi="Times New Roman" w:eastAsia="宋体" w:cs="Times New Roman"/>
                      <w:position w:val="2"/>
                      <w:sz w:val="21"/>
                      <w:szCs w:val="21"/>
                    </w:rPr>
                    <w:t>河北省人民政府办公厅关于提升土地利用质量效益的指导意见（冀政办字[2018]114号）</w:t>
                  </w:r>
                  <w:r>
                    <w:rPr>
                      <w:rFonts w:hint="eastAsia" w:ascii="Times New Roman" w:hAnsi="Times New Roman" w:eastAsia="宋体" w:cs="Times New Roman"/>
                      <w:position w:val="2"/>
                      <w:sz w:val="21"/>
                      <w:szCs w:val="21"/>
                    </w:rPr>
                    <w:t>。</w:t>
                  </w:r>
                </w:p>
              </w:tc>
              <w:tc>
                <w:tcPr>
                  <w:tcW w:w="1344" w:type="pct"/>
                  <w:vMerge w:val="continue"/>
                  <w:noWrap w:val="0"/>
                  <w:vAlign w:val="center"/>
                </w:tcPr>
                <w:p w14:paraId="72D4BDB6">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textAlignment w:val="auto"/>
                    <w:rPr>
                      <w:rFonts w:hint="default" w:ascii="Times New Roman" w:hAnsi="Times New Roman" w:eastAsia="宋体" w:cs="Times New Roman"/>
                      <w:position w:val="2"/>
                      <w:sz w:val="21"/>
                      <w:szCs w:val="21"/>
                    </w:rPr>
                  </w:pPr>
                </w:p>
              </w:tc>
              <w:tc>
                <w:tcPr>
                  <w:tcW w:w="267" w:type="pct"/>
                  <w:vMerge w:val="continue"/>
                  <w:noWrap w:val="0"/>
                  <w:vAlign w:val="center"/>
                </w:tcPr>
                <w:p w14:paraId="4B5A92E1">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position w:val="2"/>
                      <w:sz w:val="21"/>
                      <w:szCs w:val="21"/>
                    </w:rPr>
                  </w:pPr>
                </w:p>
              </w:tc>
            </w:tr>
            <w:tr w14:paraId="357C8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 w:hRule="atLeast"/>
                <w:jc w:val="center"/>
              </w:trPr>
              <w:tc>
                <w:tcPr>
                  <w:tcW w:w="236" w:type="pct"/>
                  <w:vMerge w:val="continue"/>
                  <w:noWrap w:val="0"/>
                  <w:vAlign w:val="center"/>
                </w:tcPr>
                <w:p w14:paraId="45C9391F">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position w:val="2"/>
                      <w:sz w:val="21"/>
                      <w:szCs w:val="21"/>
                    </w:rPr>
                  </w:pPr>
                </w:p>
              </w:tc>
              <w:tc>
                <w:tcPr>
                  <w:tcW w:w="730" w:type="pct"/>
                  <w:vMerge w:val="continue"/>
                  <w:noWrap w:val="0"/>
                  <w:vAlign w:val="top"/>
                </w:tcPr>
                <w:p w14:paraId="3F45274C">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textAlignment w:val="auto"/>
                    <w:rPr>
                      <w:rFonts w:hint="default" w:ascii="Times New Roman" w:hAnsi="Times New Roman" w:eastAsia="宋体" w:cs="Times New Roman"/>
                      <w:position w:val="2"/>
                      <w:sz w:val="21"/>
                      <w:szCs w:val="21"/>
                    </w:rPr>
                  </w:pPr>
                </w:p>
              </w:tc>
              <w:tc>
                <w:tcPr>
                  <w:tcW w:w="2420" w:type="pct"/>
                  <w:noWrap w:val="0"/>
                  <w:vAlign w:val="center"/>
                </w:tcPr>
                <w:p w14:paraId="2337553F">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textAlignment w:val="auto"/>
                    <w:rPr>
                      <w:rFonts w:hint="default" w:ascii="Times New Roman" w:hAnsi="Times New Roman" w:eastAsia="宋体" w:cs="Times New Roman"/>
                      <w:position w:val="2"/>
                      <w:sz w:val="21"/>
                      <w:szCs w:val="21"/>
                    </w:rPr>
                  </w:pPr>
                  <w:r>
                    <w:rPr>
                      <w:rFonts w:hint="default" w:ascii="Times New Roman" w:hAnsi="Times New Roman" w:eastAsia="宋体" w:cs="Times New Roman"/>
                      <w:position w:val="2"/>
                      <w:sz w:val="21"/>
                      <w:szCs w:val="21"/>
                    </w:rPr>
                    <w:t>河北省人民政府办公厅印发关于加快沿海地区开放开发实施方案的通知（省政府办公厅[2018]-102）</w:t>
                  </w:r>
                  <w:r>
                    <w:rPr>
                      <w:rFonts w:hint="eastAsia" w:ascii="Times New Roman" w:hAnsi="Times New Roman" w:eastAsia="宋体" w:cs="Times New Roman"/>
                      <w:position w:val="2"/>
                      <w:sz w:val="21"/>
                      <w:szCs w:val="21"/>
                    </w:rPr>
                    <w:t>。</w:t>
                  </w:r>
                </w:p>
              </w:tc>
              <w:tc>
                <w:tcPr>
                  <w:tcW w:w="1344" w:type="pct"/>
                  <w:vMerge w:val="continue"/>
                  <w:noWrap w:val="0"/>
                  <w:vAlign w:val="center"/>
                </w:tcPr>
                <w:p w14:paraId="42B4834A">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textAlignment w:val="auto"/>
                    <w:rPr>
                      <w:rFonts w:hint="default" w:ascii="Times New Roman" w:hAnsi="Times New Roman" w:eastAsia="宋体" w:cs="Times New Roman"/>
                      <w:position w:val="2"/>
                      <w:sz w:val="21"/>
                      <w:szCs w:val="21"/>
                    </w:rPr>
                  </w:pPr>
                </w:p>
              </w:tc>
              <w:tc>
                <w:tcPr>
                  <w:tcW w:w="267" w:type="pct"/>
                  <w:vMerge w:val="continue"/>
                  <w:noWrap w:val="0"/>
                  <w:vAlign w:val="center"/>
                </w:tcPr>
                <w:p w14:paraId="5B5AAA0B">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position w:val="2"/>
                      <w:sz w:val="21"/>
                      <w:szCs w:val="21"/>
                    </w:rPr>
                  </w:pPr>
                </w:p>
              </w:tc>
            </w:tr>
            <w:tr w14:paraId="4DFF51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 w:hRule="atLeast"/>
                <w:jc w:val="center"/>
              </w:trPr>
              <w:tc>
                <w:tcPr>
                  <w:tcW w:w="236" w:type="pct"/>
                  <w:vMerge w:val="continue"/>
                  <w:noWrap w:val="0"/>
                  <w:vAlign w:val="center"/>
                </w:tcPr>
                <w:p w14:paraId="11ADF1E1">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position w:val="2"/>
                      <w:sz w:val="21"/>
                      <w:szCs w:val="21"/>
                    </w:rPr>
                  </w:pPr>
                </w:p>
              </w:tc>
              <w:tc>
                <w:tcPr>
                  <w:tcW w:w="730" w:type="pct"/>
                  <w:vMerge w:val="continue"/>
                  <w:noWrap w:val="0"/>
                  <w:vAlign w:val="top"/>
                </w:tcPr>
                <w:p w14:paraId="695AAE07">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textAlignment w:val="auto"/>
                    <w:rPr>
                      <w:rFonts w:hint="default" w:ascii="Times New Roman" w:hAnsi="Times New Roman" w:eastAsia="宋体" w:cs="Times New Roman"/>
                      <w:position w:val="2"/>
                      <w:sz w:val="21"/>
                      <w:szCs w:val="21"/>
                    </w:rPr>
                  </w:pPr>
                </w:p>
              </w:tc>
              <w:tc>
                <w:tcPr>
                  <w:tcW w:w="2420" w:type="pct"/>
                  <w:noWrap w:val="0"/>
                  <w:vAlign w:val="center"/>
                </w:tcPr>
                <w:p w14:paraId="26B9A6CD">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textAlignment w:val="auto"/>
                    <w:rPr>
                      <w:rFonts w:hint="default" w:ascii="Times New Roman" w:hAnsi="Times New Roman" w:eastAsia="宋体" w:cs="Times New Roman"/>
                      <w:position w:val="2"/>
                      <w:sz w:val="21"/>
                      <w:szCs w:val="21"/>
                    </w:rPr>
                  </w:pPr>
                  <w:r>
                    <w:rPr>
                      <w:rFonts w:hint="default" w:ascii="Times New Roman" w:hAnsi="Times New Roman" w:eastAsia="宋体" w:cs="Times New Roman"/>
                      <w:position w:val="2"/>
                      <w:sz w:val="21"/>
                      <w:szCs w:val="21"/>
                    </w:rPr>
                    <w:t>河北省人民政府办公厅印发《关于支持生物医药产业高质量发展的若干政策》的通知（冀政办字[2019]69号）</w:t>
                  </w:r>
                  <w:r>
                    <w:rPr>
                      <w:rFonts w:hint="eastAsia" w:ascii="Times New Roman" w:hAnsi="Times New Roman" w:eastAsia="宋体" w:cs="Times New Roman"/>
                      <w:position w:val="2"/>
                      <w:sz w:val="21"/>
                      <w:szCs w:val="21"/>
                    </w:rPr>
                    <w:t>。</w:t>
                  </w:r>
                </w:p>
              </w:tc>
              <w:tc>
                <w:tcPr>
                  <w:tcW w:w="1344" w:type="pct"/>
                  <w:vMerge w:val="continue"/>
                  <w:noWrap w:val="0"/>
                  <w:vAlign w:val="center"/>
                </w:tcPr>
                <w:p w14:paraId="3D094995">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textAlignment w:val="auto"/>
                    <w:rPr>
                      <w:rFonts w:hint="default" w:ascii="Times New Roman" w:hAnsi="Times New Roman" w:eastAsia="宋体" w:cs="Times New Roman"/>
                      <w:position w:val="2"/>
                      <w:sz w:val="21"/>
                      <w:szCs w:val="21"/>
                    </w:rPr>
                  </w:pPr>
                </w:p>
              </w:tc>
              <w:tc>
                <w:tcPr>
                  <w:tcW w:w="267" w:type="pct"/>
                  <w:vMerge w:val="continue"/>
                  <w:noWrap w:val="0"/>
                  <w:vAlign w:val="center"/>
                </w:tcPr>
                <w:p w14:paraId="041C7505">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position w:val="2"/>
                      <w:sz w:val="21"/>
                      <w:szCs w:val="21"/>
                    </w:rPr>
                  </w:pPr>
                </w:p>
              </w:tc>
            </w:tr>
            <w:tr w14:paraId="6F01E7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 w:hRule="atLeast"/>
                <w:jc w:val="center"/>
              </w:trPr>
              <w:tc>
                <w:tcPr>
                  <w:tcW w:w="236" w:type="pct"/>
                  <w:vMerge w:val="continue"/>
                  <w:noWrap w:val="0"/>
                  <w:vAlign w:val="center"/>
                </w:tcPr>
                <w:p w14:paraId="5DA8AFBF">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position w:val="2"/>
                      <w:sz w:val="21"/>
                      <w:szCs w:val="21"/>
                    </w:rPr>
                  </w:pPr>
                </w:p>
              </w:tc>
              <w:tc>
                <w:tcPr>
                  <w:tcW w:w="730" w:type="pct"/>
                  <w:vMerge w:val="continue"/>
                  <w:noWrap w:val="0"/>
                  <w:vAlign w:val="top"/>
                </w:tcPr>
                <w:p w14:paraId="0B96878A">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textAlignment w:val="auto"/>
                    <w:rPr>
                      <w:rFonts w:hint="default" w:ascii="Times New Roman" w:hAnsi="Times New Roman" w:eastAsia="宋体" w:cs="Times New Roman"/>
                      <w:position w:val="2"/>
                      <w:sz w:val="21"/>
                      <w:szCs w:val="21"/>
                    </w:rPr>
                  </w:pPr>
                </w:p>
              </w:tc>
              <w:tc>
                <w:tcPr>
                  <w:tcW w:w="2420" w:type="pct"/>
                  <w:noWrap w:val="0"/>
                  <w:vAlign w:val="center"/>
                </w:tcPr>
                <w:p w14:paraId="44FB42C0">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textAlignment w:val="auto"/>
                    <w:rPr>
                      <w:rFonts w:hint="default" w:ascii="Times New Roman" w:hAnsi="Times New Roman" w:eastAsia="宋体" w:cs="Times New Roman"/>
                      <w:position w:val="2"/>
                      <w:sz w:val="21"/>
                      <w:szCs w:val="21"/>
                    </w:rPr>
                  </w:pPr>
                  <w:r>
                    <w:rPr>
                      <w:rFonts w:hint="default" w:ascii="Times New Roman" w:hAnsi="Times New Roman" w:eastAsia="宋体" w:cs="Times New Roman"/>
                      <w:position w:val="2"/>
                      <w:sz w:val="21"/>
                      <w:szCs w:val="21"/>
                    </w:rPr>
                    <w:t>中共河北省委办公厅河北省人民政府办公厅印发《关于加快沧州渤海新区高质量发展的实施方案》的通知（冀办[2019]59号）</w:t>
                  </w:r>
                  <w:r>
                    <w:rPr>
                      <w:rFonts w:hint="eastAsia" w:ascii="Times New Roman" w:hAnsi="Times New Roman" w:eastAsia="宋体" w:cs="Times New Roman"/>
                      <w:position w:val="2"/>
                      <w:sz w:val="21"/>
                      <w:szCs w:val="21"/>
                    </w:rPr>
                    <w:t>。</w:t>
                  </w:r>
                </w:p>
              </w:tc>
              <w:tc>
                <w:tcPr>
                  <w:tcW w:w="1344" w:type="pct"/>
                  <w:vMerge w:val="continue"/>
                  <w:noWrap w:val="0"/>
                  <w:vAlign w:val="center"/>
                </w:tcPr>
                <w:p w14:paraId="5FDEC7A7">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textAlignment w:val="auto"/>
                    <w:rPr>
                      <w:rFonts w:hint="default" w:ascii="Times New Roman" w:hAnsi="Times New Roman" w:eastAsia="宋体" w:cs="Times New Roman"/>
                      <w:position w:val="2"/>
                      <w:sz w:val="21"/>
                      <w:szCs w:val="21"/>
                    </w:rPr>
                  </w:pPr>
                </w:p>
              </w:tc>
              <w:tc>
                <w:tcPr>
                  <w:tcW w:w="267" w:type="pct"/>
                  <w:vMerge w:val="continue"/>
                  <w:noWrap w:val="0"/>
                  <w:vAlign w:val="center"/>
                </w:tcPr>
                <w:p w14:paraId="714C6A8E">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position w:val="2"/>
                      <w:sz w:val="21"/>
                      <w:szCs w:val="21"/>
                    </w:rPr>
                  </w:pPr>
                </w:p>
              </w:tc>
            </w:tr>
            <w:tr w14:paraId="25FD71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 w:hRule="atLeast"/>
                <w:jc w:val="center"/>
              </w:trPr>
              <w:tc>
                <w:tcPr>
                  <w:tcW w:w="236" w:type="pct"/>
                  <w:noWrap w:val="0"/>
                  <w:vAlign w:val="center"/>
                </w:tcPr>
                <w:p w14:paraId="0E1E0ADA">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position w:val="2"/>
                      <w:sz w:val="21"/>
                      <w:szCs w:val="21"/>
                    </w:rPr>
                  </w:pPr>
                  <w:r>
                    <w:rPr>
                      <w:rFonts w:hint="default" w:ascii="Times New Roman" w:hAnsi="Times New Roman" w:eastAsia="宋体" w:cs="Times New Roman"/>
                      <w:position w:val="2"/>
                      <w:sz w:val="21"/>
                      <w:szCs w:val="21"/>
                    </w:rPr>
                    <w:t>2</w:t>
                  </w:r>
                </w:p>
              </w:tc>
              <w:tc>
                <w:tcPr>
                  <w:tcW w:w="730" w:type="pct"/>
                  <w:noWrap w:val="0"/>
                  <w:vAlign w:val="center"/>
                </w:tcPr>
                <w:p w14:paraId="402312BA">
                  <w:pPr>
                    <w:keepNext w:val="0"/>
                    <w:keepLines w:val="0"/>
                    <w:pageBreakBefore w:val="0"/>
                    <w:widowControl w:val="0"/>
                    <w:suppressLineNumbers w:val="0"/>
                    <w:wordWrap/>
                    <w:topLinePunct w:val="0"/>
                    <w:bidi w:val="0"/>
                    <w:snapToGrid/>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position w:val="2"/>
                      <w:sz w:val="21"/>
                      <w:szCs w:val="21"/>
                    </w:rPr>
                  </w:pPr>
                  <w:r>
                    <w:rPr>
                      <w:rFonts w:hint="default" w:ascii="Times New Roman" w:hAnsi="Times New Roman" w:eastAsia="宋体" w:cs="Times New Roman"/>
                      <w:sz w:val="21"/>
                      <w:szCs w:val="21"/>
                    </w:rPr>
                    <w:t>清洁生产水平应达到国内先进水平</w:t>
                  </w:r>
                </w:p>
              </w:tc>
              <w:tc>
                <w:tcPr>
                  <w:tcW w:w="2420" w:type="pct"/>
                  <w:noWrap w:val="0"/>
                  <w:vAlign w:val="center"/>
                </w:tcPr>
                <w:p w14:paraId="65B65852">
                  <w:pPr>
                    <w:keepNext w:val="0"/>
                    <w:keepLines w:val="0"/>
                    <w:pageBreakBefore w:val="0"/>
                    <w:widowControl w:val="0"/>
                    <w:suppressLineNumbers w:val="0"/>
                    <w:wordWrap/>
                    <w:topLinePunct w:val="0"/>
                    <w:bidi w:val="0"/>
                    <w:snapToGrid/>
                    <w:spacing w:before="157" w:beforeLines="50" w:beforeAutospacing="0" w:after="157" w:afterLines="50" w:afterAutospacing="0" w:line="240" w:lineRule="auto"/>
                    <w:ind w:left="105" w:leftChars="50" w:right="105" w:rightChars="50"/>
                    <w:jc w:val="left"/>
                    <w:textAlignment w:val="auto"/>
                    <w:rPr>
                      <w:rFonts w:hint="default" w:ascii="Times New Roman" w:hAnsi="Times New Roman" w:eastAsia="宋体" w:cs="Times New Roman"/>
                      <w:position w:val="2"/>
                      <w:sz w:val="21"/>
                      <w:szCs w:val="21"/>
                    </w:rPr>
                  </w:pPr>
                  <w:r>
                    <w:rPr>
                      <w:rFonts w:hint="default" w:ascii="Times New Roman" w:hAnsi="Times New Roman" w:eastAsia="宋体" w:cs="Times New Roman"/>
                      <w:sz w:val="21"/>
                      <w:szCs w:val="21"/>
                    </w:rPr>
                    <w:t>即二级以上水平，同时符合循环经济要求</w:t>
                  </w:r>
                  <w:r>
                    <w:rPr>
                      <w:rFonts w:hint="eastAsia" w:ascii="Times New Roman" w:hAnsi="Times New Roman" w:eastAsia="宋体" w:cs="Times New Roman"/>
                      <w:sz w:val="21"/>
                      <w:szCs w:val="21"/>
                    </w:rPr>
                    <w:t>。</w:t>
                  </w:r>
                </w:p>
              </w:tc>
              <w:tc>
                <w:tcPr>
                  <w:tcW w:w="1344" w:type="pct"/>
                  <w:noWrap w:val="0"/>
                  <w:vAlign w:val="center"/>
                </w:tcPr>
                <w:p w14:paraId="395EDD87">
                  <w:pPr>
                    <w:keepNext w:val="0"/>
                    <w:keepLines w:val="0"/>
                    <w:pageBreakBefore w:val="0"/>
                    <w:widowControl w:val="0"/>
                    <w:suppressLineNumbers w:val="0"/>
                    <w:wordWrap/>
                    <w:topLinePunct w:val="0"/>
                    <w:bidi w:val="0"/>
                    <w:snapToGrid/>
                    <w:spacing w:before="157" w:beforeLines="50" w:beforeAutospacing="0" w:after="157" w:afterLines="50" w:afterAutospacing="0" w:line="240" w:lineRule="auto"/>
                    <w:ind w:left="105" w:leftChars="50" w:right="105" w:rightChars="50"/>
                    <w:textAlignment w:val="auto"/>
                    <w:rPr>
                      <w:rFonts w:hint="default" w:ascii="Times New Roman" w:hAnsi="Times New Roman" w:eastAsia="宋体" w:cs="Times New Roman"/>
                      <w:position w:val="2"/>
                      <w:sz w:val="21"/>
                      <w:szCs w:val="21"/>
                    </w:rPr>
                  </w:pPr>
                  <w:r>
                    <w:rPr>
                      <w:rFonts w:hint="eastAsia" w:ascii="Times New Roman" w:hAnsi="Times New Roman" w:eastAsia="宋体" w:cs="Times New Roman"/>
                      <w:sz w:val="21"/>
                      <w:szCs w:val="21"/>
                    </w:rPr>
                    <w:t>企业清洁生产水平满足</w:t>
                  </w:r>
                  <w:r>
                    <w:rPr>
                      <w:rFonts w:hint="default" w:ascii="Times New Roman" w:hAnsi="Times New Roman" w:eastAsia="宋体" w:cs="Times New Roman"/>
                      <w:sz w:val="21"/>
                      <w:szCs w:val="21"/>
                    </w:rPr>
                    <w:t>清洁生产</w:t>
                  </w:r>
                  <w:r>
                    <w:rPr>
                      <w:rFonts w:hint="eastAsia" w:ascii="Times New Roman" w:hAnsi="Times New Roman" w:eastAsia="宋体" w:cs="Times New Roman"/>
                      <w:sz w:val="21"/>
                      <w:szCs w:val="21"/>
                    </w:rPr>
                    <w:t>要求。</w:t>
                  </w:r>
                </w:p>
              </w:tc>
              <w:tc>
                <w:tcPr>
                  <w:tcW w:w="267" w:type="pct"/>
                  <w:noWrap w:val="0"/>
                  <w:vAlign w:val="center"/>
                </w:tcPr>
                <w:p w14:paraId="175089F8">
                  <w:pPr>
                    <w:keepNext w:val="0"/>
                    <w:keepLines w:val="0"/>
                    <w:pageBreakBefore w:val="0"/>
                    <w:widowControl w:val="0"/>
                    <w:suppressLineNumbers w:val="0"/>
                    <w:wordWrap/>
                    <w:topLinePunct w:val="0"/>
                    <w:bidi w:val="0"/>
                    <w:snapToGrid/>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position w:val="2"/>
                      <w:sz w:val="21"/>
                      <w:szCs w:val="21"/>
                    </w:rPr>
                  </w:pPr>
                  <w:r>
                    <w:rPr>
                      <w:rFonts w:hint="default" w:ascii="Times New Roman" w:hAnsi="Times New Roman" w:eastAsia="宋体" w:cs="Times New Roman"/>
                      <w:sz w:val="21"/>
                      <w:szCs w:val="21"/>
                    </w:rPr>
                    <w:t>符合</w:t>
                  </w:r>
                </w:p>
              </w:tc>
            </w:tr>
            <w:tr w14:paraId="5C7DD5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236" w:type="pct"/>
                  <w:noWrap w:val="0"/>
                  <w:vAlign w:val="center"/>
                </w:tcPr>
                <w:p w14:paraId="68599F07">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position w:val="2"/>
                      <w:sz w:val="21"/>
                      <w:szCs w:val="21"/>
                    </w:rPr>
                  </w:pPr>
                  <w:r>
                    <w:rPr>
                      <w:rFonts w:hint="default" w:ascii="Times New Roman" w:hAnsi="Times New Roman" w:eastAsia="宋体" w:cs="Times New Roman"/>
                      <w:position w:val="2"/>
                      <w:sz w:val="21"/>
                      <w:szCs w:val="21"/>
                    </w:rPr>
                    <w:t>3</w:t>
                  </w:r>
                </w:p>
              </w:tc>
              <w:tc>
                <w:tcPr>
                  <w:tcW w:w="730" w:type="pct"/>
                  <w:noWrap w:val="0"/>
                  <w:vAlign w:val="center"/>
                </w:tcPr>
                <w:p w14:paraId="6E5093AE">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position w:val="2"/>
                      <w:sz w:val="21"/>
                      <w:szCs w:val="21"/>
                    </w:rPr>
                  </w:pPr>
                  <w:r>
                    <w:rPr>
                      <w:rFonts w:hint="default" w:ascii="Times New Roman" w:hAnsi="Times New Roman" w:eastAsia="宋体" w:cs="Times New Roman"/>
                      <w:position w:val="2"/>
                      <w:sz w:val="21"/>
                      <w:szCs w:val="21"/>
                    </w:rPr>
                    <w:t>符合规划指标和总量控制要求</w:t>
                  </w:r>
                </w:p>
              </w:tc>
              <w:tc>
                <w:tcPr>
                  <w:tcW w:w="2420" w:type="pct"/>
                  <w:noWrap w:val="0"/>
                  <w:vAlign w:val="center"/>
                </w:tcPr>
                <w:p w14:paraId="39B37BDC">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textAlignment w:val="auto"/>
                    <w:rPr>
                      <w:rFonts w:hint="default" w:ascii="Times New Roman" w:hAnsi="Times New Roman" w:eastAsia="宋体" w:cs="Times New Roman"/>
                      <w:position w:val="2"/>
                      <w:sz w:val="21"/>
                      <w:szCs w:val="21"/>
                    </w:rPr>
                  </w:pPr>
                  <w:r>
                    <w:rPr>
                      <w:rFonts w:hint="default" w:ascii="Times New Roman" w:hAnsi="Times New Roman" w:eastAsia="宋体" w:cs="Times New Roman"/>
                      <w:position w:val="2"/>
                      <w:sz w:val="21"/>
                      <w:szCs w:val="21"/>
                    </w:rPr>
                    <w:t>入区项目单位GDP综合能耗、新鲜水耗及COD、氨氮、二氧化硫、氮氧化物排放总量等指标应符合园区规划指标要求，即入区项目相应指标应优于或不劣于规划指标，污染物排放总量控制指标满足本次规划环评提出的临港开发区总量控制及指标要求</w:t>
                  </w:r>
                  <w:r>
                    <w:rPr>
                      <w:rFonts w:hint="eastAsia" w:ascii="Times New Roman" w:hAnsi="Times New Roman" w:eastAsia="宋体" w:cs="Times New Roman"/>
                      <w:position w:val="2"/>
                      <w:sz w:val="21"/>
                      <w:szCs w:val="21"/>
                    </w:rPr>
                    <w:t>。</w:t>
                  </w:r>
                </w:p>
              </w:tc>
              <w:tc>
                <w:tcPr>
                  <w:tcW w:w="1344" w:type="pct"/>
                  <w:noWrap w:val="0"/>
                  <w:vAlign w:val="center"/>
                </w:tcPr>
                <w:p w14:paraId="209909C9">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textAlignment w:val="auto"/>
                    <w:rPr>
                      <w:rFonts w:hint="eastAsia" w:ascii="Times New Roman" w:hAnsi="Times New Roman" w:eastAsia="宋体" w:cs="Times New Roman"/>
                      <w:bCs/>
                      <w:position w:val="2"/>
                      <w:sz w:val="21"/>
                      <w:szCs w:val="21"/>
                    </w:rPr>
                  </w:pPr>
                  <w:r>
                    <w:rPr>
                      <w:rFonts w:hint="eastAsia" w:ascii="Times New Roman" w:hAnsi="Times New Roman" w:eastAsia="宋体" w:cs="Times New Roman"/>
                      <w:position w:val="2"/>
                      <w:sz w:val="21"/>
                      <w:szCs w:val="21"/>
                    </w:rPr>
                    <w:t>本项目不涉及</w:t>
                  </w:r>
                  <w:r>
                    <w:rPr>
                      <w:rFonts w:hint="default" w:ascii="Times New Roman" w:hAnsi="Times New Roman" w:eastAsia="宋体" w:cs="Times New Roman"/>
                      <w:sz w:val="21"/>
                      <w:szCs w:val="21"/>
                    </w:rPr>
                    <w:t>COD、氨氮、</w:t>
                  </w:r>
                  <w:r>
                    <w:rPr>
                      <w:rFonts w:hint="default" w:ascii="Times New Roman" w:hAnsi="Times New Roman" w:eastAsia="宋体" w:cs="Times New Roman"/>
                      <w:position w:val="2"/>
                      <w:sz w:val="21"/>
                      <w:szCs w:val="21"/>
                    </w:rPr>
                    <w:t>二氧化硫、氮氧化物排放</w:t>
                  </w:r>
                  <w:r>
                    <w:rPr>
                      <w:rFonts w:hint="eastAsia" w:ascii="Times New Roman" w:hAnsi="Times New Roman" w:eastAsia="宋体" w:cs="Times New Roman"/>
                      <w:position w:val="2"/>
                      <w:sz w:val="21"/>
                      <w:szCs w:val="21"/>
                    </w:rPr>
                    <w:t>；</w:t>
                  </w:r>
                  <w:r>
                    <w:rPr>
                      <w:rFonts w:hint="default" w:ascii="Times New Roman" w:hAnsi="Times New Roman" w:eastAsia="宋体" w:cs="Times New Roman"/>
                      <w:position w:val="2"/>
                      <w:sz w:val="21"/>
                      <w:szCs w:val="21"/>
                    </w:rPr>
                    <w:t>项目单位GDP综合能耗、新鲜水耗等指标符合园区规划指标要求</w:t>
                  </w:r>
                  <w:r>
                    <w:rPr>
                      <w:rFonts w:hint="eastAsia" w:ascii="Times New Roman" w:hAnsi="Times New Roman" w:eastAsia="宋体" w:cs="Times New Roman"/>
                      <w:position w:val="2"/>
                      <w:sz w:val="21"/>
                      <w:szCs w:val="21"/>
                    </w:rPr>
                    <w:t>。</w:t>
                  </w:r>
                </w:p>
              </w:tc>
              <w:tc>
                <w:tcPr>
                  <w:tcW w:w="267" w:type="pct"/>
                  <w:noWrap w:val="0"/>
                  <w:vAlign w:val="center"/>
                </w:tcPr>
                <w:p w14:paraId="0D0BA0CB">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position w:val="2"/>
                      <w:sz w:val="21"/>
                      <w:szCs w:val="21"/>
                    </w:rPr>
                  </w:pPr>
                  <w:r>
                    <w:rPr>
                      <w:rFonts w:hint="default" w:ascii="Times New Roman" w:hAnsi="Times New Roman" w:eastAsia="宋体" w:cs="Times New Roman"/>
                      <w:position w:val="2"/>
                      <w:sz w:val="21"/>
                      <w:szCs w:val="21"/>
                    </w:rPr>
                    <w:t>符合</w:t>
                  </w:r>
                </w:p>
              </w:tc>
            </w:tr>
            <w:tr w14:paraId="553774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236" w:type="pct"/>
                  <w:noWrap w:val="0"/>
                  <w:vAlign w:val="center"/>
                </w:tcPr>
                <w:p w14:paraId="0785E1C6">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position w:val="2"/>
                      <w:sz w:val="21"/>
                      <w:szCs w:val="21"/>
                    </w:rPr>
                  </w:pPr>
                  <w:r>
                    <w:rPr>
                      <w:rFonts w:hint="default" w:ascii="Times New Roman" w:hAnsi="Times New Roman" w:eastAsia="宋体" w:cs="Times New Roman"/>
                      <w:position w:val="2"/>
                      <w:sz w:val="21"/>
                      <w:szCs w:val="21"/>
                    </w:rPr>
                    <w:t>4</w:t>
                  </w:r>
                </w:p>
              </w:tc>
              <w:tc>
                <w:tcPr>
                  <w:tcW w:w="730" w:type="pct"/>
                  <w:noWrap w:val="0"/>
                  <w:vAlign w:val="center"/>
                </w:tcPr>
                <w:p w14:paraId="25DB7604">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position w:val="2"/>
                      <w:sz w:val="21"/>
                      <w:szCs w:val="21"/>
                    </w:rPr>
                  </w:pPr>
                  <w:r>
                    <w:rPr>
                      <w:rFonts w:hint="default" w:ascii="Times New Roman" w:hAnsi="Times New Roman" w:eastAsia="宋体" w:cs="Times New Roman"/>
                      <w:position w:val="2"/>
                      <w:sz w:val="21"/>
                      <w:szCs w:val="21"/>
                    </w:rPr>
                    <w:t>符合</w:t>
                  </w:r>
                  <w:r>
                    <w:rPr>
                      <w:rFonts w:hint="eastAsia" w:cs="Times New Roman"/>
                      <w:position w:val="2"/>
                      <w:sz w:val="21"/>
                      <w:szCs w:val="21"/>
                      <w:lang w:eastAsia="zh-CN"/>
                    </w:rPr>
                    <w:t>生态保护红线</w:t>
                  </w:r>
                  <w:r>
                    <w:rPr>
                      <w:rFonts w:hint="default" w:ascii="Times New Roman" w:hAnsi="Times New Roman" w:eastAsia="宋体" w:cs="Times New Roman"/>
                      <w:position w:val="2"/>
                      <w:sz w:val="21"/>
                      <w:szCs w:val="21"/>
                    </w:rPr>
                    <w:t>和管控要求</w:t>
                  </w:r>
                </w:p>
              </w:tc>
              <w:tc>
                <w:tcPr>
                  <w:tcW w:w="2420" w:type="pct"/>
                  <w:noWrap w:val="0"/>
                  <w:vAlign w:val="center"/>
                </w:tcPr>
                <w:p w14:paraId="48BC7CB5">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textAlignment w:val="auto"/>
                    <w:rPr>
                      <w:rFonts w:hint="default" w:ascii="Times New Roman" w:hAnsi="Times New Roman" w:eastAsia="宋体" w:cs="Times New Roman"/>
                      <w:position w:val="2"/>
                      <w:sz w:val="21"/>
                      <w:szCs w:val="21"/>
                    </w:rPr>
                  </w:pPr>
                  <w:r>
                    <w:rPr>
                      <w:rFonts w:hint="default" w:ascii="Times New Roman" w:hAnsi="Times New Roman" w:eastAsia="宋体" w:cs="Times New Roman"/>
                      <w:position w:val="2"/>
                      <w:sz w:val="21"/>
                      <w:szCs w:val="21"/>
                    </w:rPr>
                    <w:t>临港开发区规划范围未涉及生态保护红线，但需要满足河北省生态保护红线和海洋生态红线要求</w:t>
                  </w:r>
                  <w:r>
                    <w:rPr>
                      <w:rFonts w:hint="eastAsia" w:ascii="Times New Roman" w:hAnsi="Times New Roman" w:eastAsia="宋体" w:cs="Times New Roman"/>
                      <w:position w:val="2"/>
                      <w:sz w:val="21"/>
                      <w:szCs w:val="21"/>
                    </w:rPr>
                    <w:t>。</w:t>
                  </w:r>
                </w:p>
              </w:tc>
              <w:tc>
                <w:tcPr>
                  <w:tcW w:w="1344" w:type="pct"/>
                  <w:noWrap w:val="0"/>
                  <w:vAlign w:val="center"/>
                </w:tcPr>
                <w:p w14:paraId="5B07765B">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textAlignment w:val="auto"/>
                    <w:rPr>
                      <w:rFonts w:hint="eastAsia" w:ascii="Times New Roman" w:hAnsi="Times New Roman" w:eastAsia="宋体" w:cs="Times New Roman"/>
                      <w:position w:val="2"/>
                      <w:sz w:val="21"/>
                      <w:szCs w:val="21"/>
                    </w:rPr>
                  </w:pPr>
                  <w:r>
                    <w:rPr>
                      <w:rFonts w:hint="default" w:ascii="Times New Roman" w:hAnsi="Times New Roman" w:eastAsia="宋体" w:cs="Times New Roman"/>
                      <w:position w:val="2"/>
                      <w:sz w:val="21"/>
                      <w:szCs w:val="21"/>
                    </w:rPr>
                    <w:t>项目选址位于沧州临港经济技术开发区</w:t>
                  </w:r>
                  <w:r>
                    <w:rPr>
                      <w:rFonts w:hint="eastAsia" w:ascii="Times New Roman" w:hAnsi="Times New Roman" w:eastAsia="宋体" w:cs="Times New Roman"/>
                      <w:position w:val="2"/>
                      <w:sz w:val="21"/>
                      <w:szCs w:val="21"/>
                    </w:rPr>
                    <w:t>西</w:t>
                  </w:r>
                  <w:r>
                    <w:rPr>
                      <w:rFonts w:hint="default" w:ascii="Times New Roman" w:hAnsi="Times New Roman" w:eastAsia="宋体" w:cs="Times New Roman"/>
                      <w:position w:val="2"/>
                      <w:sz w:val="21"/>
                      <w:szCs w:val="21"/>
                    </w:rPr>
                    <w:t>区，</w:t>
                  </w:r>
                  <w:r>
                    <w:rPr>
                      <w:rFonts w:hint="default" w:ascii="Times New Roman" w:hAnsi="Times New Roman" w:eastAsia="宋体" w:cs="Times New Roman"/>
                      <w:sz w:val="21"/>
                      <w:szCs w:val="21"/>
                    </w:rPr>
                    <w:t>经对照河北省生态保护红线分布图</w:t>
                  </w:r>
                  <w:r>
                    <w:rPr>
                      <w:rFonts w:hint="eastAsia" w:cs="Times New Roman"/>
                      <w:sz w:val="21"/>
                      <w:szCs w:val="21"/>
                      <w:lang w:eastAsia="zh-CN"/>
                    </w:rPr>
                    <w:t>及沧州市生态保护红线分布图</w:t>
                  </w:r>
                  <w:r>
                    <w:rPr>
                      <w:rFonts w:hint="default" w:ascii="Times New Roman" w:hAnsi="Times New Roman" w:eastAsia="宋体" w:cs="Times New Roman"/>
                      <w:sz w:val="21"/>
                      <w:szCs w:val="21"/>
                    </w:rPr>
                    <w:t>，本项目不在自然保护区、饮用水源地保护区及生态红线范围之内。经对照项目不在海洋生态要求范围之内</w:t>
                  </w:r>
                  <w:r>
                    <w:rPr>
                      <w:rFonts w:hint="eastAsia" w:ascii="Times New Roman" w:hAnsi="Times New Roman" w:eastAsia="宋体" w:cs="Times New Roman"/>
                      <w:sz w:val="21"/>
                      <w:szCs w:val="21"/>
                    </w:rPr>
                    <w:t>。</w:t>
                  </w:r>
                </w:p>
              </w:tc>
              <w:tc>
                <w:tcPr>
                  <w:tcW w:w="267" w:type="pct"/>
                  <w:noWrap w:val="0"/>
                  <w:vAlign w:val="center"/>
                </w:tcPr>
                <w:p w14:paraId="1A55956B">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position w:val="2"/>
                      <w:sz w:val="21"/>
                      <w:szCs w:val="21"/>
                    </w:rPr>
                  </w:pPr>
                  <w:r>
                    <w:rPr>
                      <w:rFonts w:hint="default" w:ascii="Times New Roman" w:hAnsi="Times New Roman" w:eastAsia="宋体" w:cs="Times New Roman"/>
                      <w:position w:val="2"/>
                      <w:sz w:val="21"/>
                      <w:szCs w:val="21"/>
                    </w:rPr>
                    <w:t>符合</w:t>
                  </w:r>
                </w:p>
              </w:tc>
            </w:tr>
            <w:tr w14:paraId="2D6CED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236" w:type="pct"/>
                  <w:noWrap w:val="0"/>
                  <w:vAlign w:val="center"/>
                </w:tcPr>
                <w:p w14:paraId="1082A9F9">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position w:val="2"/>
                      <w:sz w:val="21"/>
                      <w:szCs w:val="21"/>
                    </w:rPr>
                  </w:pPr>
                  <w:r>
                    <w:rPr>
                      <w:rFonts w:hint="default" w:ascii="Times New Roman" w:hAnsi="Times New Roman" w:eastAsia="宋体" w:cs="Times New Roman"/>
                      <w:position w:val="2"/>
                      <w:sz w:val="21"/>
                      <w:szCs w:val="21"/>
                    </w:rPr>
                    <w:t>5</w:t>
                  </w:r>
                </w:p>
              </w:tc>
              <w:tc>
                <w:tcPr>
                  <w:tcW w:w="730" w:type="pct"/>
                  <w:noWrap w:val="0"/>
                  <w:vAlign w:val="center"/>
                </w:tcPr>
                <w:p w14:paraId="5C3D9F0F">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position w:val="2"/>
                      <w:sz w:val="21"/>
                      <w:szCs w:val="21"/>
                    </w:rPr>
                  </w:pPr>
                  <w:r>
                    <w:rPr>
                      <w:rFonts w:hint="default" w:ascii="Times New Roman" w:hAnsi="Times New Roman" w:eastAsia="宋体" w:cs="Times New Roman"/>
                      <w:position w:val="2"/>
                      <w:sz w:val="21"/>
                      <w:szCs w:val="21"/>
                    </w:rPr>
                    <w:t>符合环境质量底线的要求</w:t>
                  </w:r>
                </w:p>
              </w:tc>
              <w:tc>
                <w:tcPr>
                  <w:tcW w:w="2420" w:type="pct"/>
                  <w:noWrap w:val="0"/>
                  <w:vAlign w:val="center"/>
                </w:tcPr>
                <w:p w14:paraId="346693F5">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textAlignment w:val="auto"/>
                    <w:rPr>
                      <w:rFonts w:hint="default" w:ascii="Times New Roman" w:hAnsi="Times New Roman" w:eastAsia="宋体" w:cs="Times New Roman"/>
                      <w:position w:val="2"/>
                      <w:sz w:val="21"/>
                      <w:szCs w:val="21"/>
                    </w:rPr>
                  </w:pPr>
                  <w:r>
                    <w:rPr>
                      <w:rFonts w:hint="default" w:ascii="Times New Roman" w:hAnsi="Times New Roman" w:eastAsia="宋体" w:cs="Times New Roman"/>
                      <w:position w:val="2"/>
                      <w:sz w:val="21"/>
                      <w:szCs w:val="21"/>
                    </w:rPr>
                    <w:t>入区项目均应实施主要污染物</w:t>
                  </w:r>
                  <w:r>
                    <w:rPr>
                      <w:rFonts w:hint="eastAsia" w:ascii="Times New Roman" w:hAnsi="Times New Roman" w:eastAsia="宋体" w:cs="Times New Roman"/>
                      <w:position w:val="2"/>
                      <w:sz w:val="21"/>
                      <w:szCs w:val="21"/>
                      <w:lang w:eastAsia="zh-CN"/>
                    </w:rPr>
                    <w:t>“</w:t>
                  </w:r>
                  <w:r>
                    <w:rPr>
                      <w:rFonts w:hint="default" w:ascii="Times New Roman" w:hAnsi="Times New Roman" w:eastAsia="宋体" w:cs="Times New Roman"/>
                      <w:position w:val="2"/>
                      <w:sz w:val="21"/>
                      <w:szCs w:val="21"/>
                    </w:rPr>
                    <w:t>倍量替代</w:t>
                  </w:r>
                  <w:r>
                    <w:rPr>
                      <w:rFonts w:hint="eastAsia" w:ascii="Times New Roman" w:hAnsi="Times New Roman" w:eastAsia="宋体" w:cs="Times New Roman"/>
                      <w:position w:val="2"/>
                      <w:sz w:val="21"/>
                      <w:szCs w:val="21"/>
                      <w:lang w:eastAsia="zh-CN"/>
                    </w:rPr>
                    <w:t>”</w:t>
                  </w:r>
                  <w:r>
                    <w:rPr>
                      <w:rFonts w:hint="default" w:ascii="Times New Roman" w:hAnsi="Times New Roman" w:eastAsia="宋体" w:cs="Times New Roman"/>
                      <w:position w:val="2"/>
                      <w:sz w:val="21"/>
                      <w:szCs w:val="21"/>
                    </w:rPr>
                    <w:t>要求，规划实施应确保区域环境质量改善</w:t>
                  </w:r>
                  <w:r>
                    <w:rPr>
                      <w:rFonts w:hint="eastAsia" w:ascii="Times New Roman" w:hAnsi="Times New Roman" w:eastAsia="宋体" w:cs="Times New Roman"/>
                      <w:position w:val="2"/>
                      <w:sz w:val="21"/>
                      <w:szCs w:val="21"/>
                    </w:rPr>
                    <w:t>。</w:t>
                  </w:r>
                </w:p>
              </w:tc>
              <w:tc>
                <w:tcPr>
                  <w:tcW w:w="1344" w:type="pct"/>
                  <w:noWrap w:val="0"/>
                  <w:vAlign w:val="center"/>
                </w:tcPr>
                <w:p w14:paraId="69E30175">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textAlignment w:val="auto"/>
                    <w:rPr>
                      <w:rFonts w:hint="default" w:ascii="Times New Roman" w:hAnsi="Times New Roman" w:eastAsia="宋体" w:cs="Times New Roman"/>
                      <w:position w:val="2"/>
                      <w:sz w:val="21"/>
                      <w:szCs w:val="21"/>
                    </w:rPr>
                  </w:pPr>
                  <w:r>
                    <w:rPr>
                      <w:rFonts w:hint="eastAsia" w:ascii="Times New Roman" w:hAnsi="Times New Roman" w:eastAsia="宋体" w:cs="Times New Roman"/>
                      <w:position w:val="2"/>
                      <w:sz w:val="21"/>
                      <w:szCs w:val="21"/>
                    </w:rPr>
                    <w:t>本项目不涉及COD、氨氮、</w:t>
                  </w:r>
                  <w:r>
                    <w:rPr>
                      <w:rFonts w:hint="default" w:ascii="Times New Roman" w:hAnsi="Times New Roman" w:eastAsia="宋体" w:cs="Times New Roman"/>
                      <w:position w:val="2"/>
                      <w:sz w:val="21"/>
                      <w:szCs w:val="21"/>
                    </w:rPr>
                    <w:t>二氧化硫、氮氧化物排放</w:t>
                  </w:r>
                  <w:r>
                    <w:rPr>
                      <w:rFonts w:hint="eastAsia" w:ascii="Times New Roman" w:hAnsi="Times New Roman" w:eastAsia="宋体" w:cs="Times New Roman"/>
                      <w:position w:val="2"/>
                      <w:sz w:val="21"/>
                      <w:szCs w:val="21"/>
                    </w:rPr>
                    <w:t>。</w:t>
                  </w:r>
                </w:p>
              </w:tc>
              <w:tc>
                <w:tcPr>
                  <w:tcW w:w="267" w:type="pct"/>
                  <w:noWrap w:val="0"/>
                  <w:vAlign w:val="center"/>
                </w:tcPr>
                <w:p w14:paraId="4D7BD469">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position w:val="2"/>
                      <w:sz w:val="21"/>
                      <w:szCs w:val="21"/>
                    </w:rPr>
                  </w:pPr>
                  <w:r>
                    <w:rPr>
                      <w:rFonts w:hint="default" w:ascii="Times New Roman" w:hAnsi="Times New Roman" w:eastAsia="宋体" w:cs="Times New Roman"/>
                      <w:position w:val="2"/>
                      <w:sz w:val="21"/>
                      <w:szCs w:val="21"/>
                    </w:rPr>
                    <w:t>符合</w:t>
                  </w:r>
                </w:p>
              </w:tc>
            </w:tr>
            <w:tr w14:paraId="73E68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236" w:type="pct"/>
                  <w:noWrap w:val="0"/>
                  <w:vAlign w:val="center"/>
                </w:tcPr>
                <w:p w14:paraId="7370C7C2">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position w:val="2"/>
                      <w:sz w:val="21"/>
                      <w:szCs w:val="21"/>
                    </w:rPr>
                  </w:pPr>
                  <w:r>
                    <w:rPr>
                      <w:rFonts w:hint="default" w:ascii="Times New Roman" w:hAnsi="Times New Roman" w:eastAsia="宋体" w:cs="Times New Roman"/>
                      <w:position w:val="2"/>
                      <w:sz w:val="21"/>
                      <w:szCs w:val="21"/>
                    </w:rPr>
                    <w:t>6</w:t>
                  </w:r>
                </w:p>
              </w:tc>
              <w:tc>
                <w:tcPr>
                  <w:tcW w:w="730" w:type="pct"/>
                  <w:noWrap w:val="0"/>
                  <w:vAlign w:val="center"/>
                </w:tcPr>
                <w:p w14:paraId="4A5329B1">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position w:val="2"/>
                      <w:sz w:val="21"/>
                      <w:szCs w:val="21"/>
                    </w:rPr>
                  </w:pPr>
                  <w:r>
                    <w:rPr>
                      <w:rFonts w:hint="default" w:ascii="Times New Roman" w:hAnsi="Times New Roman" w:eastAsia="宋体" w:cs="Times New Roman"/>
                      <w:position w:val="2"/>
                      <w:sz w:val="21"/>
                      <w:szCs w:val="21"/>
                    </w:rPr>
                    <w:t>符合资源利用上线的要求</w:t>
                  </w:r>
                </w:p>
              </w:tc>
              <w:tc>
                <w:tcPr>
                  <w:tcW w:w="2420" w:type="pct"/>
                  <w:noWrap w:val="0"/>
                  <w:vAlign w:val="center"/>
                </w:tcPr>
                <w:p w14:paraId="6D91C497">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textAlignment w:val="auto"/>
                    <w:rPr>
                      <w:rFonts w:hint="default" w:ascii="Times New Roman" w:hAnsi="Times New Roman" w:eastAsia="宋体" w:cs="Times New Roman"/>
                      <w:position w:val="2"/>
                      <w:sz w:val="21"/>
                      <w:szCs w:val="21"/>
                    </w:rPr>
                  </w:pPr>
                  <w:r>
                    <w:rPr>
                      <w:rFonts w:hint="default" w:ascii="Times New Roman" w:hAnsi="Times New Roman" w:eastAsia="宋体" w:cs="Times New Roman"/>
                      <w:position w:val="2"/>
                      <w:sz w:val="21"/>
                      <w:szCs w:val="21"/>
                    </w:rPr>
                    <w:t>入区企业应当注重资源节约，资源利用应当符合资源利用上限清单要求</w:t>
                  </w:r>
                  <w:r>
                    <w:rPr>
                      <w:rFonts w:hint="eastAsia" w:ascii="Times New Roman" w:hAnsi="Times New Roman" w:eastAsia="宋体" w:cs="Times New Roman"/>
                      <w:position w:val="2"/>
                      <w:sz w:val="21"/>
                      <w:szCs w:val="21"/>
                    </w:rPr>
                    <w:t>。</w:t>
                  </w:r>
                </w:p>
              </w:tc>
              <w:tc>
                <w:tcPr>
                  <w:tcW w:w="1344" w:type="pct"/>
                  <w:noWrap w:val="0"/>
                  <w:vAlign w:val="center"/>
                </w:tcPr>
                <w:p w14:paraId="7E61D6FC">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textAlignment w:val="auto"/>
                    <w:rPr>
                      <w:rFonts w:hint="eastAsia" w:ascii="Times New Roman" w:hAnsi="Times New Roman" w:eastAsia="宋体" w:cs="Times New Roman"/>
                      <w:position w:val="2"/>
                      <w:sz w:val="21"/>
                      <w:szCs w:val="21"/>
                    </w:rPr>
                  </w:pPr>
                  <w:r>
                    <w:rPr>
                      <w:rFonts w:hint="default" w:ascii="Times New Roman" w:hAnsi="Times New Roman" w:eastAsia="宋体" w:cs="Times New Roman"/>
                      <w:position w:val="2"/>
                      <w:sz w:val="21"/>
                      <w:szCs w:val="21"/>
                    </w:rPr>
                    <w:t>项目资源利用符合规划提出的资源利用上限清单要求</w:t>
                  </w:r>
                  <w:r>
                    <w:rPr>
                      <w:rFonts w:hint="eastAsia" w:ascii="Times New Roman" w:hAnsi="Times New Roman" w:eastAsia="宋体" w:cs="Times New Roman"/>
                      <w:position w:val="2"/>
                      <w:sz w:val="21"/>
                      <w:szCs w:val="21"/>
                    </w:rPr>
                    <w:t>。</w:t>
                  </w:r>
                </w:p>
              </w:tc>
              <w:tc>
                <w:tcPr>
                  <w:tcW w:w="267" w:type="pct"/>
                  <w:noWrap w:val="0"/>
                  <w:vAlign w:val="center"/>
                </w:tcPr>
                <w:p w14:paraId="6FB57841">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position w:val="2"/>
                      <w:sz w:val="21"/>
                      <w:szCs w:val="21"/>
                    </w:rPr>
                  </w:pPr>
                  <w:r>
                    <w:rPr>
                      <w:rFonts w:hint="default" w:ascii="Times New Roman" w:hAnsi="Times New Roman" w:eastAsia="宋体" w:cs="Times New Roman"/>
                      <w:position w:val="2"/>
                      <w:sz w:val="21"/>
                      <w:szCs w:val="21"/>
                    </w:rPr>
                    <w:t>符合</w:t>
                  </w:r>
                </w:p>
              </w:tc>
            </w:tr>
            <w:tr w14:paraId="1FD675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236" w:type="pct"/>
                  <w:noWrap w:val="0"/>
                  <w:vAlign w:val="center"/>
                </w:tcPr>
                <w:p w14:paraId="4C16356C">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eastAsia" w:ascii="Times New Roman" w:hAnsi="Times New Roman" w:eastAsia="宋体" w:cs="Times New Roman"/>
                      <w:position w:val="2"/>
                      <w:sz w:val="21"/>
                      <w:szCs w:val="21"/>
                    </w:rPr>
                  </w:pPr>
                  <w:r>
                    <w:rPr>
                      <w:rFonts w:hint="eastAsia" w:ascii="Times New Roman" w:hAnsi="Times New Roman" w:eastAsia="宋体" w:cs="Times New Roman"/>
                      <w:position w:val="2"/>
                      <w:sz w:val="21"/>
                      <w:szCs w:val="21"/>
                    </w:rPr>
                    <w:t>7</w:t>
                  </w:r>
                </w:p>
              </w:tc>
              <w:tc>
                <w:tcPr>
                  <w:tcW w:w="730" w:type="pct"/>
                  <w:noWrap w:val="0"/>
                  <w:vAlign w:val="center"/>
                </w:tcPr>
                <w:p w14:paraId="2212004D">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position w:val="2"/>
                      <w:sz w:val="21"/>
                      <w:szCs w:val="21"/>
                    </w:rPr>
                  </w:pPr>
                  <w:r>
                    <w:rPr>
                      <w:rFonts w:hint="default" w:ascii="Times New Roman" w:hAnsi="Times New Roman" w:eastAsia="宋体" w:cs="Times New Roman"/>
                      <w:position w:val="2"/>
                      <w:sz w:val="21"/>
                      <w:szCs w:val="21"/>
                    </w:rPr>
                    <w:t>符合园区环境管理和风险管控要求</w:t>
                  </w:r>
                </w:p>
              </w:tc>
              <w:tc>
                <w:tcPr>
                  <w:tcW w:w="2420" w:type="pct"/>
                  <w:noWrap w:val="0"/>
                  <w:vAlign w:val="center"/>
                </w:tcPr>
                <w:p w14:paraId="1451F2D1">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textAlignment w:val="auto"/>
                    <w:rPr>
                      <w:rFonts w:hint="eastAsia" w:ascii="Times New Roman" w:hAnsi="Times New Roman" w:eastAsia="宋体" w:cs="Times New Roman"/>
                      <w:position w:val="2"/>
                      <w:sz w:val="21"/>
                      <w:szCs w:val="21"/>
                    </w:rPr>
                  </w:pPr>
                  <w:r>
                    <w:rPr>
                      <w:rFonts w:hint="default" w:ascii="Times New Roman" w:hAnsi="Times New Roman" w:eastAsia="宋体" w:cs="Times New Roman"/>
                      <w:position w:val="2"/>
                      <w:sz w:val="21"/>
                      <w:szCs w:val="21"/>
                    </w:rPr>
                    <w:t>执行环境影响评价、</w:t>
                  </w:r>
                  <w:r>
                    <w:rPr>
                      <w:rFonts w:hint="eastAsia" w:ascii="Times New Roman" w:hAnsi="Times New Roman" w:eastAsia="宋体" w:cs="Times New Roman"/>
                      <w:position w:val="2"/>
                      <w:sz w:val="21"/>
                      <w:szCs w:val="21"/>
                      <w:lang w:eastAsia="zh-CN"/>
                    </w:rPr>
                    <w:t>“</w:t>
                  </w:r>
                  <w:r>
                    <w:rPr>
                      <w:rFonts w:hint="default" w:ascii="Times New Roman" w:hAnsi="Times New Roman" w:eastAsia="宋体" w:cs="Times New Roman"/>
                      <w:position w:val="2"/>
                      <w:sz w:val="21"/>
                      <w:szCs w:val="21"/>
                    </w:rPr>
                    <w:t>三同时</w:t>
                  </w:r>
                  <w:r>
                    <w:rPr>
                      <w:rFonts w:hint="eastAsia" w:ascii="Times New Roman" w:hAnsi="Times New Roman" w:eastAsia="宋体" w:cs="Times New Roman"/>
                      <w:position w:val="2"/>
                      <w:sz w:val="21"/>
                      <w:szCs w:val="21"/>
                      <w:lang w:eastAsia="zh-CN"/>
                    </w:rPr>
                    <w:t>”</w:t>
                  </w:r>
                  <w:r>
                    <w:rPr>
                      <w:rFonts w:hint="default" w:ascii="Times New Roman" w:hAnsi="Times New Roman" w:eastAsia="宋体" w:cs="Times New Roman"/>
                      <w:position w:val="2"/>
                      <w:sz w:val="21"/>
                      <w:szCs w:val="21"/>
                    </w:rPr>
                    <w:t>制度、总量控制制度、排污权交易制度、危险废物转移联单管理制度等。入区企业应当严格按照临港开发区环境管理和风险防控要求进行环境管理和风险防控，满足环境风险管控区要求</w:t>
                  </w:r>
                  <w:r>
                    <w:rPr>
                      <w:rFonts w:hint="eastAsia" w:ascii="Times New Roman" w:hAnsi="Times New Roman" w:eastAsia="宋体" w:cs="Times New Roman"/>
                      <w:position w:val="2"/>
                      <w:sz w:val="21"/>
                      <w:szCs w:val="21"/>
                    </w:rPr>
                    <w:t>。</w:t>
                  </w:r>
                </w:p>
              </w:tc>
              <w:tc>
                <w:tcPr>
                  <w:tcW w:w="1344" w:type="pct"/>
                  <w:noWrap w:val="0"/>
                  <w:vAlign w:val="center"/>
                </w:tcPr>
                <w:p w14:paraId="46DA8ED4">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textAlignment w:val="auto"/>
                    <w:rPr>
                      <w:rFonts w:hint="eastAsia" w:ascii="Times New Roman" w:hAnsi="Times New Roman" w:eastAsia="宋体" w:cs="Times New Roman"/>
                      <w:position w:val="2"/>
                      <w:sz w:val="21"/>
                      <w:szCs w:val="21"/>
                    </w:rPr>
                  </w:pPr>
                  <w:r>
                    <w:rPr>
                      <w:rFonts w:hint="default" w:ascii="Times New Roman" w:hAnsi="Times New Roman" w:eastAsia="宋体" w:cs="Times New Roman"/>
                      <w:position w:val="2"/>
                      <w:sz w:val="21"/>
                      <w:szCs w:val="21"/>
                    </w:rPr>
                    <w:t>项目执行了环境影响评价制度</w:t>
                  </w:r>
                  <w:r>
                    <w:rPr>
                      <w:rFonts w:hint="eastAsia" w:ascii="Times New Roman" w:hAnsi="Times New Roman" w:eastAsia="宋体" w:cs="Times New Roman"/>
                      <w:position w:val="2"/>
                      <w:sz w:val="21"/>
                      <w:szCs w:val="21"/>
                    </w:rPr>
                    <w:t>；</w:t>
                  </w:r>
                  <w:r>
                    <w:rPr>
                      <w:rFonts w:hint="default" w:ascii="Times New Roman" w:hAnsi="Times New Roman" w:eastAsia="宋体" w:cs="Times New Roman"/>
                      <w:sz w:val="21"/>
                      <w:szCs w:val="21"/>
                    </w:rPr>
                    <w:t>本项目建成后应根据项目建设情况</w:t>
                  </w:r>
                  <w:r>
                    <w:rPr>
                      <w:rFonts w:hint="eastAsia" w:ascii="Times New Roman" w:hAnsi="Times New Roman" w:eastAsia="宋体" w:cs="Times New Roman"/>
                      <w:sz w:val="21"/>
                      <w:szCs w:val="21"/>
                    </w:rPr>
                    <w:t>对企业</w:t>
                  </w:r>
                  <w:r>
                    <w:rPr>
                      <w:rFonts w:hint="default" w:ascii="Times New Roman" w:hAnsi="Times New Roman" w:eastAsia="宋体" w:cs="Times New Roman"/>
                      <w:sz w:val="21"/>
                      <w:szCs w:val="21"/>
                    </w:rPr>
                    <w:t>《突发环境事件应急预案》</w:t>
                  </w:r>
                  <w:r>
                    <w:rPr>
                      <w:rFonts w:hint="eastAsia" w:ascii="Times New Roman" w:hAnsi="Times New Roman" w:eastAsia="宋体" w:cs="Times New Roman"/>
                      <w:sz w:val="21"/>
                      <w:szCs w:val="21"/>
                    </w:rPr>
                    <w:t>修订</w:t>
                  </w:r>
                  <w:r>
                    <w:rPr>
                      <w:rFonts w:hint="default" w:ascii="Times New Roman" w:hAnsi="Times New Roman" w:eastAsia="宋体" w:cs="Times New Roman"/>
                      <w:sz w:val="21"/>
                      <w:szCs w:val="21"/>
                    </w:rPr>
                    <w:t>并备案，严格执行</w:t>
                  </w:r>
                  <w:r>
                    <w:rPr>
                      <w:rFonts w:hint="eastAsia" w:ascii="Times New Roman" w:hAnsi="Times New Roman" w:eastAsia="宋体" w:cs="Times New Roman"/>
                      <w:sz w:val="21"/>
                      <w:szCs w:val="21"/>
                      <w:lang w:eastAsia="zh-CN"/>
                    </w:rPr>
                    <w:t>“</w:t>
                  </w:r>
                  <w:r>
                    <w:rPr>
                      <w:rFonts w:hint="default" w:ascii="Times New Roman" w:hAnsi="Times New Roman" w:eastAsia="宋体" w:cs="Times New Roman"/>
                      <w:sz w:val="21"/>
                      <w:szCs w:val="21"/>
                    </w:rPr>
                    <w:t>三同时</w:t>
                  </w:r>
                  <w:r>
                    <w:rPr>
                      <w:rFonts w:hint="eastAsia" w:ascii="Times New Roman" w:hAnsi="Times New Roman" w:eastAsia="宋体" w:cs="Times New Roman"/>
                      <w:sz w:val="21"/>
                      <w:szCs w:val="21"/>
                      <w:lang w:eastAsia="zh-CN"/>
                    </w:rPr>
                    <w:t>”</w:t>
                  </w:r>
                  <w:r>
                    <w:rPr>
                      <w:rFonts w:hint="default" w:ascii="Times New Roman" w:hAnsi="Times New Roman" w:eastAsia="宋体" w:cs="Times New Roman"/>
                      <w:sz w:val="21"/>
                      <w:szCs w:val="21"/>
                    </w:rPr>
                    <w:t>制度等。本项目满足环境风险管控区要求</w:t>
                  </w:r>
                  <w:r>
                    <w:rPr>
                      <w:rFonts w:hint="eastAsia" w:ascii="Times New Roman" w:hAnsi="Times New Roman" w:eastAsia="宋体" w:cs="Times New Roman"/>
                      <w:sz w:val="21"/>
                      <w:szCs w:val="21"/>
                    </w:rPr>
                    <w:t>。</w:t>
                  </w:r>
                </w:p>
              </w:tc>
              <w:tc>
                <w:tcPr>
                  <w:tcW w:w="267" w:type="pct"/>
                  <w:noWrap w:val="0"/>
                  <w:vAlign w:val="center"/>
                </w:tcPr>
                <w:p w14:paraId="1B894B73">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position w:val="2"/>
                      <w:sz w:val="21"/>
                      <w:szCs w:val="21"/>
                    </w:rPr>
                  </w:pPr>
                  <w:r>
                    <w:rPr>
                      <w:rFonts w:hint="default" w:ascii="Times New Roman" w:hAnsi="Times New Roman" w:eastAsia="宋体" w:cs="Times New Roman"/>
                      <w:position w:val="2"/>
                      <w:sz w:val="21"/>
                      <w:szCs w:val="21"/>
                    </w:rPr>
                    <w:t>符合</w:t>
                  </w:r>
                </w:p>
              </w:tc>
            </w:tr>
          </w:tbl>
          <w:p w14:paraId="54D66EF7">
            <w:pPr>
              <w:keepNext w:val="0"/>
              <w:keepLines w:val="0"/>
              <w:pageBreakBefore w:val="0"/>
              <w:widowControl w:val="0"/>
              <w:suppressLineNumbers w:val="0"/>
              <w:suppressAutoHyphens/>
              <w:kinsoku/>
              <w:wordWrap/>
              <w:overflowPunct/>
              <w:topLinePunct w:val="0"/>
              <w:autoSpaceDE/>
              <w:autoSpaceDN/>
              <w:bidi w:val="0"/>
              <w:adjustRightInd/>
              <w:snapToGrid/>
              <w:spacing w:before="0" w:beforeAutospacing="0" w:after="0" w:afterAutospacing="0" w:line="480" w:lineRule="atLeast"/>
              <w:ind w:left="0" w:right="0" w:firstLine="480" w:firstLineChars="200"/>
              <w:jc w:val="both"/>
              <w:textAlignment w:val="auto"/>
              <w:rPr>
                <w:rFonts w:hint="eastAsia" w:ascii="Times New Roman" w:hAnsi="Times New Roman" w:eastAsia="宋体" w:cs="Times New Roman"/>
                <w:color w:val="auto"/>
                <w:sz w:val="24"/>
                <w:highlight w:val="none"/>
                <w:lang w:val="en-US" w:eastAsia="zh-CN"/>
              </w:rPr>
            </w:pPr>
            <w:r>
              <w:rPr>
                <w:rFonts w:hint="eastAsia" w:cs="Times New Roman"/>
                <w:color w:val="auto"/>
                <w:sz w:val="24"/>
                <w:highlight w:val="none"/>
                <w:lang w:val="en-US" w:eastAsia="zh-CN"/>
              </w:rPr>
              <w:t>根据上表，本项目符合规划环评中入区项目准入条件的相关要求。</w:t>
            </w:r>
          </w:p>
          <w:p w14:paraId="32D08BDC">
            <w:pPr>
              <w:keepNext w:val="0"/>
              <w:keepLines w:val="0"/>
              <w:pageBreakBefore w:val="0"/>
              <w:widowControl w:val="0"/>
              <w:suppressLineNumbers w:val="0"/>
              <w:suppressAutoHyphens/>
              <w:kinsoku/>
              <w:wordWrap/>
              <w:overflowPunct/>
              <w:topLinePunct w:val="0"/>
              <w:autoSpaceDE/>
              <w:autoSpaceDN/>
              <w:bidi w:val="0"/>
              <w:adjustRightInd/>
              <w:snapToGrid/>
              <w:spacing w:before="0" w:beforeAutospacing="0" w:after="0" w:afterAutospacing="0" w:line="480" w:lineRule="atLeast"/>
              <w:ind w:left="0" w:right="0" w:firstLine="480" w:firstLineChars="200"/>
              <w:jc w:val="both"/>
              <w:textAlignment w:val="auto"/>
              <w:rPr>
                <w:rFonts w:hint="eastAsia" w:ascii="Times New Roman" w:hAnsi="Times New Roman" w:eastAsia="宋体" w:cs="Times New Roman"/>
                <w:color w:val="auto"/>
                <w:sz w:val="24"/>
                <w:highlight w:val="none"/>
                <w:lang w:val="en-US" w:eastAsia="zh-CN"/>
              </w:rPr>
            </w:pPr>
            <w:r>
              <w:rPr>
                <w:rFonts w:hint="default" w:ascii="Times New Roman" w:hAnsi="Times New Roman" w:eastAsia="微软雅黑" w:cs="Times New Roman"/>
                <w:color w:val="auto"/>
                <w:sz w:val="24"/>
                <w:highlight w:val="none"/>
                <w:lang w:val="en-US" w:eastAsia="zh-CN"/>
              </w:rPr>
              <w:t>③</w:t>
            </w:r>
            <w:r>
              <w:rPr>
                <w:rFonts w:hint="eastAsia" w:ascii="Times New Roman" w:hAnsi="Times New Roman" w:eastAsia="宋体" w:cs="Times New Roman"/>
                <w:color w:val="auto"/>
                <w:sz w:val="24"/>
                <w:highlight w:val="none"/>
                <w:lang w:val="en-US" w:eastAsia="zh-CN"/>
              </w:rPr>
              <w:t>本项目与《沧州渤海新区临港经济技术开发区片区总体规划（2019-2030）环境影响报告书》提出的“生态环境准入清单”的符合性分析见下表。</w:t>
            </w:r>
          </w:p>
          <w:p w14:paraId="5B933792">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240" w:lineRule="auto"/>
              <w:ind w:left="0" w:right="0" w:firstLine="422" w:firstLineChars="200"/>
              <w:jc w:val="center"/>
              <w:textAlignment w:val="auto"/>
              <w:rPr>
                <w:rFonts w:hint="eastAsia" w:ascii="Times New Roman" w:hAnsi="Times New Roman" w:eastAsia="宋体" w:cs="Times New Roman"/>
                <w:b/>
                <w:bCs/>
                <w:color w:val="000000"/>
                <w:kern w:val="0"/>
                <w:sz w:val="21"/>
                <w:szCs w:val="21"/>
                <w:lang w:val="en-US" w:eastAsia="zh-CN" w:bidi="ar-SA"/>
              </w:rPr>
            </w:pPr>
          </w:p>
          <w:p w14:paraId="2515F018">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240" w:lineRule="auto"/>
              <w:ind w:left="0" w:right="0" w:firstLine="422" w:firstLineChars="200"/>
              <w:jc w:val="center"/>
              <w:textAlignment w:val="auto"/>
              <w:rPr>
                <w:rFonts w:hint="eastAsia" w:ascii="Times New Roman" w:hAnsi="Times New Roman" w:eastAsia="宋体" w:cs="Times New Roman"/>
                <w:b/>
                <w:bCs/>
                <w:color w:val="000000"/>
                <w:kern w:val="0"/>
                <w:sz w:val="21"/>
                <w:szCs w:val="21"/>
                <w:lang w:val="en-US" w:eastAsia="zh-CN" w:bidi="ar-SA"/>
              </w:rPr>
            </w:pPr>
          </w:p>
          <w:p w14:paraId="310271D7">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240" w:lineRule="auto"/>
              <w:ind w:left="0" w:right="0" w:firstLine="422" w:firstLineChars="200"/>
              <w:jc w:val="center"/>
              <w:textAlignment w:val="auto"/>
              <w:rPr>
                <w:rFonts w:hint="eastAsia" w:ascii="Times New Roman" w:hAnsi="Times New Roman" w:eastAsia="宋体" w:cs="Times New Roman"/>
                <w:b/>
                <w:bCs/>
                <w:color w:val="000000"/>
                <w:kern w:val="0"/>
                <w:sz w:val="21"/>
                <w:szCs w:val="21"/>
                <w:lang w:val="en-US" w:eastAsia="zh-CN" w:bidi="ar-SA"/>
              </w:rPr>
            </w:pPr>
            <w:r>
              <w:rPr>
                <w:rFonts w:hint="eastAsia" w:ascii="Times New Roman" w:hAnsi="Times New Roman" w:eastAsia="宋体" w:cs="Times New Roman"/>
                <w:b/>
                <w:bCs/>
                <w:color w:val="000000"/>
                <w:kern w:val="0"/>
                <w:sz w:val="21"/>
                <w:szCs w:val="21"/>
                <w:lang w:val="en-US" w:eastAsia="zh-CN" w:bidi="ar-SA"/>
              </w:rPr>
              <w:t>沧州渤海新区临港经济技术开发区片区生态环境准入清单一览表</w:t>
            </w:r>
          </w:p>
          <w:tbl>
            <w:tblPr>
              <w:tblStyle w:val="38"/>
              <w:tblW w:w="76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19"/>
              <w:gridCol w:w="4035"/>
              <w:gridCol w:w="2065"/>
              <w:gridCol w:w="741"/>
            </w:tblGrid>
            <w:tr w14:paraId="19545B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19" w:type="dxa"/>
                  <w:noWrap w:val="0"/>
                  <w:vAlign w:val="center"/>
                </w:tcPr>
                <w:p w14:paraId="40BB8541">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eastAsia" w:ascii="Times New Roman" w:hAnsi="Times New Roman" w:eastAsia="宋体" w:cs="Times New Roman"/>
                      <w:kern w:val="0"/>
                      <w:szCs w:val="21"/>
                      <w:lang w:bidi="en-US"/>
                    </w:rPr>
                  </w:pPr>
                  <w:r>
                    <w:rPr>
                      <w:rFonts w:hint="eastAsia" w:ascii="Times New Roman" w:hAnsi="Times New Roman" w:eastAsia="宋体" w:cs="Times New Roman"/>
                      <w:kern w:val="0"/>
                      <w:szCs w:val="21"/>
                      <w:lang w:bidi="en-US"/>
                    </w:rPr>
                    <w:t>类别</w:t>
                  </w:r>
                </w:p>
              </w:tc>
              <w:tc>
                <w:tcPr>
                  <w:tcW w:w="4035" w:type="dxa"/>
                  <w:noWrap w:val="0"/>
                  <w:vAlign w:val="center"/>
                </w:tcPr>
                <w:p w14:paraId="07063ACB">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eastAsia" w:ascii="Times New Roman" w:hAnsi="Times New Roman" w:eastAsia="宋体" w:cs="Times New Roman"/>
                      <w:kern w:val="0"/>
                      <w:szCs w:val="21"/>
                      <w:lang w:bidi="en-US"/>
                    </w:rPr>
                  </w:pPr>
                  <w:r>
                    <w:rPr>
                      <w:rFonts w:hint="eastAsia" w:ascii="Times New Roman" w:hAnsi="Times New Roman" w:eastAsia="宋体" w:cs="Times New Roman"/>
                      <w:kern w:val="0"/>
                      <w:szCs w:val="21"/>
                      <w:lang w:bidi="en-US"/>
                    </w:rPr>
                    <w:t>生态环境准入清单</w:t>
                  </w:r>
                </w:p>
              </w:tc>
              <w:tc>
                <w:tcPr>
                  <w:tcW w:w="2065" w:type="dxa"/>
                  <w:noWrap w:val="0"/>
                  <w:vAlign w:val="center"/>
                </w:tcPr>
                <w:p w14:paraId="0BDC23B4">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eastAsia" w:ascii="Times New Roman" w:hAnsi="Times New Roman" w:eastAsia="宋体" w:cs="Times New Roman"/>
                      <w:kern w:val="0"/>
                      <w:szCs w:val="21"/>
                      <w:lang w:bidi="en-US"/>
                    </w:rPr>
                  </w:pPr>
                  <w:r>
                    <w:rPr>
                      <w:rFonts w:hint="eastAsia" w:ascii="Times New Roman" w:hAnsi="Times New Roman" w:eastAsia="宋体" w:cs="Times New Roman"/>
                      <w:kern w:val="0"/>
                      <w:szCs w:val="21"/>
                      <w:lang w:bidi="en-US"/>
                    </w:rPr>
                    <w:t>本项目内容</w:t>
                  </w:r>
                </w:p>
              </w:tc>
              <w:tc>
                <w:tcPr>
                  <w:tcW w:w="741" w:type="dxa"/>
                  <w:noWrap w:val="0"/>
                  <w:vAlign w:val="center"/>
                </w:tcPr>
                <w:p w14:paraId="3EE5B08D">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eastAsia" w:ascii="Times New Roman" w:hAnsi="Times New Roman" w:eastAsia="宋体" w:cs="Times New Roman"/>
                      <w:kern w:val="0"/>
                      <w:szCs w:val="21"/>
                      <w:lang w:bidi="en-US"/>
                    </w:rPr>
                  </w:pPr>
                  <w:r>
                    <w:rPr>
                      <w:rFonts w:hint="eastAsia" w:ascii="Times New Roman" w:hAnsi="Times New Roman" w:eastAsia="宋体" w:cs="Times New Roman"/>
                      <w:kern w:val="0"/>
                      <w:szCs w:val="21"/>
                      <w:lang w:bidi="en-US"/>
                    </w:rPr>
                    <w:t>是否负面清单</w:t>
                  </w:r>
                </w:p>
              </w:tc>
            </w:tr>
            <w:tr w14:paraId="16D10B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19" w:type="dxa"/>
                  <w:vMerge w:val="restart"/>
                  <w:noWrap w:val="0"/>
                  <w:vAlign w:val="center"/>
                </w:tcPr>
                <w:p w14:paraId="47041171">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禁止类</w:t>
                  </w:r>
                </w:p>
              </w:tc>
              <w:tc>
                <w:tcPr>
                  <w:tcW w:w="4035" w:type="dxa"/>
                  <w:noWrap w:val="0"/>
                  <w:vAlign w:val="center"/>
                </w:tcPr>
                <w:p w14:paraId="2D446CB5">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1、满足河北省</w:t>
                  </w:r>
                  <w:r>
                    <w:rPr>
                      <w:rFonts w:hint="eastAsia" w:ascii="Times New Roman" w:hAnsi="Times New Roman" w:eastAsia="宋体" w:cs="Times New Roman"/>
                      <w:kern w:val="0"/>
                      <w:szCs w:val="21"/>
                      <w:lang w:eastAsia="zh-CN" w:bidi="en-US"/>
                    </w:rPr>
                    <w:t>“</w:t>
                  </w:r>
                  <w:r>
                    <w:rPr>
                      <w:rFonts w:hint="default" w:ascii="Times New Roman" w:hAnsi="Times New Roman" w:eastAsia="宋体" w:cs="Times New Roman"/>
                      <w:kern w:val="0"/>
                      <w:szCs w:val="21"/>
                      <w:lang w:bidi="en-US"/>
                    </w:rPr>
                    <w:t>三线一单</w:t>
                  </w:r>
                  <w:r>
                    <w:rPr>
                      <w:rFonts w:hint="eastAsia" w:ascii="Times New Roman" w:hAnsi="Times New Roman" w:eastAsia="宋体" w:cs="Times New Roman"/>
                      <w:kern w:val="0"/>
                      <w:szCs w:val="21"/>
                      <w:lang w:eastAsia="zh-CN" w:bidi="en-US"/>
                    </w:rPr>
                    <w:t>”</w:t>
                  </w:r>
                  <w:r>
                    <w:rPr>
                      <w:rFonts w:hint="default" w:ascii="Times New Roman" w:hAnsi="Times New Roman" w:eastAsia="宋体" w:cs="Times New Roman"/>
                      <w:kern w:val="0"/>
                      <w:szCs w:val="21"/>
                      <w:lang w:bidi="en-US"/>
                    </w:rPr>
                    <w:t>有关生态环境准入清单的管控要求。满足本次评价提出</w:t>
                  </w:r>
                  <w:r>
                    <w:rPr>
                      <w:rFonts w:hint="default" w:ascii="Times New Roman" w:hAnsi="Times New Roman" w:eastAsia="宋体" w:cs="Times New Roman"/>
                      <w:kern w:val="0"/>
                      <w:szCs w:val="21"/>
                      <w:lang w:bidi="en-US"/>
                    </w:rPr>
                    <w:cr/>
                  </w:r>
                  <w:r>
                    <w:rPr>
                      <w:rFonts w:hint="default" w:ascii="Times New Roman" w:hAnsi="Times New Roman" w:eastAsia="宋体" w:cs="Times New Roman"/>
                      <w:kern w:val="0"/>
                      <w:szCs w:val="21"/>
                      <w:lang w:bidi="en-US"/>
                    </w:rPr>
                    <w:t>清单式管控要求。</w:t>
                  </w:r>
                </w:p>
              </w:tc>
              <w:tc>
                <w:tcPr>
                  <w:tcW w:w="2065" w:type="dxa"/>
                  <w:noWrap w:val="0"/>
                  <w:vAlign w:val="center"/>
                </w:tcPr>
                <w:p w14:paraId="251CC539">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color w:val="auto"/>
                      <w:szCs w:val="21"/>
                      <w:lang w:val="en-US" w:eastAsia="zh-CN"/>
                    </w:rPr>
                    <w:t>项目符合《关于实施2023年沧州市生态环境分区管控动态更新</w:t>
                  </w:r>
                  <w:r>
                    <w:rPr>
                      <w:rFonts w:hint="eastAsia" w:cs="Times New Roman"/>
                      <w:color w:val="auto"/>
                      <w:szCs w:val="21"/>
                      <w:lang w:val="en-US" w:eastAsia="zh-CN"/>
                    </w:rPr>
                    <w:t>成果</w:t>
                  </w:r>
                  <w:r>
                    <w:rPr>
                      <w:rFonts w:hint="default" w:ascii="Times New Roman" w:hAnsi="Times New Roman" w:eastAsia="宋体" w:cs="Times New Roman"/>
                      <w:color w:val="auto"/>
                      <w:szCs w:val="21"/>
                      <w:lang w:val="en-US" w:eastAsia="zh-CN"/>
                    </w:rPr>
                    <w:t>的通知》（沧生态环保办[2024]89号）</w:t>
                  </w:r>
                  <w:r>
                    <w:rPr>
                      <w:rFonts w:hint="eastAsia" w:ascii="Times New Roman" w:hAnsi="Times New Roman" w:eastAsia="宋体" w:cs="Times New Roman"/>
                      <w:color w:val="auto"/>
                      <w:szCs w:val="21"/>
                      <w:lang w:val="en-US" w:eastAsia="zh-CN"/>
                    </w:rPr>
                    <w:t>等</w:t>
                  </w:r>
                  <w:r>
                    <w:rPr>
                      <w:rFonts w:hint="default" w:ascii="Times New Roman" w:hAnsi="Times New Roman" w:eastAsia="宋体" w:cs="Times New Roman"/>
                      <w:color w:val="auto"/>
                      <w:szCs w:val="21"/>
                      <w:lang w:val="en-US" w:eastAsia="zh-CN"/>
                    </w:rPr>
                    <w:t>相关</w:t>
                  </w:r>
                  <w:r>
                    <w:rPr>
                      <w:rFonts w:hint="eastAsia" w:ascii="Times New Roman" w:hAnsi="Times New Roman" w:eastAsia="宋体" w:cs="Times New Roman"/>
                      <w:color w:val="auto"/>
                      <w:szCs w:val="21"/>
                      <w:lang w:val="en-US" w:eastAsia="zh-CN"/>
                    </w:rPr>
                    <w:t>文件</w:t>
                  </w:r>
                  <w:r>
                    <w:rPr>
                      <w:rFonts w:hint="default" w:ascii="Times New Roman" w:hAnsi="Times New Roman" w:eastAsia="宋体" w:cs="Times New Roman"/>
                      <w:color w:val="auto"/>
                      <w:szCs w:val="21"/>
                      <w:lang w:val="en-US" w:eastAsia="zh-CN"/>
                    </w:rPr>
                    <w:t>要求</w:t>
                  </w:r>
                  <w:r>
                    <w:rPr>
                      <w:rFonts w:hint="eastAsia" w:cs="Times New Roman"/>
                      <w:color w:val="auto"/>
                      <w:szCs w:val="21"/>
                      <w:lang w:val="en-US" w:eastAsia="zh-CN"/>
                    </w:rPr>
                    <w:t>。</w:t>
                  </w:r>
                </w:p>
              </w:tc>
              <w:tc>
                <w:tcPr>
                  <w:tcW w:w="741" w:type="dxa"/>
                  <w:noWrap w:val="0"/>
                  <w:vAlign w:val="center"/>
                </w:tcPr>
                <w:p w14:paraId="4862735E">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否</w:t>
                  </w:r>
                </w:p>
              </w:tc>
            </w:tr>
            <w:tr w14:paraId="1D20A1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19" w:type="dxa"/>
                  <w:vMerge w:val="continue"/>
                  <w:noWrap w:val="0"/>
                  <w:vAlign w:val="center"/>
                </w:tcPr>
                <w:p w14:paraId="31F8E488">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kern w:val="0"/>
                      <w:szCs w:val="21"/>
                      <w:lang w:bidi="en-US"/>
                    </w:rPr>
                  </w:pPr>
                </w:p>
              </w:tc>
              <w:tc>
                <w:tcPr>
                  <w:tcW w:w="4035" w:type="dxa"/>
                  <w:noWrap w:val="0"/>
                  <w:vAlign w:val="center"/>
                </w:tcPr>
                <w:p w14:paraId="22D3DF2A">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2、《产业结构调整指导目录》中的淘汰类，全部列入本类，涉及的产业项目禁止新建和投资。</w:t>
                  </w:r>
                </w:p>
              </w:tc>
              <w:tc>
                <w:tcPr>
                  <w:tcW w:w="2065" w:type="dxa"/>
                  <w:noWrap w:val="0"/>
                  <w:vAlign w:val="center"/>
                </w:tcPr>
                <w:p w14:paraId="720516A1">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default" w:ascii="Times New Roman" w:hAnsi="Times New Roman" w:eastAsia="宋体" w:cs="Times New Roman"/>
                      <w:kern w:val="0"/>
                      <w:szCs w:val="21"/>
                      <w:lang w:bidi="en-US"/>
                    </w:rPr>
                  </w:pPr>
                  <w:r>
                    <w:rPr>
                      <w:rFonts w:hint="eastAsia" w:ascii="Times New Roman" w:hAnsi="Times New Roman" w:eastAsia="宋体" w:cs="Times New Roman"/>
                      <w:kern w:val="0"/>
                      <w:szCs w:val="21"/>
                      <w:lang w:eastAsia="zh-CN" w:bidi="en-US"/>
                    </w:rPr>
                    <w:t>对照</w:t>
                  </w:r>
                  <w:r>
                    <w:rPr>
                      <w:rFonts w:hint="default" w:ascii="Times New Roman" w:hAnsi="Times New Roman" w:eastAsia="宋体" w:cs="Times New Roman"/>
                      <w:kern w:val="0"/>
                      <w:szCs w:val="21"/>
                      <w:lang w:eastAsia="zh-CN" w:bidi="en-US"/>
                    </w:rPr>
                    <w:t>《产业结构调整指导目录（2024年本）》，本项目不属于鼓励类、限制类和淘汰类，项目属于允许的建设项目</w:t>
                  </w:r>
                  <w:r>
                    <w:rPr>
                      <w:rFonts w:hint="eastAsia" w:cs="Times New Roman"/>
                      <w:kern w:val="0"/>
                      <w:szCs w:val="21"/>
                      <w:lang w:eastAsia="zh-CN" w:bidi="en-US"/>
                    </w:rPr>
                    <w:t>。</w:t>
                  </w:r>
                </w:p>
              </w:tc>
              <w:tc>
                <w:tcPr>
                  <w:tcW w:w="741" w:type="dxa"/>
                  <w:noWrap w:val="0"/>
                  <w:vAlign w:val="center"/>
                </w:tcPr>
                <w:p w14:paraId="7B5E26E3">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否</w:t>
                  </w:r>
                </w:p>
              </w:tc>
            </w:tr>
            <w:tr w14:paraId="7AAB9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19" w:type="dxa"/>
                  <w:vMerge w:val="continue"/>
                  <w:noWrap w:val="0"/>
                  <w:vAlign w:val="center"/>
                </w:tcPr>
                <w:p w14:paraId="570E40D1">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kern w:val="0"/>
                      <w:szCs w:val="21"/>
                      <w:lang w:bidi="en-US"/>
                    </w:rPr>
                  </w:pPr>
                </w:p>
              </w:tc>
              <w:tc>
                <w:tcPr>
                  <w:tcW w:w="4035" w:type="dxa"/>
                  <w:noWrap w:val="0"/>
                  <w:vAlign w:val="center"/>
                </w:tcPr>
                <w:p w14:paraId="0DB4ADC3">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3、列入《产业结构调整指导目录》中的鼓励、限制类的产业，但不符合该片区以发展高新技术高附加值服务业，提升型产业为主的功能定位的全部列入本类。</w:t>
                  </w:r>
                </w:p>
              </w:tc>
              <w:tc>
                <w:tcPr>
                  <w:tcW w:w="2065" w:type="dxa"/>
                  <w:noWrap w:val="0"/>
                  <w:vAlign w:val="center"/>
                </w:tcPr>
                <w:p w14:paraId="23CCC43E">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eastAsia" w:ascii="Times New Roman" w:hAnsi="Times New Roman" w:eastAsia="宋体" w:cs="Times New Roman"/>
                      <w:kern w:val="0"/>
                      <w:szCs w:val="21"/>
                      <w:lang w:val="en-US" w:eastAsia="zh-CN" w:bidi="en-US"/>
                    </w:rPr>
                  </w:pPr>
                  <w:r>
                    <w:rPr>
                      <w:rFonts w:hint="eastAsia" w:ascii="Times New Roman" w:hAnsi="Times New Roman" w:eastAsia="宋体" w:cs="Times New Roman"/>
                      <w:kern w:val="0"/>
                      <w:szCs w:val="21"/>
                      <w:lang w:bidi="en-US"/>
                    </w:rPr>
                    <w:t>本</w:t>
                  </w:r>
                  <w:r>
                    <w:rPr>
                      <w:rFonts w:hint="default" w:ascii="Times New Roman" w:hAnsi="Times New Roman" w:eastAsia="宋体" w:cs="Times New Roman"/>
                      <w:kern w:val="0"/>
                      <w:szCs w:val="21"/>
                      <w:lang w:bidi="en-US"/>
                    </w:rPr>
                    <w:t>项目为</w:t>
                  </w:r>
                  <w:r>
                    <w:rPr>
                      <w:rFonts w:hint="eastAsia" w:ascii="Times New Roman" w:hAnsi="Times New Roman" w:eastAsia="宋体" w:cs="Times New Roman"/>
                      <w:kern w:val="0"/>
                      <w:szCs w:val="21"/>
                      <w:lang w:bidi="en-US"/>
                    </w:rPr>
                    <w:t>允许建设</w:t>
                  </w:r>
                  <w:r>
                    <w:rPr>
                      <w:rFonts w:hint="default" w:ascii="Times New Roman" w:hAnsi="Times New Roman" w:eastAsia="宋体" w:cs="Times New Roman"/>
                      <w:kern w:val="0"/>
                      <w:szCs w:val="21"/>
                      <w:lang w:bidi="en-US"/>
                    </w:rPr>
                    <w:t>项目，符合园区产业定位</w:t>
                  </w:r>
                  <w:r>
                    <w:rPr>
                      <w:rFonts w:hint="eastAsia" w:cs="Times New Roman"/>
                      <w:kern w:val="0"/>
                      <w:szCs w:val="21"/>
                      <w:lang w:eastAsia="zh-CN" w:bidi="en-US"/>
                    </w:rPr>
                    <w:t>。</w:t>
                  </w:r>
                </w:p>
              </w:tc>
              <w:tc>
                <w:tcPr>
                  <w:tcW w:w="741" w:type="dxa"/>
                  <w:noWrap w:val="0"/>
                  <w:vAlign w:val="center"/>
                </w:tcPr>
                <w:p w14:paraId="09900B68">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否</w:t>
                  </w:r>
                </w:p>
              </w:tc>
            </w:tr>
            <w:tr w14:paraId="3A43BF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19" w:type="dxa"/>
                  <w:vMerge w:val="continue"/>
                  <w:noWrap w:val="0"/>
                  <w:vAlign w:val="center"/>
                </w:tcPr>
                <w:p w14:paraId="7E67EAB2">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kern w:val="0"/>
                      <w:szCs w:val="21"/>
                      <w:lang w:bidi="en-US"/>
                    </w:rPr>
                  </w:pPr>
                </w:p>
              </w:tc>
              <w:tc>
                <w:tcPr>
                  <w:tcW w:w="4035" w:type="dxa"/>
                  <w:noWrap w:val="0"/>
                  <w:vAlign w:val="center"/>
                </w:tcPr>
                <w:p w14:paraId="39C3E828">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4、列入《外商投资准入特别管理措施（负面清单）》中禁止外商投资领域。</w:t>
                  </w:r>
                </w:p>
              </w:tc>
              <w:tc>
                <w:tcPr>
                  <w:tcW w:w="2065" w:type="dxa"/>
                  <w:noWrap w:val="0"/>
                  <w:vAlign w:val="center"/>
                </w:tcPr>
                <w:p w14:paraId="57F8EEC7">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不涉及</w:t>
                  </w:r>
                </w:p>
              </w:tc>
              <w:tc>
                <w:tcPr>
                  <w:tcW w:w="741" w:type="dxa"/>
                  <w:noWrap w:val="0"/>
                  <w:vAlign w:val="center"/>
                </w:tcPr>
                <w:p w14:paraId="0693C7E1">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否</w:t>
                  </w:r>
                </w:p>
              </w:tc>
            </w:tr>
            <w:tr w14:paraId="394F32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19" w:type="dxa"/>
                  <w:vMerge w:val="continue"/>
                  <w:noWrap w:val="0"/>
                  <w:vAlign w:val="center"/>
                </w:tcPr>
                <w:p w14:paraId="627FDD04">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kern w:val="0"/>
                      <w:szCs w:val="21"/>
                      <w:lang w:bidi="en-US"/>
                    </w:rPr>
                  </w:pPr>
                </w:p>
              </w:tc>
              <w:tc>
                <w:tcPr>
                  <w:tcW w:w="4035" w:type="dxa"/>
                  <w:noWrap w:val="0"/>
                  <w:vAlign w:val="center"/>
                </w:tcPr>
                <w:p w14:paraId="777ACAD4">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5、新建企业清洁生产水平应达到国内先进水平，现有企业3~5年提升清洁生产水平。</w:t>
                  </w:r>
                </w:p>
              </w:tc>
              <w:tc>
                <w:tcPr>
                  <w:tcW w:w="2065" w:type="dxa"/>
                  <w:noWrap w:val="0"/>
                  <w:vAlign w:val="center"/>
                </w:tcPr>
                <w:p w14:paraId="1B924D50">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eastAsia" w:ascii="Times New Roman" w:hAnsi="Times New Roman" w:eastAsia="宋体" w:cs="Times New Roman"/>
                      <w:kern w:val="0"/>
                      <w:szCs w:val="21"/>
                      <w:lang w:eastAsia="zh-CN" w:bidi="en-US"/>
                    </w:rPr>
                  </w:pPr>
                  <w:r>
                    <w:rPr>
                      <w:rFonts w:hint="eastAsia" w:ascii="Times New Roman" w:hAnsi="Times New Roman" w:eastAsia="宋体" w:cs="Times New Roman"/>
                      <w:kern w:val="0"/>
                      <w:szCs w:val="21"/>
                      <w:lang w:bidi="en-US"/>
                    </w:rPr>
                    <w:t>企业清洁生产水平属于</w:t>
                  </w:r>
                  <w:r>
                    <w:rPr>
                      <w:rFonts w:hint="default" w:ascii="Times New Roman" w:hAnsi="Times New Roman" w:eastAsia="宋体" w:cs="Times New Roman"/>
                      <w:kern w:val="0"/>
                      <w:szCs w:val="21"/>
                      <w:lang w:bidi="en-US"/>
                    </w:rPr>
                    <w:t>先进水平</w:t>
                  </w:r>
                  <w:r>
                    <w:rPr>
                      <w:rFonts w:hint="eastAsia" w:cs="Times New Roman"/>
                      <w:kern w:val="0"/>
                      <w:szCs w:val="21"/>
                      <w:lang w:eastAsia="zh-CN" w:bidi="en-US"/>
                    </w:rPr>
                    <w:t>。</w:t>
                  </w:r>
                </w:p>
              </w:tc>
              <w:tc>
                <w:tcPr>
                  <w:tcW w:w="741" w:type="dxa"/>
                  <w:noWrap w:val="0"/>
                  <w:vAlign w:val="center"/>
                </w:tcPr>
                <w:p w14:paraId="71A1243E">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否</w:t>
                  </w:r>
                </w:p>
              </w:tc>
            </w:tr>
            <w:tr w14:paraId="0FC564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19" w:type="dxa"/>
                  <w:vMerge w:val="continue"/>
                  <w:noWrap w:val="0"/>
                  <w:vAlign w:val="center"/>
                </w:tcPr>
                <w:p w14:paraId="23F4520D">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kern w:val="0"/>
                      <w:szCs w:val="21"/>
                      <w:lang w:bidi="en-US"/>
                    </w:rPr>
                  </w:pPr>
                </w:p>
              </w:tc>
              <w:tc>
                <w:tcPr>
                  <w:tcW w:w="4035" w:type="dxa"/>
                  <w:noWrap w:val="0"/>
                  <w:vAlign w:val="center"/>
                </w:tcPr>
                <w:p w14:paraId="47F0DA65">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6、禁止建设新增铅、汞、铬、砷、镉、镍、铜重金属污染排放总量的项目。</w:t>
                  </w:r>
                </w:p>
              </w:tc>
              <w:tc>
                <w:tcPr>
                  <w:tcW w:w="2065" w:type="dxa"/>
                  <w:noWrap w:val="0"/>
                  <w:vAlign w:val="center"/>
                </w:tcPr>
                <w:p w14:paraId="49E24666">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不涉及</w:t>
                  </w:r>
                </w:p>
              </w:tc>
              <w:tc>
                <w:tcPr>
                  <w:tcW w:w="741" w:type="dxa"/>
                  <w:noWrap w:val="0"/>
                  <w:vAlign w:val="center"/>
                </w:tcPr>
                <w:p w14:paraId="092C7D93">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否</w:t>
                  </w:r>
                </w:p>
              </w:tc>
            </w:tr>
            <w:tr w14:paraId="2DDCC5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19" w:type="dxa"/>
                  <w:vMerge w:val="continue"/>
                  <w:noWrap w:val="0"/>
                  <w:vAlign w:val="center"/>
                </w:tcPr>
                <w:p w14:paraId="38F236E7">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kern w:val="0"/>
                      <w:szCs w:val="21"/>
                      <w:lang w:bidi="en-US"/>
                    </w:rPr>
                  </w:pPr>
                </w:p>
              </w:tc>
              <w:tc>
                <w:tcPr>
                  <w:tcW w:w="4035" w:type="dxa"/>
                  <w:noWrap w:val="0"/>
                  <w:vAlign w:val="center"/>
                </w:tcPr>
                <w:p w14:paraId="51F78851">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7、规划项目禁止配套建设自备燃煤电站（冀政字[2017]10号）。</w:t>
                  </w:r>
                </w:p>
              </w:tc>
              <w:tc>
                <w:tcPr>
                  <w:tcW w:w="2065" w:type="dxa"/>
                  <w:noWrap w:val="0"/>
                  <w:vAlign w:val="center"/>
                </w:tcPr>
                <w:p w14:paraId="6F5393AC">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eastAsia" w:ascii="Times New Roman" w:hAnsi="Times New Roman" w:eastAsia="宋体" w:cs="Times New Roman"/>
                      <w:kern w:val="0"/>
                      <w:szCs w:val="21"/>
                      <w:lang w:eastAsia="zh-CN" w:bidi="en-US"/>
                    </w:rPr>
                  </w:pPr>
                  <w:r>
                    <w:rPr>
                      <w:rFonts w:hint="eastAsia" w:ascii="Times New Roman" w:hAnsi="Times New Roman" w:eastAsia="宋体" w:cs="Times New Roman"/>
                      <w:kern w:val="0"/>
                      <w:szCs w:val="21"/>
                      <w:lang w:bidi="en-US"/>
                    </w:rPr>
                    <w:t>企业</w:t>
                  </w:r>
                  <w:r>
                    <w:rPr>
                      <w:rFonts w:hint="default" w:ascii="Times New Roman" w:hAnsi="Times New Roman" w:eastAsia="宋体" w:cs="Times New Roman"/>
                      <w:kern w:val="0"/>
                      <w:szCs w:val="21"/>
                      <w:lang w:bidi="en-US"/>
                    </w:rPr>
                    <w:t>供电由园区</w:t>
                  </w:r>
                  <w:r>
                    <w:rPr>
                      <w:rFonts w:hint="eastAsia" w:cs="Times New Roman"/>
                      <w:kern w:val="0"/>
                      <w:szCs w:val="21"/>
                      <w:lang w:eastAsia="zh-CN" w:bidi="en-US"/>
                    </w:rPr>
                    <w:t>供电系统</w:t>
                  </w:r>
                  <w:r>
                    <w:rPr>
                      <w:rFonts w:hint="default" w:ascii="Times New Roman" w:hAnsi="Times New Roman" w:eastAsia="宋体" w:cs="Times New Roman"/>
                      <w:kern w:val="0"/>
                      <w:szCs w:val="21"/>
                      <w:lang w:bidi="en-US"/>
                    </w:rPr>
                    <w:t>提供</w:t>
                  </w:r>
                  <w:r>
                    <w:rPr>
                      <w:rFonts w:hint="eastAsia" w:cs="Times New Roman"/>
                      <w:kern w:val="0"/>
                      <w:szCs w:val="21"/>
                      <w:lang w:eastAsia="zh-CN" w:bidi="en-US"/>
                    </w:rPr>
                    <w:t>。</w:t>
                  </w:r>
                </w:p>
              </w:tc>
              <w:tc>
                <w:tcPr>
                  <w:tcW w:w="741" w:type="dxa"/>
                  <w:noWrap w:val="0"/>
                  <w:vAlign w:val="center"/>
                </w:tcPr>
                <w:p w14:paraId="463FB055">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否</w:t>
                  </w:r>
                </w:p>
              </w:tc>
            </w:tr>
            <w:tr w14:paraId="60E0E0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19" w:type="dxa"/>
                  <w:vMerge w:val="continue"/>
                  <w:noWrap w:val="0"/>
                  <w:vAlign w:val="center"/>
                </w:tcPr>
                <w:p w14:paraId="57FCCC92">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kern w:val="0"/>
                      <w:szCs w:val="21"/>
                      <w:lang w:bidi="en-US"/>
                    </w:rPr>
                  </w:pPr>
                </w:p>
              </w:tc>
              <w:tc>
                <w:tcPr>
                  <w:tcW w:w="4035" w:type="dxa"/>
                  <w:noWrap w:val="0"/>
                  <w:vAlign w:val="center"/>
                </w:tcPr>
                <w:p w14:paraId="2F79B325">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8、规划项目禁止开采或使用地下水（冀政字[2017]48号）。</w:t>
                  </w:r>
                </w:p>
              </w:tc>
              <w:tc>
                <w:tcPr>
                  <w:tcW w:w="2065" w:type="dxa"/>
                  <w:noWrap w:val="0"/>
                  <w:vAlign w:val="center"/>
                </w:tcPr>
                <w:p w14:paraId="739AFB97">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eastAsia" w:ascii="Times New Roman" w:hAnsi="Times New Roman" w:eastAsia="宋体" w:cs="Times New Roman"/>
                      <w:kern w:val="0"/>
                      <w:szCs w:val="21"/>
                      <w:lang w:eastAsia="zh-CN" w:bidi="en-US"/>
                    </w:rPr>
                  </w:pPr>
                  <w:r>
                    <w:rPr>
                      <w:rFonts w:hint="default" w:ascii="Times New Roman" w:hAnsi="Times New Roman" w:eastAsia="宋体" w:cs="Times New Roman"/>
                      <w:kern w:val="0"/>
                      <w:szCs w:val="21"/>
                      <w:lang w:bidi="en-US"/>
                    </w:rPr>
                    <w:t>项目</w:t>
                  </w:r>
                  <w:r>
                    <w:rPr>
                      <w:rFonts w:hint="eastAsia" w:ascii="Times New Roman" w:hAnsi="Times New Roman" w:eastAsia="宋体" w:cs="Times New Roman"/>
                      <w:kern w:val="0"/>
                      <w:szCs w:val="21"/>
                      <w:lang w:bidi="en-US"/>
                    </w:rPr>
                    <w:t>不</w:t>
                  </w:r>
                  <w:r>
                    <w:rPr>
                      <w:rFonts w:hint="eastAsia" w:cs="Times New Roman"/>
                      <w:kern w:val="0"/>
                      <w:szCs w:val="21"/>
                      <w:lang w:eastAsia="zh-CN" w:bidi="en-US"/>
                    </w:rPr>
                    <w:t>开采、</w:t>
                  </w:r>
                  <w:r>
                    <w:rPr>
                      <w:rFonts w:hint="eastAsia" w:ascii="Times New Roman" w:hAnsi="Times New Roman" w:eastAsia="宋体" w:cs="Times New Roman"/>
                      <w:kern w:val="0"/>
                      <w:szCs w:val="21"/>
                      <w:lang w:bidi="en-US"/>
                    </w:rPr>
                    <w:t>使用地下水</w:t>
                  </w:r>
                  <w:r>
                    <w:rPr>
                      <w:rFonts w:hint="eastAsia" w:cs="Times New Roman"/>
                      <w:kern w:val="0"/>
                      <w:szCs w:val="21"/>
                      <w:lang w:eastAsia="zh-CN" w:bidi="en-US"/>
                    </w:rPr>
                    <w:t>。</w:t>
                  </w:r>
                </w:p>
              </w:tc>
              <w:tc>
                <w:tcPr>
                  <w:tcW w:w="741" w:type="dxa"/>
                  <w:noWrap w:val="0"/>
                  <w:vAlign w:val="center"/>
                </w:tcPr>
                <w:p w14:paraId="690A5DE9">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否</w:t>
                  </w:r>
                </w:p>
              </w:tc>
            </w:tr>
            <w:tr w14:paraId="6D156D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19" w:type="dxa"/>
                  <w:vMerge w:val="continue"/>
                  <w:noWrap w:val="0"/>
                  <w:vAlign w:val="center"/>
                </w:tcPr>
                <w:p w14:paraId="72BC5909">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kern w:val="0"/>
                      <w:szCs w:val="21"/>
                      <w:lang w:bidi="en-US"/>
                    </w:rPr>
                  </w:pPr>
                </w:p>
              </w:tc>
              <w:tc>
                <w:tcPr>
                  <w:tcW w:w="4035" w:type="dxa"/>
                  <w:noWrap w:val="0"/>
                  <w:vAlign w:val="center"/>
                </w:tcPr>
                <w:p w14:paraId="41FEB6F5">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9、禁止新建和扩建炼焦项目（等量置换除外）；禁止单纯扩大产能的新建和扩建农药制造项目（新增高效、低毒、安全、新品种除外）；禁止新建和扩建产能严重过剩的大宗化学原料药；省级及以上工业园区以外：禁止新建和扩建基础化学原料制造；禁止化学肥料新建和扩建（等量置换除外）。（冀政办发[2015]7号）。</w:t>
                  </w:r>
                </w:p>
              </w:tc>
              <w:tc>
                <w:tcPr>
                  <w:tcW w:w="2065" w:type="dxa"/>
                  <w:noWrap w:val="0"/>
                  <w:vAlign w:val="center"/>
                </w:tcPr>
                <w:p w14:paraId="3D958410">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不涉及</w:t>
                  </w:r>
                </w:p>
              </w:tc>
              <w:tc>
                <w:tcPr>
                  <w:tcW w:w="741" w:type="dxa"/>
                  <w:noWrap w:val="0"/>
                  <w:vAlign w:val="center"/>
                </w:tcPr>
                <w:p w14:paraId="2F3623E7">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否</w:t>
                  </w:r>
                </w:p>
              </w:tc>
            </w:tr>
            <w:tr w14:paraId="03619B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19" w:type="dxa"/>
                  <w:vMerge w:val="continue"/>
                  <w:noWrap w:val="0"/>
                  <w:vAlign w:val="center"/>
                </w:tcPr>
                <w:p w14:paraId="7AE7AD07">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kern w:val="0"/>
                      <w:szCs w:val="21"/>
                      <w:lang w:bidi="en-US"/>
                    </w:rPr>
                  </w:pPr>
                </w:p>
              </w:tc>
              <w:tc>
                <w:tcPr>
                  <w:tcW w:w="4035" w:type="dxa"/>
                  <w:noWrap w:val="0"/>
                  <w:vAlign w:val="center"/>
                </w:tcPr>
                <w:p w14:paraId="04C0805B">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10、禁止投资中药饮片的蒸、炒、炙、煅等炮制技术的应用及中成药保密处方产品的生产。</w:t>
                  </w:r>
                </w:p>
              </w:tc>
              <w:tc>
                <w:tcPr>
                  <w:tcW w:w="2065" w:type="dxa"/>
                  <w:noWrap w:val="0"/>
                  <w:vAlign w:val="center"/>
                </w:tcPr>
                <w:p w14:paraId="4A3610B4">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不涉及</w:t>
                  </w:r>
                </w:p>
              </w:tc>
              <w:tc>
                <w:tcPr>
                  <w:tcW w:w="741" w:type="dxa"/>
                  <w:noWrap w:val="0"/>
                  <w:vAlign w:val="center"/>
                </w:tcPr>
                <w:p w14:paraId="7F1D84D2">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否</w:t>
                  </w:r>
                </w:p>
              </w:tc>
            </w:tr>
            <w:tr w14:paraId="25AEA1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819" w:type="dxa"/>
                  <w:vMerge w:val="continue"/>
                  <w:noWrap w:val="0"/>
                  <w:vAlign w:val="center"/>
                </w:tcPr>
                <w:p w14:paraId="78A3E464">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kern w:val="0"/>
                      <w:szCs w:val="21"/>
                      <w:lang w:bidi="en-US"/>
                    </w:rPr>
                  </w:pPr>
                </w:p>
              </w:tc>
              <w:tc>
                <w:tcPr>
                  <w:tcW w:w="4035" w:type="dxa"/>
                  <w:noWrap w:val="0"/>
                  <w:vAlign w:val="center"/>
                </w:tcPr>
                <w:p w14:paraId="15E6CBD6">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11、规划项目主要污染物排放应</w:t>
                  </w:r>
                  <w:r>
                    <w:rPr>
                      <w:rFonts w:hint="eastAsia" w:ascii="Times New Roman" w:hAnsi="Times New Roman" w:eastAsia="宋体" w:cs="Times New Roman"/>
                      <w:kern w:val="0"/>
                      <w:szCs w:val="21"/>
                      <w:lang w:eastAsia="zh-CN" w:bidi="en-US"/>
                    </w:rPr>
                    <w:t>“</w:t>
                  </w:r>
                  <w:r>
                    <w:rPr>
                      <w:rFonts w:hint="default" w:ascii="Times New Roman" w:hAnsi="Times New Roman" w:eastAsia="宋体" w:cs="Times New Roman"/>
                      <w:kern w:val="0"/>
                      <w:szCs w:val="21"/>
                      <w:lang w:bidi="en-US"/>
                    </w:rPr>
                    <w:t>倍量替代</w:t>
                  </w:r>
                  <w:r>
                    <w:rPr>
                      <w:rFonts w:hint="eastAsia" w:ascii="Times New Roman" w:hAnsi="Times New Roman" w:eastAsia="宋体" w:cs="Times New Roman"/>
                      <w:kern w:val="0"/>
                      <w:szCs w:val="21"/>
                      <w:lang w:eastAsia="zh-CN" w:bidi="en-US"/>
                    </w:rPr>
                    <w:t>”</w:t>
                  </w:r>
                  <w:r>
                    <w:rPr>
                      <w:rFonts w:hint="default" w:ascii="Times New Roman" w:hAnsi="Times New Roman" w:eastAsia="宋体" w:cs="Times New Roman"/>
                      <w:kern w:val="0"/>
                      <w:szCs w:val="21"/>
                      <w:lang w:bidi="en-US"/>
                    </w:rPr>
                    <w:t>，落实评价提出的削减源清单，取消3个规划项目（规划近期5万吨/年PBAT树脂、规划远期0.2万吨/年双（氟磺酰）亚胺锂和1万吨/年热塑性聚酯弹性体3个规划项目）；规划新型化工项目污染物排放压减10%；华润电力氮氧化物应落实26mg/Nm</w:t>
                  </w:r>
                  <w:r>
                    <w:rPr>
                      <w:rFonts w:hint="default" w:ascii="Times New Roman" w:hAnsi="Times New Roman" w:eastAsia="宋体" w:cs="Times New Roman"/>
                      <w:kern w:val="0"/>
                      <w:szCs w:val="21"/>
                      <w:vertAlign w:val="superscript"/>
                      <w:lang w:bidi="en-US"/>
                    </w:rPr>
                    <w:t>3</w:t>
                  </w:r>
                  <w:r>
                    <w:rPr>
                      <w:rFonts w:hint="default" w:ascii="Times New Roman" w:hAnsi="Times New Roman" w:eastAsia="宋体" w:cs="Times New Roman"/>
                      <w:kern w:val="0"/>
                      <w:szCs w:val="21"/>
                      <w:lang w:bidi="en-US"/>
                    </w:rPr>
                    <w:t>的管控要求。</w:t>
                  </w:r>
                </w:p>
              </w:tc>
              <w:tc>
                <w:tcPr>
                  <w:tcW w:w="2065" w:type="dxa"/>
                  <w:noWrap w:val="0"/>
                  <w:vAlign w:val="center"/>
                </w:tcPr>
                <w:p w14:paraId="1ABBC18B">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eastAsia" w:ascii="Times New Roman" w:hAnsi="Times New Roman" w:eastAsia="宋体" w:cs="Times New Roman"/>
                      <w:kern w:val="0"/>
                      <w:szCs w:val="21"/>
                      <w:lang w:eastAsia="zh-CN" w:bidi="en-US"/>
                    </w:rPr>
                  </w:pPr>
                  <w:r>
                    <w:rPr>
                      <w:rFonts w:hint="eastAsia" w:ascii="Times New Roman" w:hAnsi="Times New Roman" w:eastAsia="宋体" w:cs="Times New Roman"/>
                      <w:kern w:val="0"/>
                      <w:szCs w:val="21"/>
                      <w:lang w:bidi="en-US"/>
                    </w:rPr>
                    <w:t>本项目不涉及COD、氨氮、</w:t>
                  </w:r>
                  <w:r>
                    <w:rPr>
                      <w:rFonts w:hint="default" w:ascii="Times New Roman" w:hAnsi="Times New Roman" w:eastAsia="宋体" w:cs="Times New Roman"/>
                      <w:kern w:val="0"/>
                      <w:szCs w:val="21"/>
                      <w:lang w:bidi="en-US"/>
                    </w:rPr>
                    <w:t>二氧化硫、氮氧化物排放</w:t>
                  </w:r>
                  <w:r>
                    <w:rPr>
                      <w:rFonts w:hint="eastAsia" w:cs="Times New Roman"/>
                      <w:kern w:val="0"/>
                      <w:szCs w:val="21"/>
                      <w:lang w:eastAsia="zh-CN" w:bidi="en-US"/>
                    </w:rPr>
                    <w:t>。</w:t>
                  </w:r>
                </w:p>
              </w:tc>
              <w:tc>
                <w:tcPr>
                  <w:tcW w:w="741" w:type="dxa"/>
                  <w:noWrap w:val="0"/>
                  <w:vAlign w:val="center"/>
                </w:tcPr>
                <w:p w14:paraId="52774FBE">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否</w:t>
                  </w:r>
                </w:p>
              </w:tc>
            </w:tr>
            <w:tr w14:paraId="3EE82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19" w:type="dxa"/>
                  <w:vMerge w:val="continue"/>
                  <w:noWrap w:val="0"/>
                  <w:vAlign w:val="center"/>
                </w:tcPr>
                <w:p w14:paraId="64355C04">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kern w:val="0"/>
                      <w:szCs w:val="21"/>
                      <w:lang w:bidi="en-US"/>
                    </w:rPr>
                  </w:pPr>
                </w:p>
              </w:tc>
              <w:tc>
                <w:tcPr>
                  <w:tcW w:w="4035" w:type="dxa"/>
                  <w:noWrap w:val="0"/>
                  <w:vAlign w:val="center"/>
                </w:tcPr>
                <w:p w14:paraId="2A1FC9ED">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12、禁止建设生产和使用高VOCs含量的溶剂型涂料、油墨、胶粘剂等项目（冀政发[2018]18号）。</w:t>
                  </w:r>
                </w:p>
              </w:tc>
              <w:tc>
                <w:tcPr>
                  <w:tcW w:w="2065" w:type="dxa"/>
                  <w:noWrap w:val="0"/>
                  <w:vAlign w:val="center"/>
                </w:tcPr>
                <w:p w14:paraId="5C51EAF4">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eastAsia="zh-CN" w:bidi="en-US"/>
                    </w:rPr>
                    <w:t>本项目使用的水性油墨、胶粘剂VOCs含量较低。根据上海华测品标检测技术有限公司出具的监测报告（报告编号：</w:t>
                  </w:r>
                  <w:r>
                    <w:rPr>
                      <w:rFonts w:hint="default" w:ascii="Times New Roman" w:hAnsi="Times New Roman" w:eastAsia="宋体" w:cs="Times New Roman"/>
                      <w:kern w:val="0"/>
                      <w:szCs w:val="21"/>
                      <w:lang w:val="en-US" w:eastAsia="zh-CN" w:bidi="en-US"/>
                    </w:rPr>
                    <w:t>A2210241655101001C）水性油墨VOC</w:t>
                  </w:r>
                  <w:r>
                    <w:rPr>
                      <w:rFonts w:hint="default" w:ascii="Times New Roman" w:hAnsi="Times New Roman" w:eastAsia="宋体" w:cs="Times New Roman"/>
                      <w:kern w:val="0"/>
                      <w:szCs w:val="21"/>
                      <w:vertAlign w:val="subscript"/>
                      <w:lang w:val="en-US" w:eastAsia="zh-CN" w:bidi="en-US"/>
                    </w:rPr>
                    <w:t>S</w:t>
                  </w:r>
                  <w:r>
                    <w:rPr>
                      <w:rFonts w:hint="default" w:ascii="Times New Roman" w:hAnsi="Times New Roman" w:eastAsia="宋体" w:cs="Times New Roman"/>
                      <w:kern w:val="0"/>
                      <w:szCs w:val="21"/>
                      <w:lang w:val="en-US" w:eastAsia="zh-CN" w:bidi="en-US"/>
                    </w:rPr>
                    <w:t>含量为1.2%</w:t>
                  </w:r>
                  <w:r>
                    <w:rPr>
                      <w:rFonts w:hint="eastAsia" w:cs="Times New Roman"/>
                      <w:kern w:val="0"/>
                      <w:szCs w:val="21"/>
                      <w:lang w:val="en-US" w:eastAsia="zh-CN" w:bidi="en-US"/>
                    </w:rPr>
                    <w:t>，</w:t>
                  </w:r>
                  <w:r>
                    <w:rPr>
                      <w:rFonts w:hint="eastAsia"/>
                      <w:lang w:val="en-US" w:eastAsia="zh-CN"/>
                    </w:rPr>
                    <w:t>符合《油墨中可挥发性有机化合物（VOC</w:t>
                  </w:r>
                  <w:r>
                    <w:rPr>
                      <w:rFonts w:hint="eastAsia"/>
                      <w:vertAlign w:val="subscript"/>
                      <w:lang w:val="en-US" w:eastAsia="zh-CN"/>
                    </w:rPr>
                    <w:t>S</w:t>
                  </w:r>
                  <w:r>
                    <w:rPr>
                      <w:rFonts w:hint="eastAsia"/>
                      <w:lang w:val="en-US" w:eastAsia="zh-CN"/>
                    </w:rPr>
                    <w:t>）含量的限制》（GB38507-2020）中水性油墨-凹印油墨-非吸收性承印物的VOC</w:t>
                  </w:r>
                  <w:r>
                    <w:rPr>
                      <w:rFonts w:hint="eastAsia"/>
                      <w:vertAlign w:val="subscript"/>
                      <w:lang w:val="en-US" w:eastAsia="zh-CN"/>
                    </w:rPr>
                    <w:t>S</w:t>
                  </w:r>
                  <w:r>
                    <w:rPr>
                      <w:rFonts w:hint="eastAsia"/>
                      <w:lang w:val="en-US" w:eastAsia="zh-CN"/>
                    </w:rPr>
                    <w:t>含量限值，不属于高VOC</w:t>
                  </w:r>
                  <w:r>
                    <w:rPr>
                      <w:rFonts w:hint="eastAsia"/>
                      <w:vertAlign w:val="subscript"/>
                      <w:lang w:val="en-US" w:eastAsia="zh-CN"/>
                    </w:rPr>
                    <w:t>S</w:t>
                  </w:r>
                  <w:r>
                    <w:rPr>
                      <w:rFonts w:hint="eastAsia"/>
                      <w:lang w:val="en-US" w:eastAsia="zh-CN"/>
                    </w:rPr>
                    <w:t>含量水性油墨</w:t>
                  </w:r>
                  <w:r>
                    <w:rPr>
                      <w:rFonts w:hint="eastAsia" w:ascii="Times New Roman" w:hAnsi="Times New Roman" w:cs="Times New Roman"/>
                      <w:color w:val="auto"/>
                      <w:lang w:val="en-US" w:eastAsia="zh-CN"/>
                    </w:rPr>
                    <w:t>。</w:t>
                  </w:r>
                </w:p>
              </w:tc>
              <w:tc>
                <w:tcPr>
                  <w:tcW w:w="741" w:type="dxa"/>
                  <w:noWrap w:val="0"/>
                  <w:vAlign w:val="center"/>
                </w:tcPr>
                <w:p w14:paraId="70CB9403">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否</w:t>
                  </w:r>
                </w:p>
              </w:tc>
            </w:tr>
            <w:tr w14:paraId="7A876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19" w:type="dxa"/>
                  <w:vMerge w:val="continue"/>
                  <w:noWrap w:val="0"/>
                  <w:vAlign w:val="center"/>
                </w:tcPr>
                <w:p w14:paraId="42AF0A71">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kern w:val="0"/>
                      <w:szCs w:val="21"/>
                      <w:lang w:bidi="en-US"/>
                    </w:rPr>
                  </w:pPr>
                </w:p>
              </w:tc>
              <w:tc>
                <w:tcPr>
                  <w:tcW w:w="4035" w:type="dxa"/>
                  <w:noWrap w:val="0"/>
                  <w:vAlign w:val="center"/>
                </w:tcPr>
                <w:p w14:paraId="43C5FCA7">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13、本次评价提出的环境风险管控区内，应严格筛选入驻企业，禁止建设高污染企业；禁止布置涉及重大危险源生产装置和储罐的企业；禁止布置涉及剧毒物质的企业。</w:t>
                  </w:r>
                </w:p>
              </w:tc>
              <w:tc>
                <w:tcPr>
                  <w:tcW w:w="2065" w:type="dxa"/>
                  <w:noWrap w:val="0"/>
                  <w:vAlign w:val="center"/>
                </w:tcPr>
                <w:p w14:paraId="4293AEB9">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eastAsia" w:ascii="Times New Roman" w:hAnsi="Times New Roman" w:eastAsia="宋体" w:cs="Times New Roman"/>
                      <w:kern w:val="0"/>
                      <w:szCs w:val="21"/>
                      <w:lang w:eastAsia="zh-CN" w:bidi="en-US"/>
                    </w:rPr>
                  </w:pPr>
                  <w:r>
                    <w:rPr>
                      <w:rFonts w:hint="default" w:ascii="Times New Roman" w:hAnsi="Times New Roman" w:eastAsia="宋体" w:cs="Times New Roman"/>
                      <w:kern w:val="0"/>
                      <w:szCs w:val="21"/>
                      <w:lang w:bidi="en-US"/>
                    </w:rPr>
                    <w:t>项目不在环境风险管控区内</w:t>
                  </w:r>
                  <w:r>
                    <w:rPr>
                      <w:rFonts w:hint="eastAsia" w:cs="Times New Roman"/>
                      <w:kern w:val="0"/>
                      <w:szCs w:val="21"/>
                      <w:lang w:eastAsia="zh-CN" w:bidi="en-US"/>
                    </w:rPr>
                    <w:t>。</w:t>
                  </w:r>
                </w:p>
              </w:tc>
              <w:tc>
                <w:tcPr>
                  <w:tcW w:w="741" w:type="dxa"/>
                  <w:noWrap w:val="0"/>
                  <w:vAlign w:val="center"/>
                </w:tcPr>
                <w:p w14:paraId="106E58B6">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否</w:t>
                  </w:r>
                </w:p>
              </w:tc>
            </w:tr>
            <w:tr w14:paraId="7F2108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19" w:type="dxa"/>
                  <w:vMerge w:val="continue"/>
                  <w:noWrap w:val="0"/>
                  <w:vAlign w:val="center"/>
                </w:tcPr>
                <w:p w14:paraId="44C8627D">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kern w:val="0"/>
                      <w:szCs w:val="21"/>
                      <w:lang w:bidi="en-US"/>
                    </w:rPr>
                  </w:pPr>
                </w:p>
              </w:tc>
              <w:tc>
                <w:tcPr>
                  <w:tcW w:w="4035" w:type="dxa"/>
                  <w:noWrap w:val="0"/>
                  <w:vAlign w:val="center"/>
                </w:tcPr>
                <w:p w14:paraId="7934332D">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14、以石油焦、重</w:t>
                  </w:r>
                  <w:r>
                    <w:rPr>
                      <w:rFonts w:hint="default" w:ascii="Times New Roman" w:hAnsi="Times New Roman" w:eastAsia="宋体" w:cs="Times New Roman"/>
                      <w:kern w:val="0"/>
                      <w:szCs w:val="21"/>
                      <w:lang w:bidi="en-US"/>
                    </w:rPr>
                    <w:cr/>
                  </w:r>
                  <w:r>
                    <w:rPr>
                      <w:rFonts w:hint="default" w:ascii="Times New Roman" w:hAnsi="Times New Roman" w:eastAsia="宋体" w:cs="Times New Roman"/>
                      <w:kern w:val="0"/>
                      <w:szCs w:val="21"/>
                      <w:lang w:bidi="en-US"/>
                    </w:rPr>
                    <w:t>等为燃料的工业炉窑，加快使用清洁低碳能源以及利用工厂余热、电厂热力等进行替代，禁止掺烧高硫石油焦（硫含量大于3%）。</w:t>
                  </w:r>
                </w:p>
              </w:tc>
              <w:tc>
                <w:tcPr>
                  <w:tcW w:w="2065" w:type="dxa"/>
                  <w:noWrap w:val="0"/>
                  <w:vAlign w:val="center"/>
                </w:tcPr>
                <w:p w14:paraId="0957B52F">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不涉及</w:t>
                  </w:r>
                </w:p>
              </w:tc>
              <w:tc>
                <w:tcPr>
                  <w:tcW w:w="741" w:type="dxa"/>
                  <w:noWrap w:val="0"/>
                  <w:vAlign w:val="center"/>
                </w:tcPr>
                <w:p w14:paraId="3C50F8CB">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否</w:t>
                  </w:r>
                </w:p>
              </w:tc>
            </w:tr>
            <w:tr w14:paraId="62E792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19" w:type="dxa"/>
                  <w:vMerge w:val="continue"/>
                  <w:noWrap w:val="0"/>
                  <w:vAlign w:val="center"/>
                </w:tcPr>
                <w:p w14:paraId="7FE2AE9E">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kern w:val="0"/>
                      <w:szCs w:val="21"/>
                      <w:lang w:bidi="en-US"/>
                    </w:rPr>
                  </w:pPr>
                </w:p>
              </w:tc>
              <w:tc>
                <w:tcPr>
                  <w:tcW w:w="4035" w:type="dxa"/>
                  <w:noWrap w:val="0"/>
                  <w:vAlign w:val="center"/>
                </w:tcPr>
                <w:p w14:paraId="73CBF549">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15、禁止建设存在重大环境安全隐患的工业项目。</w:t>
                  </w:r>
                </w:p>
              </w:tc>
              <w:tc>
                <w:tcPr>
                  <w:tcW w:w="2065" w:type="dxa"/>
                  <w:noWrap w:val="0"/>
                  <w:vAlign w:val="center"/>
                </w:tcPr>
                <w:p w14:paraId="0810AF0F">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eastAsia" w:ascii="Times New Roman" w:hAnsi="Times New Roman" w:eastAsia="宋体" w:cs="Times New Roman"/>
                      <w:kern w:val="0"/>
                      <w:szCs w:val="21"/>
                      <w:lang w:eastAsia="zh-CN" w:bidi="en-US"/>
                    </w:rPr>
                  </w:pPr>
                  <w:r>
                    <w:rPr>
                      <w:rFonts w:hint="default" w:ascii="Times New Roman" w:hAnsi="Times New Roman" w:eastAsia="宋体" w:cs="Times New Roman"/>
                      <w:kern w:val="0"/>
                      <w:szCs w:val="21"/>
                      <w:lang w:bidi="en-US"/>
                    </w:rPr>
                    <w:t>项目建成后应根据项目建设情况</w:t>
                  </w:r>
                  <w:r>
                    <w:rPr>
                      <w:rFonts w:hint="eastAsia" w:ascii="Times New Roman" w:hAnsi="Times New Roman" w:eastAsia="宋体" w:cs="Times New Roman"/>
                      <w:kern w:val="0"/>
                      <w:szCs w:val="21"/>
                      <w:lang w:bidi="en-US"/>
                    </w:rPr>
                    <w:t>修订</w:t>
                  </w:r>
                  <w:r>
                    <w:rPr>
                      <w:rFonts w:hint="default" w:ascii="Times New Roman" w:hAnsi="Times New Roman" w:eastAsia="宋体" w:cs="Times New Roman"/>
                      <w:kern w:val="0"/>
                      <w:szCs w:val="21"/>
                      <w:lang w:bidi="en-US"/>
                    </w:rPr>
                    <w:t>《突发环境事件应急预案》</w:t>
                  </w:r>
                  <w:r>
                    <w:rPr>
                      <w:rFonts w:hint="eastAsia" w:ascii="Times New Roman" w:hAnsi="Times New Roman" w:eastAsia="宋体" w:cs="Times New Roman"/>
                      <w:kern w:val="0"/>
                      <w:szCs w:val="21"/>
                      <w:lang w:bidi="en-US"/>
                    </w:rPr>
                    <w:t>并</w:t>
                  </w:r>
                  <w:r>
                    <w:rPr>
                      <w:rFonts w:hint="default" w:ascii="Times New Roman" w:hAnsi="Times New Roman" w:eastAsia="宋体" w:cs="Times New Roman"/>
                      <w:kern w:val="0"/>
                      <w:szCs w:val="21"/>
                      <w:lang w:bidi="en-US"/>
                    </w:rPr>
                    <w:t>进行备案，并严格执行</w:t>
                  </w:r>
                  <w:r>
                    <w:rPr>
                      <w:rFonts w:hint="eastAsia" w:cs="Times New Roman"/>
                      <w:kern w:val="0"/>
                      <w:szCs w:val="21"/>
                      <w:lang w:eastAsia="zh-CN" w:bidi="en-US"/>
                    </w:rPr>
                    <w:t>。</w:t>
                  </w:r>
                </w:p>
              </w:tc>
              <w:tc>
                <w:tcPr>
                  <w:tcW w:w="741" w:type="dxa"/>
                  <w:noWrap w:val="0"/>
                  <w:vAlign w:val="center"/>
                </w:tcPr>
                <w:p w14:paraId="703FAF27">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否</w:t>
                  </w:r>
                </w:p>
              </w:tc>
            </w:tr>
            <w:tr w14:paraId="29D26C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19" w:type="dxa"/>
                  <w:vMerge w:val="continue"/>
                  <w:noWrap w:val="0"/>
                  <w:vAlign w:val="center"/>
                </w:tcPr>
                <w:p w14:paraId="14D31153">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kern w:val="0"/>
                      <w:szCs w:val="21"/>
                      <w:lang w:bidi="en-US"/>
                    </w:rPr>
                  </w:pPr>
                </w:p>
              </w:tc>
              <w:tc>
                <w:tcPr>
                  <w:tcW w:w="4035" w:type="dxa"/>
                  <w:noWrap w:val="0"/>
                  <w:vAlign w:val="center"/>
                </w:tcPr>
                <w:p w14:paraId="0BFCFAF4">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16、禁止向涉重金属相关行业、落后产能和产能过剩行业供应土地。</w:t>
                  </w:r>
                </w:p>
              </w:tc>
              <w:tc>
                <w:tcPr>
                  <w:tcW w:w="2065" w:type="dxa"/>
                  <w:noWrap w:val="0"/>
                  <w:vAlign w:val="center"/>
                </w:tcPr>
                <w:p w14:paraId="255F5F29">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不涉及</w:t>
                  </w:r>
                </w:p>
              </w:tc>
              <w:tc>
                <w:tcPr>
                  <w:tcW w:w="741" w:type="dxa"/>
                  <w:noWrap w:val="0"/>
                  <w:vAlign w:val="center"/>
                </w:tcPr>
                <w:p w14:paraId="49D2185B">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否</w:t>
                  </w:r>
                </w:p>
              </w:tc>
            </w:tr>
            <w:tr w14:paraId="604413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19" w:type="dxa"/>
                  <w:vMerge w:val="continue"/>
                  <w:noWrap w:val="0"/>
                  <w:vAlign w:val="center"/>
                </w:tcPr>
                <w:p w14:paraId="124B8E99">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kern w:val="0"/>
                      <w:szCs w:val="21"/>
                      <w:lang w:bidi="en-US"/>
                    </w:rPr>
                  </w:pPr>
                </w:p>
              </w:tc>
              <w:tc>
                <w:tcPr>
                  <w:tcW w:w="4035" w:type="dxa"/>
                  <w:noWrap w:val="0"/>
                  <w:vAlign w:val="center"/>
                </w:tcPr>
                <w:p w14:paraId="5DCD9C90">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17、禁止未经修复的污染场地进行再开发利用。</w:t>
                  </w:r>
                </w:p>
              </w:tc>
              <w:tc>
                <w:tcPr>
                  <w:tcW w:w="2065" w:type="dxa"/>
                  <w:noWrap w:val="0"/>
                  <w:vAlign w:val="center"/>
                </w:tcPr>
                <w:p w14:paraId="57E503D4">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不涉及</w:t>
                  </w:r>
                </w:p>
              </w:tc>
              <w:tc>
                <w:tcPr>
                  <w:tcW w:w="741" w:type="dxa"/>
                  <w:noWrap w:val="0"/>
                  <w:vAlign w:val="center"/>
                </w:tcPr>
                <w:p w14:paraId="26B6A0E7">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否</w:t>
                  </w:r>
                </w:p>
              </w:tc>
            </w:tr>
            <w:tr w14:paraId="0EB4FF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19" w:type="dxa"/>
                  <w:vMerge w:val="continue"/>
                  <w:noWrap w:val="0"/>
                  <w:vAlign w:val="center"/>
                </w:tcPr>
                <w:p w14:paraId="2DC0C39B">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kern w:val="0"/>
                      <w:szCs w:val="21"/>
                      <w:lang w:bidi="en-US"/>
                    </w:rPr>
                  </w:pPr>
                </w:p>
              </w:tc>
              <w:tc>
                <w:tcPr>
                  <w:tcW w:w="4035" w:type="dxa"/>
                  <w:noWrap w:val="0"/>
                  <w:vAlign w:val="center"/>
                </w:tcPr>
                <w:p w14:paraId="5C861826">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18、临港开发区所有开发活动禁止新增占用自然岸线。</w:t>
                  </w:r>
                </w:p>
              </w:tc>
              <w:tc>
                <w:tcPr>
                  <w:tcW w:w="2065" w:type="dxa"/>
                  <w:noWrap w:val="0"/>
                  <w:vAlign w:val="center"/>
                </w:tcPr>
                <w:p w14:paraId="2E355401">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不涉及</w:t>
                  </w:r>
                </w:p>
              </w:tc>
              <w:tc>
                <w:tcPr>
                  <w:tcW w:w="741" w:type="dxa"/>
                  <w:noWrap w:val="0"/>
                  <w:vAlign w:val="center"/>
                </w:tcPr>
                <w:p w14:paraId="6C8BE59B">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否</w:t>
                  </w:r>
                </w:p>
              </w:tc>
            </w:tr>
            <w:tr w14:paraId="164FA5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19" w:type="dxa"/>
                  <w:vMerge w:val="continue"/>
                  <w:noWrap w:val="0"/>
                  <w:vAlign w:val="center"/>
                </w:tcPr>
                <w:p w14:paraId="2D9F34BC">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kern w:val="0"/>
                      <w:szCs w:val="21"/>
                      <w:lang w:bidi="en-US"/>
                    </w:rPr>
                  </w:pPr>
                </w:p>
              </w:tc>
              <w:tc>
                <w:tcPr>
                  <w:tcW w:w="4035" w:type="dxa"/>
                  <w:noWrap w:val="0"/>
                  <w:vAlign w:val="center"/>
                </w:tcPr>
                <w:p w14:paraId="4CEE0162">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19、涉及高排放非道路移动机械使用时应符合禁止使用区域的规定（沧政告[2019]13号）。</w:t>
                  </w:r>
                </w:p>
              </w:tc>
              <w:tc>
                <w:tcPr>
                  <w:tcW w:w="2065" w:type="dxa"/>
                  <w:noWrap w:val="0"/>
                  <w:vAlign w:val="center"/>
                </w:tcPr>
                <w:p w14:paraId="20AE3499">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不涉及</w:t>
                  </w:r>
                </w:p>
              </w:tc>
              <w:tc>
                <w:tcPr>
                  <w:tcW w:w="741" w:type="dxa"/>
                  <w:noWrap w:val="0"/>
                  <w:vAlign w:val="center"/>
                </w:tcPr>
                <w:p w14:paraId="251978D7">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否</w:t>
                  </w:r>
                </w:p>
              </w:tc>
            </w:tr>
            <w:tr w14:paraId="20DE3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19" w:type="dxa"/>
                  <w:vMerge w:val="continue"/>
                  <w:noWrap w:val="0"/>
                  <w:vAlign w:val="center"/>
                </w:tcPr>
                <w:p w14:paraId="387025DA">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kern w:val="0"/>
                      <w:szCs w:val="21"/>
                      <w:lang w:bidi="en-US"/>
                    </w:rPr>
                  </w:pPr>
                </w:p>
              </w:tc>
              <w:tc>
                <w:tcPr>
                  <w:tcW w:w="4035" w:type="dxa"/>
                  <w:noWrap w:val="0"/>
                  <w:vAlign w:val="center"/>
                </w:tcPr>
                <w:p w14:paraId="2566160D">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20、临港开发区（西区）3.485km</w:t>
                  </w:r>
                  <w:r>
                    <w:rPr>
                      <w:rFonts w:hint="default" w:ascii="Times New Roman" w:hAnsi="Times New Roman" w:eastAsia="宋体" w:cs="Times New Roman"/>
                      <w:kern w:val="0"/>
                      <w:szCs w:val="21"/>
                      <w:vertAlign w:val="superscript"/>
                      <w:lang w:bidi="en-US"/>
                    </w:rPr>
                    <w:t>2</w:t>
                  </w:r>
                  <w:r>
                    <w:rPr>
                      <w:rFonts w:hint="default" w:ascii="Times New Roman" w:hAnsi="Times New Roman" w:eastAsia="宋体" w:cs="Times New Roman"/>
                      <w:kern w:val="0"/>
                      <w:szCs w:val="21"/>
                      <w:lang w:bidi="en-US"/>
                    </w:rPr>
                    <w:t>基本农田（优先保护区），在该地块用地类型调整前禁止开发。</w:t>
                  </w:r>
                </w:p>
              </w:tc>
              <w:tc>
                <w:tcPr>
                  <w:tcW w:w="2065" w:type="dxa"/>
                  <w:noWrap w:val="0"/>
                  <w:vAlign w:val="center"/>
                </w:tcPr>
                <w:p w14:paraId="0976D860">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不涉及</w:t>
                  </w:r>
                </w:p>
              </w:tc>
              <w:tc>
                <w:tcPr>
                  <w:tcW w:w="741" w:type="dxa"/>
                  <w:noWrap w:val="0"/>
                  <w:vAlign w:val="center"/>
                </w:tcPr>
                <w:p w14:paraId="446FEB4B">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否</w:t>
                  </w:r>
                </w:p>
              </w:tc>
            </w:tr>
            <w:tr w14:paraId="04430B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19" w:type="dxa"/>
                  <w:vMerge w:val="restart"/>
                  <w:noWrap w:val="0"/>
                  <w:vAlign w:val="center"/>
                </w:tcPr>
                <w:p w14:paraId="0449C97B">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限制类</w:t>
                  </w:r>
                </w:p>
              </w:tc>
              <w:tc>
                <w:tcPr>
                  <w:tcW w:w="4035" w:type="dxa"/>
                  <w:noWrap w:val="0"/>
                  <w:vAlign w:val="center"/>
                </w:tcPr>
                <w:p w14:paraId="20E983FE">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1、应限制在本次评价提出的生态空间管控、资源利用上线、环境质量底线下开展规划实施工作，不可突破相关管控要求。</w:t>
                  </w:r>
                </w:p>
              </w:tc>
              <w:tc>
                <w:tcPr>
                  <w:tcW w:w="2065" w:type="dxa"/>
                  <w:noWrap w:val="0"/>
                  <w:vAlign w:val="center"/>
                </w:tcPr>
                <w:p w14:paraId="4AA220CD">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满足</w:t>
                  </w:r>
                </w:p>
              </w:tc>
              <w:tc>
                <w:tcPr>
                  <w:tcW w:w="741" w:type="dxa"/>
                  <w:noWrap w:val="0"/>
                  <w:vAlign w:val="center"/>
                </w:tcPr>
                <w:p w14:paraId="2056054F">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否</w:t>
                  </w:r>
                </w:p>
              </w:tc>
            </w:tr>
            <w:tr w14:paraId="14C7F7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19" w:type="dxa"/>
                  <w:vMerge w:val="continue"/>
                  <w:noWrap w:val="0"/>
                  <w:vAlign w:val="center"/>
                </w:tcPr>
                <w:p w14:paraId="5D691224">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kern w:val="0"/>
                      <w:szCs w:val="21"/>
                      <w:lang w:bidi="en-US"/>
                    </w:rPr>
                  </w:pPr>
                </w:p>
              </w:tc>
              <w:tc>
                <w:tcPr>
                  <w:tcW w:w="4035" w:type="dxa"/>
                  <w:noWrap w:val="0"/>
                  <w:vAlign w:val="center"/>
                </w:tcPr>
                <w:p w14:paraId="41C440BA">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2、规划项目应落实中水回用方案要求的回用指标后，再使用新鲜水。</w:t>
                  </w:r>
                </w:p>
              </w:tc>
              <w:tc>
                <w:tcPr>
                  <w:tcW w:w="2065" w:type="dxa"/>
                  <w:noWrap w:val="0"/>
                  <w:vAlign w:val="center"/>
                </w:tcPr>
                <w:p w14:paraId="568CDD18">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满足</w:t>
                  </w:r>
                </w:p>
              </w:tc>
              <w:tc>
                <w:tcPr>
                  <w:tcW w:w="741" w:type="dxa"/>
                  <w:noWrap w:val="0"/>
                  <w:vAlign w:val="center"/>
                </w:tcPr>
                <w:p w14:paraId="59314AFA">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否</w:t>
                  </w:r>
                </w:p>
              </w:tc>
            </w:tr>
            <w:tr w14:paraId="7A9D89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19" w:type="dxa"/>
                  <w:vMerge w:val="continue"/>
                  <w:noWrap w:val="0"/>
                  <w:vAlign w:val="center"/>
                </w:tcPr>
                <w:p w14:paraId="03B313DB">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kern w:val="0"/>
                      <w:szCs w:val="21"/>
                      <w:lang w:bidi="en-US"/>
                    </w:rPr>
                  </w:pPr>
                </w:p>
              </w:tc>
              <w:tc>
                <w:tcPr>
                  <w:tcW w:w="4035" w:type="dxa"/>
                  <w:noWrap w:val="0"/>
                  <w:vAlign w:val="center"/>
                </w:tcPr>
                <w:p w14:paraId="0A451840">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3、规划项目应满足临港开发区现行环境管理体系，纳入各平台中进行管理。</w:t>
                  </w:r>
                </w:p>
              </w:tc>
              <w:tc>
                <w:tcPr>
                  <w:tcW w:w="2065" w:type="dxa"/>
                  <w:noWrap w:val="0"/>
                  <w:vAlign w:val="center"/>
                </w:tcPr>
                <w:p w14:paraId="0EB44B81">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满足</w:t>
                  </w:r>
                </w:p>
              </w:tc>
              <w:tc>
                <w:tcPr>
                  <w:tcW w:w="741" w:type="dxa"/>
                  <w:noWrap w:val="0"/>
                  <w:vAlign w:val="center"/>
                </w:tcPr>
                <w:p w14:paraId="1480B828">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否</w:t>
                  </w:r>
                </w:p>
              </w:tc>
            </w:tr>
            <w:tr w14:paraId="6999D3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19" w:type="dxa"/>
                  <w:vMerge w:val="continue"/>
                  <w:noWrap w:val="0"/>
                  <w:vAlign w:val="center"/>
                </w:tcPr>
                <w:p w14:paraId="38112503">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kern w:val="0"/>
                      <w:szCs w:val="21"/>
                      <w:lang w:bidi="en-US"/>
                    </w:rPr>
                  </w:pPr>
                </w:p>
              </w:tc>
              <w:tc>
                <w:tcPr>
                  <w:tcW w:w="4035" w:type="dxa"/>
                  <w:noWrap w:val="0"/>
                  <w:vAlign w:val="center"/>
                </w:tcPr>
                <w:p w14:paraId="14CC5A0F">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4、从严控制新建、改建、扩建涉氮氧化物的项目建设，区内引入该企业需要倍量替代，明确减排源。</w:t>
                  </w:r>
                </w:p>
              </w:tc>
              <w:tc>
                <w:tcPr>
                  <w:tcW w:w="2065" w:type="dxa"/>
                  <w:noWrap w:val="0"/>
                  <w:vAlign w:val="center"/>
                </w:tcPr>
                <w:p w14:paraId="0DDF8234">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kern w:val="0"/>
                      <w:szCs w:val="21"/>
                      <w:lang w:bidi="en-US"/>
                    </w:rPr>
                  </w:pPr>
                  <w:r>
                    <w:rPr>
                      <w:rFonts w:hint="eastAsia" w:ascii="Times New Roman" w:hAnsi="Times New Roman" w:eastAsia="宋体" w:cs="Times New Roman"/>
                      <w:kern w:val="0"/>
                      <w:szCs w:val="21"/>
                      <w:lang w:bidi="en-US"/>
                    </w:rPr>
                    <w:t>不涉及</w:t>
                  </w:r>
                </w:p>
              </w:tc>
              <w:tc>
                <w:tcPr>
                  <w:tcW w:w="741" w:type="dxa"/>
                  <w:noWrap w:val="0"/>
                  <w:vAlign w:val="center"/>
                </w:tcPr>
                <w:p w14:paraId="5D3E8BD0">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否</w:t>
                  </w:r>
                </w:p>
              </w:tc>
            </w:tr>
            <w:tr w14:paraId="09620D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19" w:type="dxa"/>
                  <w:vMerge w:val="continue"/>
                  <w:noWrap w:val="0"/>
                  <w:vAlign w:val="center"/>
                </w:tcPr>
                <w:p w14:paraId="657F91D1">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kern w:val="0"/>
                      <w:szCs w:val="21"/>
                      <w:lang w:bidi="en-US"/>
                    </w:rPr>
                  </w:pPr>
                </w:p>
              </w:tc>
              <w:tc>
                <w:tcPr>
                  <w:tcW w:w="4035" w:type="dxa"/>
                  <w:noWrap w:val="0"/>
                  <w:vAlign w:val="center"/>
                </w:tcPr>
                <w:p w14:paraId="15C966E0">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5、从严控制新建、改建、扩建涉重行业的项目建设，禁止新建、改建、扩建增加汞、镉、铅、铬、砷排放量的建设项目。</w:t>
                  </w:r>
                </w:p>
              </w:tc>
              <w:tc>
                <w:tcPr>
                  <w:tcW w:w="2065" w:type="dxa"/>
                  <w:noWrap w:val="0"/>
                  <w:vAlign w:val="center"/>
                </w:tcPr>
                <w:p w14:paraId="1A30A9BB">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不涉及</w:t>
                  </w:r>
                </w:p>
              </w:tc>
              <w:tc>
                <w:tcPr>
                  <w:tcW w:w="741" w:type="dxa"/>
                  <w:noWrap w:val="0"/>
                  <w:vAlign w:val="center"/>
                </w:tcPr>
                <w:p w14:paraId="507F1166">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否</w:t>
                  </w:r>
                </w:p>
              </w:tc>
            </w:tr>
            <w:tr w14:paraId="689503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19" w:type="dxa"/>
                  <w:vMerge w:val="continue"/>
                  <w:noWrap w:val="0"/>
                  <w:vAlign w:val="center"/>
                </w:tcPr>
                <w:p w14:paraId="2AFD73D7">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kern w:val="0"/>
                      <w:szCs w:val="21"/>
                      <w:lang w:bidi="en-US"/>
                    </w:rPr>
                  </w:pPr>
                </w:p>
              </w:tc>
              <w:tc>
                <w:tcPr>
                  <w:tcW w:w="4035" w:type="dxa"/>
                  <w:noWrap w:val="0"/>
                  <w:vAlign w:val="center"/>
                </w:tcPr>
                <w:p w14:paraId="56C21FC5">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6、《指导目录》中的限制类，除去已列入禁止类的，全部列入本类，涉及的产业项目（企业）须在生产工艺、规模（或产量）、区位（或范围）、清洁生产水平、环保措施等方面符合国家相关标准和地方管控要求。</w:t>
                  </w:r>
                </w:p>
              </w:tc>
              <w:tc>
                <w:tcPr>
                  <w:tcW w:w="2065" w:type="dxa"/>
                  <w:noWrap w:val="0"/>
                  <w:vAlign w:val="center"/>
                </w:tcPr>
                <w:p w14:paraId="1DF05056">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default" w:ascii="Times New Roman" w:hAnsi="Times New Roman" w:eastAsia="宋体" w:cs="Times New Roman"/>
                      <w:kern w:val="0"/>
                      <w:szCs w:val="21"/>
                      <w:lang w:bidi="en-US"/>
                    </w:rPr>
                  </w:pPr>
                  <w:r>
                    <w:rPr>
                      <w:rFonts w:hint="eastAsia" w:ascii="Times New Roman" w:hAnsi="Times New Roman" w:eastAsia="宋体" w:cs="Times New Roman"/>
                      <w:kern w:val="0"/>
                      <w:szCs w:val="21"/>
                      <w:lang w:eastAsia="zh-CN" w:bidi="en-US"/>
                    </w:rPr>
                    <w:t>对照</w:t>
                  </w:r>
                  <w:r>
                    <w:rPr>
                      <w:rFonts w:hint="default" w:ascii="Times New Roman" w:hAnsi="Times New Roman" w:eastAsia="宋体" w:cs="Times New Roman"/>
                      <w:kern w:val="0"/>
                      <w:szCs w:val="21"/>
                      <w:lang w:eastAsia="zh-CN" w:bidi="en-US"/>
                    </w:rPr>
                    <w:t>《产业结构调整指导目录（2024年本）》，本项目不属于鼓励类、限制类和淘汰类，项目属于允许的建设项目</w:t>
                  </w:r>
                  <w:r>
                    <w:rPr>
                      <w:rFonts w:hint="eastAsia" w:cs="Times New Roman"/>
                      <w:kern w:val="0"/>
                      <w:szCs w:val="21"/>
                      <w:lang w:eastAsia="zh-CN" w:bidi="en-US"/>
                    </w:rPr>
                    <w:t>。</w:t>
                  </w:r>
                </w:p>
              </w:tc>
              <w:tc>
                <w:tcPr>
                  <w:tcW w:w="741" w:type="dxa"/>
                  <w:noWrap w:val="0"/>
                  <w:vAlign w:val="center"/>
                </w:tcPr>
                <w:p w14:paraId="61F3A94B">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否</w:t>
                  </w:r>
                </w:p>
              </w:tc>
            </w:tr>
            <w:tr w14:paraId="002C68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19" w:type="dxa"/>
                  <w:vMerge w:val="continue"/>
                  <w:noWrap w:val="0"/>
                  <w:vAlign w:val="center"/>
                </w:tcPr>
                <w:p w14:paraId="2D0CEE76">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kern w:val="0"/>
                      <w:szCs w:val="21"/>
                      <w:lang w:bidi="en-US"/>
                    </w:rPr>
                  </w:pPr>
                </w:p>
              </w:tc>
              <w:tc>
                <w:tcPr>
                  <w:tcW w:w="4035" w:type="dxa"/>
                  <w:noWrap w:val="0"/>
                  <w:vAlign w:val="center"/>
                </w:tcPr>
                <w:p w14:paraId="2172320B">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7、针对</w:t>
                  </w:r>
                  <w:r>
                    <w:rPr>
                      <w:rFonts w:hint="eastAsia" w:ascii="Times New Roman" w:hAnsi="Times New Roman" w:eastAsia="宋体" w:cs="Times New Roman"/>
                      <w:kern w:val="0"/>
                      <w:szCs w:val="21"/>
                      <w:lang w:eastAsia="zh-CN" w:bidi="en-US"/>
                    </w:rPr>
                    <w:t>“</w:t>
                  </w:r>
                  <w:r>
                    <w:rPr>
                      <w:rFonts w:hint="default" w:ascii="Times New Roman" w:hAnsi="Times New Roman" w:eastAsia="宋体" w:cs="Times New Roman"/>
                      <w:kern w:val="0"/>
                      <w:szCs w:val="21"/>
                      <w:lang w:bidi="en-US"/>
                    </w:rPr>
                    <w:t>C制造业</w:t>
                  </w:r>
                  <w:r>
                    <w:rPr>
                      <w:rFonts w:hint="eastAsia" w:ascii="Times New Roman" w:hAnsi="Times New Roman" w:eastAsia="宋体" w:cs="Times New Roman"/>
                      <w:kern w:val="0"/>
                      <w:szCs w:val="21"/>
                      <w:lang w:eastAsia="zh-CN" w:bidi="en-US"/>
                    </w:rPr>
                    <w:t>”</w:t>
                  </w:r>
                  <w:r>
                    <w:rPr>
                      <w:rFonts w:hint="default" w:ascii="Times New Roman" w:hAnsi="Times New Roman" w:eastAsia="宋体" w:cs="Times New Roman"/>
                      <w:kern w:val="0"/>
                      <w:szCs w:val="21"/>
                      <w:lang w:bidi="en-US"/>
                    </w:rPr>
                    <w:t>，新建项目清洁生产水平需达到国内</w:t>
                  </w:r>
                  <w:r>
                    <w:rPr>
                      <w:rFonts w:hint="eastAsia" w:cs="Times New Roman"/>
                      <w:kern w:val="0"/>
                      <w:szCs w:val="21"/>
                      <w:lang w:eastAsia="zh-CN" w:bidi="en-US"/>
                    </w:rPr>
                    <w:t>先进</w:t>
                  </w:r>
                  <w:r>
                    <w:rPr>
                      <w:rFonts w:hint="default" w:ascii="Times New Roman" w:hAnsi="Times New Roman" w:eastAsia="宋体" w:cs="Times New Roman"/>
                      <w:kern w:val="0"/>
                      <w:szCs w:val="21"/>
                      <w:lang w:bidi="en-US"/>
                    </w:rPr>
                    <w:cr/>
                  </w:r>
                  <w:r>
                    <w:rPr>
                      <w:rFonts w:hint="default" w:ascii="Times New Roman" w:hAnsi="Times New Roman" w:eastAsia="宋体" w:cs="Times New Roman"/>
                      <w:kern w:val="0"/>
                      <w:szCs w:val="21"/>
                      <w:lang w:bidi="en-US"/>
                    </w:rPr>
                    <w:t>水平，现有此类企业3~5年内整改达标。</w:t>
                  </w:r>
                </w:p>
              </w:tc>
              <w:tc>
                <w:tcPr>
                  <w:tcW w:w="2065" w:type="dxa"/>
                  <w:noWrap w:val="0"/>
                  <w:vAlign w:val="center"/>
                </w:tcPr>
                <w:p w14:paraId="3C9C3B70">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eastAsia" w:ascii="Times New Roman" w:hAnsi="Times New Roman" w:eastAsia="宋体" w:cs="Times New Roman"/>
                      <w:kern w:val="0"/>
                      <w:szCs w:val="21"/>
                      <w:lang w:eastAsia="zh-CN" w:bidi="en-US"/>
                    </w:rPr>
                  </w:pPr>
                  <w:r>
                    <w:rPr>
                      <w:rFonts w:hint="eastAsia" w:ascii="Times New Roman" w:hAnsi="Times New Roman" w:eastAsia="宋体" w:cs="Times New Roman"/>
                      <w:kern w:val="0"/>
                      <w:szCs w:val="21"/>
                      <w:lang w:bidi="en-US"/>
                    </w:rPr>
                    <w:t>企业清洁生产水平可达到</w:t>
                  </w:r>
                  <w:r>
                    <w:rPr>
                      <w:rFonts w:hint="default" w:ascii="Times New Roman" w:hAnsi="Times New Roman" w:eastAsia="宋体" w:cs="Times New Roman"/>
                      <w:kern w:val="0"/>
                      <w:szCs w:val="21"/>
                      <w:lang w:bidi="en-US"/>
                    </w:rPr>
                    <w:t>国内先进水平</w:t>
                  </w:r>
                  <w:r>
                    <w:rPr>
                      <w:rFonts w:hint="eastAsia" w:cs="Times New Roman"/>
                      <w:kern w:val="0"/>
                      <w:szCs w:val="21"/>
                      <w:lang w:eastAsia="zh-CN" w:bidi="en-US"/>
                    </w:rPr>
                    <w:t>。</w:t>
                  </w:r>
                </w:p>
              </w:tc>
              <w:tc>
                <w:tcPr>
                  <w:tcW w:w="741" w:type="dxa"/>
                  <w:noWrap w:val="0"/>
                  <w:vAlign w:val="center"/>
                </w:tcPr>
                <w:p w14:paraId="01731470">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否</w:t>
                  </w:r>
                </w:p>
              </w:tc>
            </w:tr>
            <w:tr w14:paraId="4A23C6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19" w:type="dxa"/>
                  <w:vMerge w:val="continue"/>
                  <w:noWrap w:val="0"/>
                  <w:vAlign w:val="center"/>
                </w:tcPr>
                <w:p w14:paraId="10B268E0">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kern w:val="0"/>
                      <w:szCs w:val="21"/>
                      <w:lang w:bidi="en-US"/>
                    </w:rPr>
                  </w:pPr>
                </w:p>
              </w:tc>
              <w:tc>
                <w:tcPr>
                  <w:tcW w:w="4035" w:type="dxa"/>
                  <w:noWrap w:val="0"/>
                  <w:vAlign w:val="center"/>
                </w:tcPr>
                <w:p w14:paraId="6AEDBEA3">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8、针对</w:t>
                  </w:r>
                  <w:r>
                    <w:rPr>
                      <w:rFonts w:hint="eastAsia" w:ascii="Times New Roman" w:hAnsi="Times New Roman" w:eastAsia="宋体" w:cs="Times New Roman"/>
                      <w:kern w:val="0"/>
                      <w:szCs w:val="21"/>
                      <w:lang w:eastAsia="zh-CN" w:bidi="en-US"/>
                    </w:rPr>
                    <w:t>“</w:t>
                  </w:r>
                  <w:r>
                    <w:rPr>
                      <w:rFonts w:hint="default" w:ascii="Times New Roman" w:hAnsi="Times New Roman" w:eastAsia="宋体" w:cs="Times New Roman"/>
                      <w:kern w:val="0"/>
                      <w:szCs w:val="21"/>
                      <w:lang w:bidi="en-US"/>
                    </w:rPr>
                    <w:t>D电力、热力、燃气及水生产和供应业，44电力、热力生产和供应业</w:t>
                  </w:r>
                  <w:r>
                    <w:rPr>
                      <w:rFonts w:hint="eastAsia" w:ascii="Times New Roman" w:hAnsi="Times New Roman" w:eastAsia="宋体" w:cs="Times New Roman"/>
                      <w:kern w:val="0"/>
                      <w:szCs w:val="21"/>
                      <w:lang w:eastAsia="zh-CN" w:bidi="en-US"/>
                    </w:rPr>
                    <w:t>”</w:t>
                  </w:r>
                  <w:r>
                    <w:rPr>
                      <w:rFonts w:hint="default" w:ascii="Times New Roman" w:hAnsi="Times New Roman" w:eastAsia="宋体" w:cs="Times New Roman"/>
                      <w:kern w:val="0"/>
                      <w:szCs w:val="21"/>
                      <w:lang w:bidi="en-US"/>
                    </w:rPr>
                    <w:t>，该类项目清洁生产水平须达到清洁生产评价指标体系的二级以上水平，华润电力应满足《河北省节能</w:t>
                  </w:r>
                  <w:r>
                    <w:rPr>
                      <w:rFonts w:hint="eastAsia" w:ascii="Times New Roman" w:hAnsi="Times New Roman" w:eastAsia="宋体" w:cs="Times New Roman"/>
                      <w:kern w:val="0"/>
                      <w:szCs w:val="21"/>
                      <w:lang w:eastAsia="zh-CN" w:bidi="en-US"/>
                    </w:rPr>
                    <w:t>“</w:t>
                  </w:r>
                  <w:r>
                    <w:rPr>
                      <w:rFonts w:hint="default" w:ascii="Times New Roman" w:hAnsi="Times New Roman" w:eastAsia="宋体" w:cs="Times New Roman"/>
                      <w:kern w:val="0"/>
                      <w:szCs w:val="21"/>
                      <w:lang w:bidi="en-US"/>
                    </w:rPr>
                    <w:t>十三五</w:t>
                  </w:r>
                  <w:r>
                    <w:rPr>
                      <w:rFonts w:hint="eastAsia" w:ascii="Times New Roman" w:hAnsi="Times New Roman" w:eastAsia="宋体" w:cs="Times New Roman"/>
                      <w:kern w:val="0"/>
                      <w:szCs w:val="21"/>
                      <w:lang w:eastAsia="zh-CN" w:bidi="en-US"/>
                    </w:rPr>
                    <w:t>”</w:t>
                  </w:r>
                  <w:r>
                    <w:rPr>
                      <w:rFonts w:hint="default" w:ascii="Times New Roman" w:hAnsi="Times New Roman" w:eastAsia="宋体" w:cs="Times New Roman"/>
                      <w:kern w:val="0"/>
                      <w:szCs w:val="21"/>
                      <w:lang w:bidi="en-US"/>
                    </w:rPr>
                    <w:t>规划》提出的供电煤耗应降至305克标煤/kWh的要求。</w:t>
                  </w:r>
                </w:p>
              </w:tc>
              <w:tc>
                <w:tcPr>
                  <w:tcW w:w="2065" w:type="dxa"/>
                  <w:noWrap w:val="0"/>
                  <w:vAlign w:val="center"/>
                </w:tcPr>
                <w:p w14:paraId="2DE91960">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不涉及</w:t>
                  </w:r>
                </w:p>
              </w:tc>
              <w:tc>
                <w:tcPr>
                  <w:tcW w:w="741" w:type="dxa"/>
                  <w:noWrap w:val="0"/>
                  <w:vAlign w:val="center"/>
                </w:tcPr>
                <w:p w14:paraId="328696B1">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否</w:t>
                  </w:r>
                </w:p>
              </w:tc>
            </w:tr>
            <w:tr w14:paraId="791CE4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19" w:type="dxa"/>
                  <w:vMerge w:val="continue"/>
                  <w:noWrap w:val="0"/>
                  <w:vAlign w:val="center"/>
                </w:tcPr>
                <w:p w14:paraId="64529AAB">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kern w:val="0"/>
                      <w:szCs w:val="21"/>
                      <w:lang w:bidi="en-US"/>
                    </w:rPr>
                  </w:pPr>
                </w:p>
              </w:tc>
              <w:tc>
                <w:tcPr>
                  <w:tcW w:w="4035" w:type="dxa"/>
                  <w:noWrap w:val="0"/>
                  <w:vAlign w:val="center"/>
                </w:tcPr>
                <w:p w14:paraId="43FF55CE">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9、加快淘汰不符合产业准入政策、环境污染重、不能实现稳定达标排放的落后和过剩产能。严格控制化工、生物医药等行业的高污染项目。</w:t>
                  </w:r>
                </w:p>
              </w:tc>
              <w:tc>
                <w:tcPr>
                  <w:tcW w:w="2065" w:type="dxa"/>
                  <w:noWrap w:val="0"/>
                  <w:vAlign w:val="center"/>
                </w:tcPr>
                <w:p w14:paraId="37237E62">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eastAsia" w:ascii="Times New Roman" w:hAnsi="Times New Roman" w:eastAsia="宋体" w:cs="Times New Roman"/>
                      <w:kern w:val="0"/>
                      <w:szCs w:val="21"/>
                      <w:lang w:eastAsia="zh-CN" w:bidi="en-US"/>
                    </w:rPr>
                  </w:pPr>
                  <w:r>
                    <w:rPr>
                      <w:rFonts w:hint="default" w:ascii="Times New Roman" w:hAnsi="Times New Roman" w:eastAsia="宋体" w:cs="Times New Roman"/>
                      <w:kern w:val="0"/>
                      <w:szCs w:val="21"/>
                      <w:lang w:bidi="en-US"/>
                    </w:rPr>
                    <w:t>项目符合产业准入政策，各污染物经治理后均能稳定达标排放满足排放标准要求</w:t>
                  </w:r>
                  <w:r>
                    <w:rPr>
                      <w:rFonts w:hint="eastAsia" w:cs="Times New Roman"/>
                      <w:kern w:val="0"/>
                      <w:szCs w:val="21"/>
                      <w:lang w:eastAsia="zh-CN" w:bidi="en-US"/>
                    </w:rPr>
                    <w:t>。</w:t>
                  </w:r>
                </w:p>
              </w:tc>
              <w:tc>
                <w:tcPr>
                  <w:tcW w:w="741" w:type="dxa"/>
                  <w:noWrap w:val="0"/>
                  <w:vAlign w:val="center"/>
                </w:tcPr>
                <w:p w14:paraId="13C5B9FB">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否</w:t>
                  </w:r>
                </w:p>
              </w:tc>
            </w:tr>
            <w:tr w14:paraId="282F44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19" w:type="dxa"/>
                  <w:vMerge w:val="continue"/>
                  <w:noWrap w:val="0"/>
                  <w:vAlign w:val="center"/>
                </w:tcPr>
                <w:p w14:paraId="44F5D10D">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kern w:val="0"/>
                      <w:szCs w:val="21"/>
                      <w:lang w:bidi="en-US"/>
                    </w:rPr>
                  </w:pPr>
                </w:p>
              </w:tc>
              <w:tc>
                <w:tcPr>
                  <w:tcW w:w="4035" w:type="dxa"/>
                  <w:noWrap w:val="0"/>
                  <w:vAlign w:val="center"/>
                </w:tcPr>
                <w:p w14:paraId="111A83E1">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10、严格落实京津冀、环渤海治理要求，特别是挥发性有机物、臭氧、氮氧化物的协同治理工作，严格相关项目污染物排放标准，有效应对污染天气和配合渤海综合整治工作。</w:t>
                  </w:r>
                </w:p>
              </w:tc>
              <w:tc>
                <w:tcPr>
                  <w:tcW w:w="2065" w:type="dxa"/>
                  <w:noWrap w:val="0"/>
                  <w:vAlign w:val="center"/>
                </w:tcPr>
                <w:p w14:paraId="60C34E37">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eastAsia" w:ascii="Times New Roman" w:hAnsi="Times New Roman" w:eastAsia="宋体" w:cs="Times New Roman"/>
                      <w:kern w:val="0"/>
                      <w:szCs w:val="21"/>
                      <w:lang w:eastAsia="zh-CN" w:bidi="en-US"/>
                    </w:rPr>
                  </w:pPr>
                  <w:r>
                    <w:rPr>
                      <w:rFonts w:hint="default" w:ascii="Times New Roman" w:hAnsi="Times New Roman" w:eastAsia="宋体" w:cs="Times New Roman"/>
                      <w:kern w:val="0"/>
                      <w:szCs w:val="21"/>
                      <w:lang w:bidi="en-US"/>
                    </w:rPr>
                    <w:t>按《关于京津冀大气污染传输通道城市执行大气污染物特别排放限值的公告》，废气污染物排放执行特别排放限值</w:t>
                  </w:r>
                  <w:r>
                    <w:rPr>
                      <w:rFonts w:hint="eastAsia" w:cs="Times New Roman"/>
                      <w:kern w:val="0"/>
                      <w:szCs w:val="21"/>
                      <w:lang w:eastAsia="zh-CN" w:bidi="en-US"/>
                    </w:rPr>
                    <w:t>。</w:t>
                  </w:r>
                </w:p>
              </w:tc>
              <w:tc>
                <w:tcPr>
                  <w:tcW w:w="741" w:type="dxa"/>
                  <w:noWrap w:val="0"/>
                  <w:vAlign w:val="center"/>
                </w:tcPr>
                <w:p w14:paraId="48DA3D8A">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否</w:t>
                  </w:r>
                </w:p>
              </w:tc>
            </w:tr>
          </w:tbl>
          <w:p w14:paraId="37F27C8F">
            <w:pPr>
              <w:keepNext w:val="0"/>
              <w:keepLines w:val="0"/>
              <w:suppressLineNumbers w:val="0"/>
              <w:spacing w:before="0" w:beforeAutospacing="0" w:after="0" w:afterAutospacing="0" w:line="480" w:lineRule="atLeast"/>
              <w:ind w:left="0" w:right="0" w:firstLine="480" w:firstLineChars="200"/>
              <w:rPr>
                <w:rFonts w:hint="eastAsia" w:cs="Times New Roman"/>
                <w:color w:val="auto"/>
                <w:sz w:val="24"/>
                <w:highlight w:val="none"/>
                <w:lang w:val="en-US" w:eastAsia="zh-CN"/>
              </w:rPr>
            </w:pPr>
            <w:r>
              <w:rPr>
                <w:rFonts w:hint="eastAsia"/>
                <w:color w:val="auto"/>
                <w:sz w:val="24"/>
                <w:highlight w:val="none"/>
                <w:lang w:val="en-US" w:eastAsia="zh-CN"/>
              </w:rPr>
              <w:t>根据上表，本项目满足</w:t>
            </w:r>
            <w:r>
              <w:rPr>
                <w:rFonts w:hint="eastAsia" w:ascii="Times New Roman" w:hAnsi="Times New Roman" w:eastAsia="宋体" w:cs="Times New Roman"/>
                <w:color w:val="auto"/>
                <w:sz w:val="24"/>
                <w:highlight w:val="none"/>
                <w:lang w:val="en-US" w:eastAsia="zh-CN"/>
              </w:rPr>
              <w:t>《沧州渤海新区临港经济技术开发区片区总体规划（2019-2030）环境影响报告书》提出的“生态环境准入清单”</w:t>
            </w:r>
            <w:r>
              <w:rPr>
                <w:rFonts w:hint="eastAsia" w:cs="Times New Roman"/>
                <w:color w:val="auto"/>
                <w:sz w:val="24"/>
                <w:highlight w:val="none"/>
                <w:lang w:val="en-US" w:eastAsia="zh-CN"/>
              </w:rPr>
              <w:t>的要求。</w:t>
            </w:r>
          </w:p>
          <w:p w14:paraId="45F1803D">
            <w:pPr>
              <w:keepNext w:val="0"/>
              <w:keepLines w:val="0"/>
              <w:suppressLineNumbers w:val="0"/>
              <w:spacing w:before="0" w:beforeAutospacing="0" w:after="0" w:afterAutospacing="0" w:line="480" w:lineRule="atLeast"/>
              <w:ind w:left="0" w:right="0" w:firstLine="480" w:firstLineChars="200"/>
              <w:rPr>
                <w:rFonts w:hint="eastAsia" w:ascii="Times New Roman" w:hAnsi="Times New Roman" w:eastAsia="宋体" w:cs="Times New Roman"/>
                <w:color w:val="auto"/>
                <w:sz w:val="24"/>
                <w:highlight w:val="none"/>
                <w:lang w:val="en-US" w:eastAsia="zh-CN"/>
              </w:rPr>
            </w:pPr>
            <w:r>
              <w:rPr>
                <w:rFonts w:hint="default" w:ascii="Times New Roman" w:hAnsi="Times New Roman" w:eastAsia="微软雅黑" w:cs="Times New Roman"/>
                <w:color w:val="auto"/>
                <w:sz w:val="24"/>
                <w:highlight w:val="none"/>
                <w:lang w:val="en-US" w:eastAsia="zh-CN"/>
              </w:rPr>
              <w:t>④</w:t>
            </w:r>
            <w:r>
              <w:rPr>
                <w:rFonts w:hint="eastAsia" w:ascii="Times New Roman" w:hAnsi="Times New Roman" w:eastAsia="宋体" w:cs="Times New Roman"/>
                <w:color w:val="auto"/>
                <w:sz w:val="24"/>
                <w:highlight w:val="none"/>
                <w:lang w:val="en-US" w:eastAsia="zh-CN"/>
              </w:rPr>
              <w:t>本项目与《沧州渤海新区临港经济技术开发区片区总体规划（2019-2030）环境影响报告书》提出的“</w:t>
            </w:r>
            <w:r>
              <w:rPr>
                <w:rFonts w:hint="eastAsia" w:ascii="Times New Roman" w:hAnsi="Times New Roman" w:cs="Times New Roman"/>
                <w:color w:val="auto"/>
                <w:sz w:val="24"/>
                <w:highlight w:val="none"/>
                <w:lang w:val="en-US" w:eastAsia="zh-CN"/>
              </w:rPr>
              <w:t>环境影响减缓对策和措施</w:t>
            </w:r>
            <w:r>
              <w:rPr>
                <w:rFonts w:hint="eastAsia" w:ascii="Times New Roman" w:hAnsi="Times New Roman" w:eastAsia="宋体" w:cs="Times New Roman"/>
                <w:color w:val="auto"/>
                <w:sz w:val="24"/>
                <w:highlight w:val="none"/>
                <w:lang w:val="en-US" w:eastAsia="zh-CN"/>
              </w:rPr>
              <w:t>”的符合性分析见下表。</w:t>
            </w:r>
          </w:p>
          <w:p w14:paraId="10676E92">
            <w:pPr>
              <w:keepNext w:val="0"/>
              <w:keepLines w:val="0"/>
              <w:suppressLineNumbers w:val="0"/>
              <w:spacing w:before="157" w:beforeLines="50" w:beforeAutospacing="0" w:after="0" w:afterAutospacing="0" w:line="240" w:lineRule="auto"/>
              <w:ind w:left="0" w:right="0" w:firstLine="422" w:firstLineChars="200"/>
              <w:jc w:val="center"/>
              <w:rPr>
                <w:rFonts w:hint="default" w:ascii="Times New Roman" w:hAnsi="Times New Roman" w:eastAsia="宋体" w:cs="Times New Roman"/>
                <w:kern w:val="0"/>
                <w:sz w:val="24"/>
                <w:highlight w:val="none"/>
                <w:lang w:eastAsia="zh-CN"/>
              </w:rPr>
            </w:pPr>
            <w:r>
              <w:rPr>
                <w:rFonts w:hint="default" w:ascii="Times New Roman" w:hAnsi="Times New Roman" w:eastAsia="宋体" w:cs="Times New Roman"/>
                <w:b/>
                <w:bCs/>
                <w:color w:val="000000"/>
                <w:kern w:val="0"/>
                <w:sz w:val="21"/>
                <w:szCs w:val="21"/>
                <w:highlight w:val="none"/>
                <w:lang w:val="en-US" w:eastAsia="zh-CN" w:bidi="ar-SA"/>
              </w:rPr>
              <w:t>本项目与</w:t>
            </w:r>
            <w:r>
              <w:rPr>
                <w:rFonts w:hint="eastAsia" w:ascii="Times New Roman" w:hAnsi="Times New Roman" w:cs="Times New Roman"/>
                <w:b/>
                <w:bCs/>
                <w:color w:val="000000"/>
                <w:kern w:val="0"/>
                <w:sz w:val="21"/>
                <w:szCs w:val="21"/>
                <w:highlight w:val="none"/>
                <w:lang w:val="en-US" w:eastAsia="zh-CN" w:bidi="ar-SA"/>
              </w:rPr>
              <w:t>规划环评中“环境影响减缓对策和措施”</w:t>
            </w:r>
            <w:r>
              <w:rPr>
                <w:rFonts w:hint="default" w:ascii="Times New Roman" w:hAnsi="Times New Roman" w:eastAsia="宋体" w:cs="Times New Roman"/>
                <w:b/>
                <w:bCs/>
                <w:color w:val="000000"/>
                <w:kern w:val="0"/>
                <w:sz w:val="21"/>
                <w:szCs w:val="21"/>
                <w:highlight w:val="none"/>
                <w:lang w:val="en-US" w:eastAsia="zh-CN" w:bidi="ar-SA"/>
              </w:rPr>
              <w:t>的符合性</w:t>
            </w:r>
            <w:r>
              <w:rPr>
                <w:rFonts w:hint="eastAsia" w:ascii="Times New Roman" w:hAnsi="Times New Roman" w:eastAsia="宋体" w:cs="Times New Roman"/>
                <w:b/>
                <w:bCs/>
                <w:color w:val="000000"/>
                <w:kern w:val="0"/>
                <w:sz w:val="21"/>
                <w:szCs w:val="21"/>
                <w:highlight w:val="none"/>
                <w:lang w:val="en-US" w:eastAsia="zh-CN" w:bidi="ar-SA"/>
              </w:rPr>
              <w:t>分析</w:t>
            </w:r>
          </w:p>
          <w:tbl>
            <w:tblPr>
              <w:tblStyle w:val="38"/>
              <w:tblW w:w="76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61"/>
              <w:gridCol w:w="4065"/>
              <w:gridCol w:w="2699"/>
              <w:gridCol w:w="450"/>
            </w:tblGrid>
            <w:tr w14:paraId="707FEB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461" w:type="dxa"/>
                  <w:noWrap w:val="0"/>
                  <w:vAlign w:val="center"/>
                </w:tcPr>
                <w:p w14:paraId="1AA5C926">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eastAsia" w:ascii="Times New Roman" w:hAnsi="Times New Roman" w:eastAsia="宋体" w:cs="黑体"/>
                      <w:position w:val="2"/>
                      <w:sz w:val="21"/>
                      <w:szCs w:val="21"/>
                      <w:highlight w:val="none"/>
                    </w:rPr>
                  </w:pPr>
                  <w:r>
                    <w:rPr>
                      <w:rFonts w:hint="eastAsia" w:ascii="Times New Roman" w:hAnsi="Times New Roman" w:eastAsia="宋体" w:cs="黑体"/>
                      <w:position w:val="2"/>
                      <w:sz w:val="21"/>
                      <w:szCs w:val="21"/>
                      <w:highlight w:val="none"/>
                    </w:rPr>
                    <w:t>序号</w:t>
                  </w:r>
                </w:p>
              </w:tc>
              <w:tc>
                <w:tcPr>
                  <w:tcW w:w="4065" w:type="dxa"/>
                  <w:noWrap w:val="0"/>
                  <w:vAlign w:val="center"/>
                </w:tcPr>
                <w:p w14:paraId="312494B8">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eastAsia" w:ascii="Times New Roman" w:hAnsi="Times New Roman" w:eastAsia="宋体" w:cs="黑体"/>
                      <w:position w:val="2"/>
                      <w:sz w:val="21"/>
                      <w:szCs w:val="21"/>
                      <w:highlight w:val="none"/>
                    </w:rPr>
                  </w:pPr>
                  <w:r>
                    <w:rPr>
                      <w:rFonts w:hint="eastAsia" w:ascii="Times New Roman" w:hAnsi="Times New Roman" w:eastAsia="宋体" w:cs="黑体"/>
                      <w:position w:val="2"/>
                      <w:sz w:val="21"/>
                      <w:szCs w:val="21"/>
                      <w:highlight w:val="none"/>
                      <w:lang w:val="en-US" w:eastAsia="zh-CN"/>
                    </w:rPr>
                    <w:t>环境影响减缓对策和措施</w:t>
                  </w:r>
                </w:p>
              </w:tc>
              <w:tc>
                <w:tcPr>
                  <w:tcW w:w="2699" w:type="dxa"/>
                  <w:noWrap w:val="0"/>
                  <w:vAlign w:val="center"/>
                </w:tcPr>
                <w:p w14:paraId="2838A28A">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eastAsia" w:ascii="Times New Roman" w:hAnsi="Times New Roman" w:eastAsia="宋体" w:cs="黑体"/>
                      <w:position w:val="2"/>
                      <w:sz w:val="21"/>
                      <w:szCs w:val="21"/>
                      <w:highlight w:val="none"/>
                    </w:rPr>
                  </w:pPr>
                  <w:r>
                    <w:rPr>
                      <w:rFonts w:hint="eastAsia" w:ascii="Times New Roman" w:hAnsi="Times New Roman" w:eastAsia="宋体" w:cs="黑体"/>
                      <w:position w:val="2"/>
                      <w:sz w:val="21"/>
                      <w:szCs w:val="21"/>
                      <w:highlight w:val="none"/>
                    </w:rPr>
                    <w:t>本项目</w:t>
                  </w:r>
                </w:p>
              </w:tc>
              <w:tc>
                <w:tcPr>
                  <w:tcW w:w="450" w:type="dxa"/>
                  <w:noWrap w:val="0"/>
                  <w:vAlign w:val="center"/>
                </w:tcPr>
                <w:p w14:paraId="552763A7">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eastAsia" w:ascii="Times New Roman" w:hAnsi="Times New Roman" w:eastAsia="宋体" w:cs="黑体"/>
                      <w:position w:val="2"/>
                      <w:sz w:val="21"/>
                      <w:szCs w:val="21"/>
                      <w:highlight w:val="none"/>
                    </w:rPr>
                  </w:pPr>
                  <w:r>
                    <w:rPr>
                      <w:rFonts w:hint="eastAsia" w:ascii="Times New Roman" w:hAnsi="Times New Roman" w:eastAsia="宋体" w:cs="黑体"/>
                      <w:position w:val="2"/>
                      <w:sz w:val="21"/>
                      <w:szCs w:val="21"/>
                      <w:highlight w:val="none"/>
                    </w:rPr>
                    <w:t>结论</w:t>
                  </w:r>
                </w:p>
              </w:tc>
            </w:tr>
            <w:tr w14:paraId="5EC2FE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461" w:type="dxa"/>
                  <w:noWrap w:val="0"/>
                  <w:vAlign w:val="center"/>
                </w:tcPr>
                <w:p w14:paraId="6284CD31">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eastAsia" w:ascii="Times New Roman" w:hAnsi="Times New Roman" w:eastAsia="宋体" w:cs="黑体"/>
                      <w:position w:val="2"/>
                      <w:sz w:val="21"/>
                      <w:szCs w:val="21"/>
                      <w:highlight w:val="none"/>
                    </w:rPr>
                  </w:pPr>
                  <w:r>
                    <w:rPr>
                      <w:rFonts w:hint="eastAsia" w:ascii="Times New Roman" w:hAnsi="Times New Roman" w:eastAsia="宋体" w:cs="黑体"/>
                      <w:position w:val="2"/>
                      <w:sz w:val="21"/>
                      <w:szCs w:val="21"/>
                      <w:highlight w:val="none"/>
                    </w:rPr>
                    <w:t>1</w:t>
                  </w:r>
                </w:p>
              </w:tc>
              <w:tc>
                <w:tcPr>
                  <w:tcW w:w="4065" w:type="dxa"/>
                  <w:shd w:val="clear" w:color="auto" w:fill="auto"/>
                  <w:noWrap w:val="0"/>
                  <w:vAlign w:val="center"/>
                </w:tcPr>
                <w:p w14:paraId="587574B3">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both"/>
                    <w:textAlignment w:val="auto"/>
                    <w:rPr>
                      <w:rFonts w:hint="eastAsia" w:ascii="Times New Roman" w:hAnsi="Times New Roman" w:eastAsia="宋体" w:cs="黑体"/>
                      <w:kern w:val="2"/>
                      <w:position w:val="2"/>
                      <w:sz w:val="21"/>
                      <w:szCs w:val="21"/>
                      <w:highlight w:val="none"/>
                      <w:lang w:val="en-US" w:eastAsia="zh-CN" w:bidi="ar-SA"/>
                    </w:rPr>
                  </w:pPr>
                  <w:r>
                    <w:rPr>
                      <w:rFonts w:hint="eastAsia" w:ascii="Times New Roman" w:hAnsi="Times New Roman" w:eastAsia="宋体" w:cs="黑体"/>
                      <w:position w:val="2"/>
                      <w:sz w:val="21"/>
                      <w:szCs w:val="21"/>
                      <w:highlight w:val="none"/>
                      <w:lang w:val="en-US" w:eastAsia="zh-CN"/>
                    </w:rPr>
                    <w:t>临港开发区目前已完成现有工业企业的分表计电工作，应进一步督促规划项目落实该项要求，并在规划项目可行性研究阶段即落实分表计电措施，实现对污染企业用电量实时监管，有效杜绝企业擅自停运或不正常运行治污设施、未按要求落实错峰生产和重污染天气应急减排措施等环境违法行为，实现对企业污染处理设施运行情况的精准管理。</w:t>
                  </w:r>
                </w:p>
              </w:tc>
              <w:tc>
                <w:tcPr>
                  <w:tcW w:w="2699" w:type="dxa"/>
                  <w:shd w:val="clear" w:color="auto" w:fill="auto"/>
                  <w:noWrap w:val="0"/>
                  <w:vAlign w:val="center"/>
                </w:tcPr>
                <w:p w14:paraId="68378DE9">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both"/>
                    <w:textAlignment w:val="auto"/>
                    <w:rPr>
                      <w:rFonts w:hint="eastAsia" w:ascii="Times New Roman" w:hAnsi="Times New Roman" w:eastAsia="宋体" w:cs="黑体"/>
                      <w:kern w:val="2"/>
                      <w:position w:val="2"/>
                      <w:sz w:val="21"/>
                      <w:szCs w:val="21"/>
                      <w:highlight w:val="none"/>
                      <w:lang w:val="en-US" w:eastAsia="zh-CN" w:bidi="ar-SA"/>
                    </w:rPr>
                  </w:pPr>
                  <w:r>
                    <w:rPr>
                      <w:rFonts w:hint="eastAsia" w:ascii="Times New Roman" w:hAnsi="Times New Roman" w:eastAsia="宋体" w:cs="黑体"/>
                      <w:position w:val="2"/>
                      <w:sz w:val="21"/>
                      <w:szCs w:val="21"/>
                      <w:highlight w:val="none"/>
                    </w:rPr>
                    <w:t>项目</w:t>
                  </w:r>
                  <w:r>
                    <w:rPr>
                      <w:rFonts w:hint="eastAsia" w:ascii="Times New Roman" w:hAnsi="Times New Roman" w:cs="黑体"/>
                      <w:position w:val="2"/>
                      <w:sz w:val="21"/>
                      <w:szCs w:val="21"/>
                      <w:highlight w:val="none"/>
                      <w:lang w:eastAsia="zh-CN"/>
                    </w:rPr>
                    <w:t>严格落实分表计电措施</w:t>
                  </w:r>
                  <w:r>
                    <w:rPr>
                      <w:rFonts w:hint="eastAsia" w:cs="黑体"/>
                      <w:position w:val="2"/>
                      <w:sz w:val="21"/>
                      <w:szCs w:val="21"/>
                      <w:highlight w:val="none"/>
                      <w:lang w:eastAsia="zh-CN"/>
                    </w:rPr>
                    <w:t>及</w:t>
                  </w:r>
                  <w:r>
                    <w:rPr>
                      <w:rFonts w:hint="eastAsia" w:ascii="Times New Roman" w:hAnsi="Times New Roman" w:cs="黑体"/>
                      <w:position w:val="2"/>
                      <w:sz w:val="21"/>
                      <w:szCs w:val="21"/>
                      <w:highlight w:val="none"/>
                      <w:lang w:eastAsia="zh-CN"/>
                    </w:rPr>
                    <w:t>重污染天气应急减排措施</w:t>
                  </w:r>
                  <w:r>
                    <w:rPr>
                      <w:rFonts w:hint="eastAsia" w:ascii="Times New Roman" w:hAnsi="Times New Roman" w:eastAsia="宋体" w:cs="黑体"/>
                      <w:position w:val="2"/>
                      <w:sz w:val="21"/>
                      <w:szCs w:val="21"/>
                      <w:highlight w:val="none"/>
                    </w:rPr>
                    <w:t>。</w:t>
                  </w:r>
                </w:p>
              </w:tc>
              <w:tc>
                <w:tcPr>
                  <w:tcW w:w="450" w:type="dxa"/>
                  <w:noWrap w:val="0"/>
                  <w:vAlign w:val="center"/>
                </w:tcPr>
                <w:p w14:paraId="4B5F26E3">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eastAsia" w:ascii="Times New Roman" w:hAnsi="Times New Roman" w:eastAsia="宋体" w:cs="黑体"/>
                      <w:position w:val="2"/>
                      <w:sz w:val="21"/>
                      <w:szCs w:val="21"/>
                      <w:highlight w:val="none"/>
                    </w:rPr>
                  </w:pPr>
                  <w:r>
                    <w:rPr>
                      <w:rFonts w:hint="eastAsia" w:ascii="Times New Roman" w:hAnsi="Times New Roman" w:eastAsia="宋体" w:cs="黑体"/>
                      <w:position w:val="2"/>
                      <w:sz w:val="21"/>
                      <w:szCs w:val="21"/>
                      <w:highlight w:val="none"/>
                    </w:rPr>
                    <w:t>符合</w:t>
                  </w:r>
                </w:p>
              </w:tc>
            </w:tr>
            <w:tr w14:paraId="6A7015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461" w:type="dxa"/>
                  <w:noWrap w:val="0"/>
                  <w:vAlign w:val="center"/>
                </w:tcPr>
                <w:p w14:paraId="510A103A">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eastAsia" w:ascii="Times New Roman" w:hAnsi="Times New Roman" w:eastAsia="宋体" w:cs="黑体"/>
                      <w:position w:val="2"/>
                      <w:sz w:val="21"/>
                      <w:szCs w:val="21"/>
                      <w:highlight w:val="none"/>
                    </w:rPr>
                  </w:pPr>
                  <w:r>
                    <w:rPr>
                      <w:rFonts w:hint="eastAsia" w:ascii="Times New Roman" w:hAnsi="Times New Roman" w:eastAsia="宋体" w:cs="黑体"/>
                      <w:position w:val="2"/>
                      <w:sz w:val="21"/>
                      <w:szCs w:val="21"/>
                      <w:highlight w:val="none"/>
                    </w:rPr>
                    <w:t>2</w:t>
                  </w:r>
                </w:p>
              </w:tc>
              <w:tc>
                <w:tcPr>
                  <w:tcW w:w="4065" w:type="dxa"/>
                  <w:shd w:val="clear" w:color="auto" w:fill="auto"/>
                  <w:noWrap w:val="0"/>
                  <w:vAlign w:val="center"/>
                </w:tcPr>
                <w:p w14:paraId="0BF3E5E0">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both"/>
                    <w:textAlignment w:val="auto"/>
                    <w:rPr>
                      <w:rFonts w:hint="eastAsia" w:ascii="Times New Roman" w:hAnsi="Times New Roman" w:eastAsia="宋体" w:cs="黑体"/>
                      <w:kern w:val="2"/>
                      <w:position w:val="2"/>
                      <w:sz w:val="21"/>
                      <w:szCs w:val="21"/>
                      <w:highlight w:val="none"/>
                      <w:lang w:val="en-US" w:eastAsia="zh-CN" w:bidi="ar-SA"/>
                    </w:rPr>
                  </w:pPr>
                  <w:r>
                    <w:rPr>
                      <w:rFonts w:hint="eastAsia" w:ascii="Times New Roman" w:hAnsi="Times New Roman" w:eastAsia="宋体" w:cs="黑体"/>
                      <w:position w:val="2"/>
                      <w:sz w:val="21"/>
                      <w:szCs w:val="21"/>
                      <w:highlight w:val="none"/>
                      <w:lang w:val="en-US" w:eastAsia="zh-CN"/>
                    </w:rPr>
                    <w:t>按照《制药工业大气污染物排放标准》、《石油化学工业污染物排放标准》、《合成树脂工业污染物排放标准》等行业污染物排放标准，加快现有重点行业特别排放限值改造，加强大气污染排放监督管理，深入实施工业企业排放达标计划。加强源头和过程控制，强化重点行业清洁生产强制审核，完善末端治理，推进重点行业最佳实用技术应用，严格污染治理设施运行管理，将烟气在线监测数据作为执法依据，加大超标处罚和联合惩戒力度，未达标排放的企业一律依法停产整治。</w:t>
                  </w:r>
                </w:p>
              </w:tc>
              <w:tc>
                <w:tcPr>
                  <w:tcW w:w="2699" w:type="dxa"/>
                  <w:shd w:val="clear" w:color="auto" w:fill="auto"/>
                  <w:noWrap w:val="0"/>
                  <w:vAlign w:val="center"/>
                </w:tcPr>
                <w:p w14:paraId="557F90EE">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both"/>
                    <w:textAlignment w:val="auto"/>
                    <w:rPr>
                      <w:rFonts w:hint="eastAsia" w:ascii="Times New Roman" w:hAnsi="Times New Roman" w:eastAsia="宋体" w:cs="黑体"/>
                      <w:kern w:val="2"/>
                      <w:position w:val="2"/>
                      <w:sz w:val="21"/>
                      <w:szCs w:val="21"/>
                      <w:highlight w:val="none"/>
                      <w:lang w:val="en-US" w:eastAsia="zh-CN" w:bidi="ar-SA"/>
                    </w:rPr>
                  </w:pPr>
                  <w:r>
                    <w:rPr>
                      <w:rFonts w:hint="eastAsia" w:ascii="Times New Roman" w:hAnsi="Times New Roman" w:cs="Times New Roman"/>
                      <w:color w:val="000000"/>
                      <w:szCs w:val="21"/>
                      <w:highlight w:val="none"/>
                      <w:lang w:eastAsia="zh-CN"/>
                    </w:rPr>
                    <w:t>本项目有组织</w:t>
                  </w:r>
                  <w:r>
                    <w:rPr>
                      <w:rFonts w:hint="eastAsia" w:ascii="Times New Roman" w:hAnsi="Times New Roman" w:cs="Times New Roman"/>
                      <w:color w:val="000000"/>
                      <w:szCs w:val="21"/>
                      <w:highlight w:val="none"/>
                    </w:rPr>
                    <w:t>污染物排放满足</w:t>
                  </w:r>
                  <w:r>
                    <w:rPr>
                      <w:rFonts w:hint="eastAsia" w:ascii="Times New Roman" w:hAnsi="Times New Roman" w:eastAsia="宋体" w:cs="Times New Roman"/>
                      <w:color w:val="auto"/>
                      <w:sz w:val="21"/>
                      <w:szCs w:val="21"/>
                      <w:highlight w:val="none"/>
                      <w:lang w:eastAsia="zh-CN"/>
                    </w:rPr>
                    <w:t>《合成树脂工业污染物排放标准》(GB31572-2015，含2024年修改单)表5大气污染物特别排放限值要求</w:t>
                  </w:r>
                  <w:r>
                    <w:rPr>
                      <w:rFonts w:hint="eastAsia" w:ascii="Times New Roman" w:hAnsi="Times New Roman" w:cs="Times New Roman"/>
                      <w:color w:val="auto"/>
                      <w:sz w:val="21"/>
                      <w:szCs w:val="21"/>
                      <w:highlight w:val="none"/>
                      <w:lang w:eastAsia="zh-CN"/>
                    </w:rPr>
                    <w:t>、</w:t>
                  </w:r>
                  <w:r>
                    <w:rPr>
                      <w:rFonts w:hint="default" w:ascii="Times New Roman" w:hAnsi="Times New Roman" w:cs="Times New Roman"/>
                      <w:szCs w:val="21"/>
                      <w:highlight w:val="none"/>
                    </w:rPr>
                    <w:t>《工业企业挥发性有机物排放控制标准》（DB13/2322-20</w:t>
                  </w:r>
                  <w:r>
                    <w:rPr>
                      <w:rFonts w:hint="eastAsia" w:cs="Times New Roman"/>
                      <w:szCs w:val="21"/>
                      <w:highlight w:val="none"/>
                      <w:lang w:val="en-US" w:eastAsia="zh-CN"/>
                    </w:rPr>
                    <w:t>25</w:t>
                  </w:r>
                  <w:r>
                    <w:rPr>
                      <w:rFonts w:hint="default" w:ascii="Times New Roman" w:hAnsi="Times New Roman" w:cs="Times New Roman"/>
                      <w:szCs w:val="21"/>
                      <w:highlight w:val="none"/>
                    </w:rPr>
                    <w:t>）表1中</w:t>
                  </w:r>
                  <w:r>
                    <w:rPr>
                      <w:rFonts w:hint="eastAsia" w:cs="Times New Roman"/>
                      <w:szCs w:val="21"/>
                      <w:highlight w:val="none"/>
                      <w:lang w:eastAsia="zh-CN"/>
                    </w:rPr>
                    <w:t>塑料制品制造行业排放限值要求、《印刷工业挥发性有机物排放标准》（</w:t>
                  </w:r>
                  <w:r>
                    <w:rPr>
                      <w:rFonts w:hint="eastAsia" w:cs="Times New Roman"/>
                      <w:szCs w:val="21"/>
                      <w:highlight w:val="none"/>
                      <w:lang w:val="en-US" w:eastAsia="zh-CN"/>
                    </w:rPr>
                    <w:t>DB13/6188-2025）</w:t>
                  </w:r>
                  <w:r>
                    <w:rPr>
                      <w:rFonts w:hint="default" w:ascii="Times New Roman" w:hAnsi="Times New Roman" w:cs="Times New Roman"/>
                      <w:szCs w:val="21"/>
                      <w:highlight w:val="none"/>
                    </w:rPr>
                    <w:t>表1中</w:t>
                  </w:r>
                  <w:r>
                    <w:rPr>
                      <w:rFonts w:hint="eastAsia" w:cs="Times New Roman"/>
                      <w:szCs w:val="21"/>
                      <w:highlight w:val="none"/>
                      <w:lang w:eastAsia="zh-CN"/>
                    </w:rPr>
                    <w:t>排放限值要求</w:t>
                  </w:r>
                  <w:r>
                    <w:rPr>
                      <w:rFonts w:hint="eastAsia" w:ascii="Times New Roman" w:hAnsi="Times New Roman" w:cs="Times New Roman"/>
                      <w:szCs w:val="21"/>
                      <w:highlight w:val="none"/>
                      <w:lang w:eastAsia="zh-CN"/>
                    </w:rPr>
                    <w:t>。</w:t>
                  </w:r>
                </w:p>
              </w:tc>
              <w:tc>
                <w:tcPr>
                  <w:tcW w:w="450" w:type="dxa"/>
                  <w:noWrap w:val="0"/>
                  <w:vAlign w:val="center"/>
                </w:tcPr>
                <w:p w14:paraId="62CA36E9">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eastAsia" w:ascii="Times New Roman" w:hAnsi="Times New Roman" w:eastAsia="宋体" w:cs="黑体"/>
                      <w:position w:val="2"/>
                      <w:sz w:val="21"/>
                      <w:szCs w:val="21"/>
                      <w:highlight w:val="none"/>
                    </w:rPr>
                  </w:pPr>
                  <w:r>
                    <w:rPr>
                      <w:rFonts w:hint="eastAsia" w:ascii="Times New Roman" w:hAnsi="Times New Roman" w:eastAsia="宋体" w:cs="黑体"/>
                      <w:position w:val="2"/>
                      <w:sz w:val="21"/>
                      <w:szCs w:val="21"/>
                      <w:highlight w:val="none"/>
                    </w:rPr>
                    <w:t>符合</w:t>
                  </w:r>
                </w:p>
              </w:tc>
            </w:tr>
            <w:tr w14:paraId="5496F4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461" w:type="dxa"/>
                  <w:noWrap w:val="0"/>
                  <w:vAlign w:val="center"/>
                </w:tcPr>
                <w:p w14:paraId="00B8E2A6">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eastAsia" w:ascii="Times New Roman" w:hAnsi="Times New Roman" w:eastAsia="宋体" w:cs="黑体"/>
                      <w:position w:val="2"/>
                      <w:sz w:val="21"/>
                      <w:szCs w:val="21"/>
                      <w:highlight w:val="none"/>
                    </w:rPr>
                  </w:pPr>
                  <w:r>
                    <w:rPr>
                      <w:rFonts w:hint="eastAsia" w:ascii="Times New Roman" w:hAnsi="Times New Roman" w:eastAsia="宋体" w:cs="黑体"/>
                      <w:position w:val="2"/>
                      <w:sz w:val="21"/>
                      <w:szCs w:val="21"/>
                      <w:highlight w:val="none"/>
                    </w:rPr>
                    <w:t>3</w:t>
                  </w:r>
                </w:p>
              </w:tc>
              <w:tc>
                <w:tcPr>
                  <w:tcW w:w="4065" w:type="dxa"/>
                  <w:shd w:val="clear" w:color="auto" w:fill="auto"/>
                  <w:noWrap w:val="0"/>
                  <w:vAlign w:val="center"/>
                </w:tcPr>
                <w:p w14:paraId="5F5CCE58">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both"/>
                    <w:textAlignment w:val="auto"/>
                    <w:rPr>
                      <w:rFonts w:hint="eastAsia" w:ascii="Times New Roman" w:hAnsi="Times New Roman" w:eastAsia="宋体" w:cs="黑体"/>
                      <w:kern w:val="2"/>
                      <w:position w:val="2"/>
                      <w:sz w:val="21"/>
                      <w:szCs w:val="21"/>
                      <w:highlight w:val="none"/>
                      <w:lang w:val="en-US" w:eastAsia="zh-CN" w:bidi="ar-SA"/>
                    </w:rPr>
                  </w:pPr>
                  <w:r>
                    <w:rPr>
                      <w:rFonts w:hint="eastAsia" w:ascii="Times New Roman" w:hAnsi="Times New Roman" w:eastAsia="宋体" w:cs="黑体"/>
                      <w:position w:val="2"/>
                      <w:sz w:val="21"/>
                      <w:szCs w:val="21"/>
                      <w:highlight w:val="none"/>
                      <w:lang w:val="en-US" w:eastAsia="zh-CN"/>
                    </w:rPr>
                    <w:t>大力推进源头替代，各企业应使用符合国家、河北省有关低（无）VOCs含量产品技术要求的原辅材料</w:t>
                  </w:r>
                  <w:r>
                    <w:rPr>
                      <w:rFonts w:hint="eastAsia" w:ascii="Times New Roman" w:hAnsi="Times New Roman" w:cs="黑体"/>
                      <w:position w:val="2"/>
                      <w:sz w:val="21"/>
                      <w:szCs w:val="21"/>
                      <w:highlight w:val="none"/>
                      <w:lang w:val="en-US" w:eastAsia="zh-CN"/>
                    </w:rPr>
                    <w:t>；</w:t>
                  </w:r>
                  <w:r>
                    <w:rPr>
                      <w:rFonts w:hint="eastAsia" w:ascii="Times New Roman" w:hAnsi="Times New Roman" w:eastAsia="宋体" w:cs="黑体"/>
                      <w:position w:val="2"/>
                      <w:sz w:val="21"/>
                      <w:szCs w:val="21"/>
                      <w:highlight w:val="none"/>
                      <w:lang w:val="en-US" w:eastAsia="zh-CN"/>
                    </w:rPr>
                    <w:t>采用先进、密闭性好的生产设备、化工物料存贮容器和输送管线，并对现有企业实施清洁工艺改造，从源头减少VOCs排放。</w:t>
                  </w:r>
                </w:p>
              </w:tc>
              <w:tc>
                <w:tcPr>
                  <w:tcW w:w="2699" w:type="dxa"/>
                  <w:shd w:val="clear" w:color="auto" w:fill="auto"/>
                  <w:noWrap w:val="0"/>
                  <w:vAlign w:val="center"/>
                </w:tcPr>
                <w:p w14:paraId="5B1FA438">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both"/>
                    <w:textAlignment w:val="auto"/>
                    <w:rPr>
                      <w:rFonts w:hint="eastAsia" w:ascii="Times New Roman" w:hAnsi="Times New Roman" w:eastAsia="宋体" w:cs="黑体"/>
                      <w:kern w:val="2"/>
                      <w:position w:val="2"/>
                      <w:sz w:val="21"/>
                      <w:szCs w:val="21"/>
                      <w:highlight w:val="none"/>
                      <w:lang w:val="en-US" w:eastAsia="zh-CN" w:bidi="ar-SA"/>
                    </w:rPr>
                  </w:pPr>
                  <w:r>
                    <w:rPr>
                      <w:rFonts w:hint="eastAsia" w:ascii="Times New Roman" w:hAnsi="Times New Roman" w:eastAsia="宋体" w:cs="黑体"/>
                      <w:position w:val="2"/>
                      <w:sz w:val="21"/>
                      <w:szCs w:val="21"/>
                      <w:highlight w:val="none"/>
                    </w:rPr>
                    <w:t>项目</w:t>
                  </w:r>
                  <w:r>
                    <w:rPr>
                      <w:rFonts w:hint="eastAsia" w:ascii="Times New Roman" w:hAnsi="Times New Roman" w:cs="黑体"/>
                      <w:position w:val="2"/>
                      <w:sz w:val="21"/>
                      <w:szCs w:val="21"/>
                      <w:highlight w:val="none"/>
                      <w:lang w:eastAsia="zh-CN"/>
                    </w:rPr>
                    <w:t>使用水性油墨、胶粘剂均属于低</w:t>
                  </w:r>
                  <w:r>
                    <w:rPr>
                      <w:rFonts w:hint="eastAsia" w:ascii="Times New Roman" w:hAnsi="Times New Roman" w:cs="黑体"/>
                      <w:position w:val="2"/>
                      <w:sz w:val="21"/>
                      <w:szCs w:val="21"/>
                      <w:highlight w:val="none"/>
                      <w:lang w:val="en-US" w:eastAsia="zh-CN"/>
                    </w:rPr>
                    <w:t>VOC</w:t>
                  </w:r>
                  <w:r>
                    <w:rPr>
                      <w:rFonts w:hint="eastAsia" w:ascii="Times New Roman" w:hAnsi="Times New Roman" w:cs="黑体"/>
                      <w:position w:val="2"/>
                      <w:sz w:val="21"/>
                      <w:szCs w:val="21"/>
                      <w:highlight w:val="none"/>
                      <w:vertAlign w:val="subscript"/>
                      <w:lang w:val="en-US" w:eastAsia="zh-CN"/>
                    </w:rPr>
                    <w:t>S</w:t>
                  </w:r>
                  <w:r>
                    <w:rPr>
                      <w:rFonts w:hint="eastAsia" w:ascii="Times New Roman" w:hAnsi="Times New Roman" w:cs="黑体"/>
                      <w:position w:val="2"/>
                      <w:sz w:val="21"/>
                      <w:szCs w:val="21"/>
                      <w:highlight w:val="none"/>
                      <w:lang w:val="en-US" w:eastAsia="zh-CN"/>
                    </w:rPr>
                    <w:t>含量产品，生产环节均在密闭车间内进行</w:t>
                  </w:r>
                  <w:r>
                    <w:rPr>
                      <w:rFonts w:hint="eastAsia" w:ascii="Times New Roman" w:hAnsi="Times New Roman" w:eastAsia="宋体" w:cs="黑体"/>
                      <w:position w:val="2"/>
                      <w:sz w:val="21"/>
                      <w:szCs w:val="21"/>
                      <w:highlight w:val="none"/>
                    </w:rPr>
                    <w:t>。</w:t>
                  </w:r>
                </w:p>
              </w:tc>
              <w:tc>
                <w:tcPr>
                  <w:tcW w:w="450" w:type="dxa"/>
                  <w:shd w:val="clear" w:color="auto" w:fill="auto"/>
                  <w:noWrap w:val="0"/>
                  <w:vAlign w:val="center"/>
                </w:tcPr>
                <w:p w14:paraId="115E5D5B">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eastAsia" w:ascii="Times New Roman" w:hAnsi="Times New Roman" w:eastAsia="宋体" w:cs="黑体"/>
                      <w:kern w:val="2"/>
                      <w:position w:val="2"/>
                      <w:sz w:val="21"/>
                      <w:szCs w:val="21"/>
                      <w:highlight w:val="none"/>
                      <w:lang w:val="en-US" w:eastAsia="zh-CN" w:bidi="ar-SA"/>
                    </w:rPr>
                  </w:pPr>
                  <w:r>
                    <w:rPr>
                      <w:rFonts w:hint="eastAsia" w:ascii="Times New Roman" w:hAnsi="Times New Roman" w:eastAsia="宋体" w:cs="黑体"/>
                      <w:position w:val="2"/>
                      <w:sz w:val="21"/>
                      <w:szCs w:val="21"/>
                      <w:highlight w:val="none"/>
                    </w:rPr>
                    <w:t>符合</w:t>
                  </w:r>
                </w:p>
              </w:tc>
            </w:tr>
          </w:tbl>
          <w:p w14:paraId="0678C818">
            <w:pPr>
              <w:keepNext w:val="0"/>
              <w:keepLines w:val="0"/>
              <w:suppressLineNumbers w:val="0"/>
              <w:spacing w:before="0" w:beforeAutospacing="0" w:after="0" w:afterAutospacing="0" w:line="480" w:lineRule="atLeast"/>
              <w:ind w:left="0" w:right="0" w:firstLine="480" w:firstLineChars="200"/>
              <w:rPr>
                <w:rFonts w:hint="eastAsia" w:cs="Times New Roman"/>
                <w:color w:val="auto"/>
                <w:sz w:val="24"/>
                <w:highlight w:val="none"/>
                <w:lang w:val="en-US" w:eastAsia="zh-CN"/>
              </w:rPr>
            </w:pPr>
            <w:r>
              <w:rPr>
                <w:rFonts w:hint="eastAsia"/>
                <w:color w:val="auto"/>
                <w:sz w:val="24"/>
                <w:highlight w:val="none"/>
                <w:lang w:val="en-US" w:eastAsia="zh-CN"/>
              </w:rPr>
              <w:t>根据上表，本项目满足</w:t>
            </w:r>
            <w:r>
              <w:rPr>
                <w:rFonts w:hint="eastAsia" w:ascii="Times New Roman" w:hAnsi="Times New Roman" w:eastAsia="宋体" w:cs="Times New Roman"/>
                <w:color w:val="auto"/>
                <w:sz w:val="24"/>
                <w:highlight w:val="none"/>
                <w:lang w:val="en-US" w:eastAsia="zh-CN"/>
              </w:rPr>
              <w:t>《沧州渤海新区临港经济技术开发区片区总体规划（2019-2030）环境影响报告书》提出的“</w:t>
            </w:r>
            <w:r>
              <w:rPr>
                <w:rFonts w:hint="eastAsia" w:ascii="Times New Roman" w:hAnsi="Times New Roman" w:cs="Times New Roman"/>
                <w:color w:val="auto"/>
                <w:sz w:val="24"/>
                <w:highlight w:val="none"/>
                <w:lang w:val="en-US" w:eastAsia="zh-CN"/>
              </w:rPr>
              <w:t>环境影响减缓对策和措施</w:t>
            </w:r>
            <w:r>
              <w:rPr>
                <w:rFonts w:hint="eastAsia" w:ascii="Times New Roman" w:hAnsi="Times New Roman" w:eastAsia="宋体" w:cs="Times New Roman"/>
                <w:color w:val="auto"/>
                <w:sz w:val="24"/>
                <w:highlight w:val="none"/>
                <w:lang w:val="en-US" w:eastAsia="zh-CN"/>
              </w:rPr>
              <w:t>”</w:t>
            </w:r>
            <w:r>
              <w:rPr>
                <w:rFonts w:hint="eastAsia" w:cs="Times New Roman"/>
                <w:color w:val="auto"/>
                <w:sz w:val="24"/>
                <w:highlight w:val="none"/>
                <w:lang w:val="en-US" w:eastAsia="zh-CN"/>
              </w:rPr>
              <w:t>的要求。</w:t>
            </w:r>
          </w:p>
          <w:p w14:paraId="2B53A451">
            <w:pPr>
              <w:keepNext w:val="0"/>
              <w:keepLines w:val="0"/>
              <w:suppressLineNumbers w:val="0"/>
              <w:autoSpaceDE w:val="0"/>
              <w:autoSpaceDN w:val="0"/>
              <w:adjustRightInd w:val="0"/>
              <w:snapToGrid w:val="0"/>
              <w:spacing w:before="0" w:beforeAutospacing="0" w:after="0" w:afterAutospacing="0" w:line="440" w:lineRule="exact"/>
              <w:ind w:left="0" w:right="0"/>
              <w:rPr>
                <w:rFonts w:hint="default" w:ascii="Times New Roman" w:hAnsi="Times New Roman" w:eastAsia="宋体" w:cs="Times New Roman"/>
                <w:color w:val="auto"/>
                <w:kern w:val="0"/>
                <w:sz w:val="24"/>
                <w:lang w:eastAsia="zh-CN"/>
              </w:rPr>
            </w:pPr>
            <w:r>
              <w:rPr>
                <w:rFonts w:hint="eastAsia" w:cs="Times New Roman"/>
                <w:color w:val="auto"/>
                <w:kern w:val="0"/>
                <w:sz w:val="24"/>
                <w:lang w:val="en-US" w:eastAsia="zh-CN"/>
              </w:rPr>
              <w:t>3</w:t>
            </w:r>
            <w:r>
              <w:rPr>
                <w:rFonts w:hint="default" w:ascii="Times New Roman" w:hAnsi="Times New Roman" w:eastAsia="宋体" w:cs="Times New Roman"/>
                <w:color w:val="auto"/>
                <w:kern w:val="0"/>
                <w:sz w:val="24"/>
                <w:lang w:eastAsia="zh-CN"/>
              </w:rPr>
              <w:t>、与规划环评审查意见的符合性分析</w:t>
            </w:r>
          </w:p>
          <w:p w14:paraId="15983161">
            <w:pPr>
              <w:keepNext w:val="0"/>
              <w:keepLines w:val="0"/>
              <w:pageBreakBefore w:val="0"/>
              <w:widowControl w:val="0"/>
              <w:suppressLineNumbers w:val="0"/>
              <w:kinsoku/>
              <w:wordWrap/>
              <w:overflowPunct/>
              <w:topLinePunct w:val="0"/>
              <w:autoSpaceDE w:val="0"/>
              <w:autoSpaceDN w:val="0"/>
              <w:bidi w:val="0"/>
              <w:adjustRightInd w:val="0"/>
              <w:snapToGrid w:val="0"/>
              <w:spacing w:before="157" w:beforeLines="50" w:beforeAutospacing="0" w:after="0" w:afterAutospacing="0" w:line="360" w:lineRule="auto"/>
              <w:ind w:left="0" w:right="0" w:firstLine="480" w:firstLineChars="200"/>
              <w:textAlignment w:val="auto"/>
              <w:rPr>
                <w:rFonts w:hint="default" w:ascii="Times New Roman" w:hAnsi="Times New Roman" w:eastAsia="宋体" w:cs="Times New Roman"/>
                <w:kern w:val="0"/>
                <w:sz w:val="24"/>
                <w:lang w:eastAsia="zh-CN"/>
              </w:rPr>
            </w:pPr>
            <w:r>
              <w:rPr>
                <w:rFonts w:hint="eastAsia" w:ascii="Times New Roman" w:hAnsi="Times New Roman" w:cs="Times New Roman"/>
                <w:color w:val="000000"/>
                <w:kern w:val="0"/>
                <w:sz w:val="24"/>
                <w:szCs w:val="20"/>
              </w:rPr>
              <w:t>本项目与规划环评审查意见</w:t>
            </w:r>
            <w:r>
              <w:rPr>
                <w:rFonts w:hint="eastAsia" w:ascii="Times New Roman" w:hAnsi="Times New Roman" w:cs="Times New Roman"/>
                <w:bCs/>
                <w:color w:val="000000"/>
                <w:kern w:val="0"/>
                <w:sz w:val="24"/>
              </w:rPr>
              <w:t>（环审〔</w:t>
            </w:r>
            <w:r>
              <w:rPr>
                <w:rFonts w:hint="default" w:ascii="Times New Roman" w:hAnsi="Times New Roman" w:cs="Times New Roman"/>
                <w:bCs/>
                <w:color w:val="000000"/>
                <w:kern w:val="0"/>
                <w:sz w:val="24"/>
              </w:rPr>
              <w:t>2020〕139</w:t>
            </w:r>
            <w:r>
              <w:rPr>
                <w:rFonts w:hint="eastAsia" w:ascii="Times New Roman" w:hAnsi="Times New Roman" w:cs="Times New Roman"/>
                <w:bCs/>
                <w:color w:val="000000"/>
                <w:kern w:val="0"/>
                <w:sz w:val="24"/>
              </w:rPr>
              <w:t>号）的符合性</w:t>
            </w:r>
            <w:r>
              <w:rPr>
                <w:rFonts w:hint="default" w:ascii="Times New Roman" w:hAnsi="Times New Roman" w:eastAsia="宋体" w:cs="Times New Roman"/>
                <w:kern w:val="0"/>
                <w:sz w:val="24"/>
                <w:lang w:eastAsia="zh-CN"/>
              </w:rPr>
              <w:t>见下表。</w:t>
            </w:r>
          </w:p>
          <w:p w14:paraId="7620865D">
            <w:pPr>
              <w:keepNext w:val="0"/>
              <w:keepLines w:val="0"/>
              <w:suppressLineNumbers w:val="0"/>
              <w:spacing w:before="0" w:beforeAutospacing="0" w:after="0" w:afterAutospacing="0" w:line="240" w:lineRule="auto"/>
              <w:ind w:left="0" w:right="0" w:firstLine="422" w:firstLineChars="200"/>
              <w:jc w:val="center"/>
              <w:rPr>
                <w:rFonts w:hint="default" w:ascii="Times New Roman" w:hAnsi="Times New Roman" w:eastAsia="宋体" w:cs="Times New Roman"/>
                <w:kern w:val="0"/>
                <w:sz w:val="24"/>
                <w:lang w:eastAsia="zh-CN"/>
              </w:rPr>
            </w:pPr>
            <w:r>
              <w:rPr>
                <w:rFonts w:hint="default" w:ascii="Times New Roman" w:hAnsi="Times New Roman" w:eastAsia="宋体" w:cs="Times New Roman"/>
                <w:b/>
                <w:bCs/>
                <w:color w:val="000000"/>
                <w:kern w:val="0"/>
                <w:sz w:val="21"/>
                <w:szCs w:val="21"/>
                <w:lang w:val="en-US" w:eastAsia="zh-CN" w:bidi="ar-SA"/>
              </w:rPr>
              <w:t>本项目与</w:t>
            </w:r>
            <w:r>
              <w:rPr>
                <w:rFonts w:hint="eastAsia" w:ascii="Times New Roman" w:hAnsi="Times New Roman" w:eastAsia="宋体" w:cs="Times New Roman"/>
                <w:b/>
                <w:bCs/>
                <w:color w:val="000000"/>
                <w:kern w:val="0"/>
                <w:sz w:val="21"/>
                <w:szCs w:val="21"/>
                <w:lang w:val="en-US" w:eastAsia="zh-CN" w:bidi="ar-SA"/>
              </w:rPr>
              <w:t>环审〔2020〕139号</w:t>
            </w:r>
            <w:r>
              <w:rPr>
                <w:rFonts w:hint="default" w:ascii="Times New Roman" w:hAnsi="Times New Roman" w:eastAsia="宋体" w:cs="Times New Roman"/>
                <w:b/>
                <w:bCs/>
                <w:color w:val="000000"/>
                <w:kern w:val="0"/>
                <w:sz w:val="21"/>
                <w:szCs w:val="21"/>
                <w:lang w:val="en-US" w:eastAsia="zh-CN" w:bidi="ar-SA"/>
              </w:rPr>
              <w:t>的符合性</w:t>
            </w:r>
            <w:r>
              <w:rPr>
                <w:rFonts w:hint="eastAsia" w:ascii="Times New Roman" w:hAnsi="Times New Roman" w:eastAsia="宋体" w:cs="Times New Roman"/>
                <w:b/>
                <w:bCs/>
                <w:color w:val="000000"/>
                <w:kern w:val="0"/>
                <w:sz w:val="21"/>
                <w:szCs w:val="21"/>
                <w:lang w:val="en-US" w:eastAsia="zh-CN" w:bidi="ar-SA"/>
              </w:rPr>
              <w:t>分析</w:t>
            </w:r>
          </w:p>
          <w:tbl>
            <w:tblPr>
              <w:tblStyle w:val="38"/>
              <w:tblW w:w="76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61"/>
              <w:gridCol w:w="3898"/>
              <w:gridCol w:w="2866"/>
              <w:gridCol w:w="450"/>
            </w:tblGrid>
            <w:tr w14:paraId="694CE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461" w:type="dxa"/>
                  <w:noWrap w:val="0"/>
                  <w:vAlign w:val="center"/>
                </w:tcPr>
                <w:p w14:paraId="5E47AAAC">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eastAsia" w:ascii="Times New Roman" w:hAnsi="Times New Roman" w:eastAsia="宋体" w:cs="黑体"/>
                      <w:position w:val="2"/>
                      <w:sz w:val="21"/>
                      <w:szCs w:val="21"/>
                    </w:rPr>
                  </w:pPr>
                  <w:r>
                    <w:rPr>
                      <w:rFonts w:hint="eastAsia" w:ascii="Times New Roman" w:hAnsi="Times New Roman" w:eastAsia="宋体" w:cs="黑体"/>
                      <w:position w:val="2"/>
                      <w:sz w:val="21"/>
                      <w:szCs w:val="21"/>
                    </w:rPr>
                    <w:t>序号</w:t>
                  </w:r>
                </w:p>
              </w:tc>
              <w:tc>
                <w:tcPr>
                  <w:tcW w:w="3898" w:type="dxa"/>
                  <w:noWrap w:val="0"/>
                  <w:vAlign w:val="center"/>
                </w:tcPr>
                <w:p w14:paraId="619329DD">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eastAsia" w:ascii="Times New Roman" w:hAnsi="Times New Roman" w:eastAsia="宋体" w:cs="黑体"/>
                      <w:position w:val="2"/>
                      <w:sz w:val="21"/>
                      <w:szCs w:val="21"/>
                    </w:rPr>
                  </w:pPr>
                  <w:r>
                    <w:rPr>
                      <w:rFonts w:hint="eastAsia" w:ascii="Times New Roman" w:hAnsi="Times New Roman" w:eastAsia="宋体" w:cs="黑体"/>
                      <w:position w:val="2"/>
                      <w:sz w:val="21"/>
                      <w:szCs w:val="21"/>
                    </w:rPr>
                    <w:t>审查意见</w:t>
                  </w:r>
                </w:p>
              </w:tc>
              <w:tc>
                <w:tcPr>
                  <w:tcW w:w="2866" w:type="dxa"/>
                  <w:noWrap w:val="0"/>
                  <w:vAlign w:val="center"/>
                </w:tcPr>
                <w:p w14:paraId="6895DFB7">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eastAsia" w:ascii="Times New Roman" w:hAnsi="Times New Roman" w:eastAsia="宋体" w:cs="黑体"/>
                      <w:position w:val="2"/>
                      <w:sz w:val="21"/>
                      <w:szCs w:val="21"/>
                    </w:rPr>
                  </w:pPr>
                  <w:r>
                    <w:rPr>
                      <w:rFonts w:hint="eastAsia" w:ascii="Times New Roman" w:hAnsi="Times New Roman" w:eastAsia="宋体" w:cs="黑体"/>
                      <w:position w:val="2"/>
                      <w:sz w:val="21"/>
                      <w:szCs w:val="21"/>
                    </w:rPr>
                    <w:t>本项目</w:t>
                  </w:r>
                </w:p>
              </w:tc>
              <w:tc>
                <w:tcPr>
                  <w:tcW w:w="450" w:type="dxa"/>
                  <w:noWrap w:val="0"/>
                  <w:vAlign w:val="center"/>
                </w:tcPr>
                <w:p w14:paraId="03388D42">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eastAsia" w:ascii="Times New Roman" w:hAnsi="Times New Roman" w:eastAsia="宋体" w:cs="黑体"/>
                      <w:position w:val="2"/>
                      <w:sz w:val="21"/>
                      <w:szCs w:val="21"/>
                    </w:rPr>
                  </w:pPr>
                  <w:r>
                    <w:rPr>
                      <w:rFonts w:hint="eastAsia" w:ascii="Times New Roman" w:hAnsi="Times New Roman" w:eastAsia="宋体" w:cs="黑体"/>
                      <w:position w:val="2"/>
                      <w:sz w:val="21"/>
                      <w:szCs w:val="21"/>
                    </w:rPr>
                    <w:t>结论</w:t>
                  </w:r>
                </w:p>
              </w:tc>
            </w:tr>
            <w:tr w14:paraId="6DCFE3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461" w:type="dxa"/>
                  <w:noWrap w:val="0"/>
                  <w:vAlign w:val="center"/>
                </w:tcPr>
                <w:p w14:paraId="5100B9CF">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eastAsia" w:ascii="Times New Roman" w:hAnsi="Times New Roman" w:eastAsia="宋体" w:cs="黑体"/>
                      <w:position w:val="2"/>
                      <w:sz w:val="21"/>
                      <w:szCs w:val="21"/>
                    </w:rPr>
                  </w:pPr>
                  <w:r>
                    <w:rPr>
                      <w:rFonts w:hint="eastAsia" w:ascii="Times New Roman" w:hAnsi="Times New Roman" w:eastAsia="宋体" w:cs="黑体"/>
                      <w:position w:val="2"/>
                      <w:sz w:val="21"/>
                      <w:szCs w:val="21"/>
                    </w:rPr>
                    <w:t>1</w:t>
                  </w:r>
                </w:p>
              </w:tc>
              <w:tc>
                <w:tcPr>
                  <w:tcW w:w="3898" w:type="dxa"/>
                  <w:noWrap w:val="0"/>
                  <w:vAlign w:val="center"/>
                </w:tcPr>
                <w:p w14:paraId="0C77799A">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both"/>
                    <w:textAlignment w:val="auto"/>
                    <w:rPr>
                      <w:rFonts w:hint="eastAsia" w:ascii="Times New Roman" w:hAnsi="Times New Roman" w:eastAsia="宋体" w:cs="黑体"/>
                      <w:position w:val="2"/>
                      <w:sz w:val="21"/>
                      <w:szCs w:val="21"/>
                    </w:rPr>
                  </w:pPr>
                  <w:r>
                    <w:rPr>
                      <w:rFonts w:hint="eastAsia" w:ascii="Times New Roman" w:hAnsi="Times New Roman" w:eastAsia="宋体" w:cs="黑体"/>
                      <w:position w:val="2"/>
                      <w:sz w:val="21"/>
                      <w:szCs w:val="21"/>
                    </w:rPr>
                    <w:t>优化调整规划定位，取消了原规划西区精细化工产业定位、东区石油化工相关产业定位。</w:t>
                  </w:r>
                </w:p>
              </w:tc>
              <w:tc>
                <w:tcPr>
                  <w:tcW w:w="2866" w:type="dxa"/>
                  <w:noWrap w:val="0"/>
                  <w:vAlign w:val="center"/>
                </w:tcPr>
                <w:p w14:paraId="73B4F035">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both"/>
                    <w:textAlignment w:val="auto"/>
                    <w:rPr>
                      <w:rFonts w:hint="eastAsia" w:ascii="Times New Roman" w:hAnsi="Times New Roman" w:eastAsia="宋体" w:cs="黑体"/>
                      <w:position w:val="2"/>
                      <w:sz w:val="21"/>
                      <w:szCs w:val="21"/>
                    </w:rPr>
                  </w:pPr>
                  <w:r>
                    <w:rPr>
                      <w:rFonts w:hint="eastAsia" w:ascii="Times New Roman" w:hAnsi="Times New Roman" w:eastAsia="宋体" w:cs="黑体"/>
                      <w:position w:val="2"/>
                      <w:sz w:val="21"/>
                      <w:szCs w:val="21"/>
                    </w:rPr>
                    <w:t>项目位于沧州临港经济技术开发区西区，在企业现有厂区内建设，不新增占地，占地为工业用地，选址符合沧州临港经济技术开发区区域规划。</w:t>
                  </w:r>
                </w:p>
              </w:tc>
              <w:tc>
                <w:tcPr>
                  <w:tcW w:w="450" w:type="dxa"/>
                  <w:noWrap w:val="0"/>
                  <w:vAlign w:val="center"/>
                </w:tcPr>
                <w:p w14:paraId="017912FB">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eastAsia" w:ascii="Times New Roman" w:hAnsi="Times New Roman" w:eastAsia="宋体" w:cs="黑体"/>
                      <w:position w:val="2"/>
                      <w:sz w:val="21"/>
                      <w:szCs w:val="21"/>
                    </w:rPr>
                  </w:pPr>
                  <w:r>
                    <w:rPr>
                      <w:rFonts w:hint="eastAsia" w:ascii="Times New Roman" w:hAnsi="Times New Roman" w:eastAsia="宋体" w:cs="黑体"/>
                      <w:position w:val="2"/>
                      <w:sz w:val="21"/>
                      <w:szCs w:val="21"/>
                    </w:rPr>
                    <w:t>符合</w:t>
                  </w:r>
                </w:p>
              </w:tc>
            </w:tr>
            <w:tr w14:paraId="631A1B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461" w:type="dxa"/>
                  <w:noWrap w:val="0"/>
                  <w:vAlign w:val="center"/>
                </w:tcPr>
                <w:p w14:paraId="2716DB73">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eastAsia" w:ascii="Times New Roman" w:hAnsi="Times New Roman" w:eastAsia="宋体" w:cs="黑体"/>
                      <w:position w:val="2"/>
                      <w:sz w:val="21"/>
                      <w:szCs w:val="21"/>
                    </w:rPr>
                  </w:pPr>
                  <w:r>
                    <w:rPr>
                      <w:rFonts w:hint="eastAsia" w:ascii="Times New Roman" w:hAnsi="Times New Roman" w:eastAsia="宋体" w:cs="黑体"/>
                      <w:position w:val="2"/>
                      <w:sz w:val="21"/>
                      <w:szCs w:val="21"/>
                    </w:rPr>
                    <w:t>2</w:t>
                  </w:r>
                </w:p>
              </w:tc>
              <w:tc>
                <w:tcPr>
                  <w:tcW w:w="3898" w:type="dxa"/>
                  <w:noWrap w:val="0"/>
                  <w:vAlign w:val="center"/>
                </w:tcPr>
                <w:p w14:paraId="58D2C433">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both"/>
                    <w:textAlignment w:val="auto"/>
                    <w:rPr>
                      <w:rFonts w:hint="eastAsia" w:ascii="Times New Roman" w:hAnsi="Times New Roman" w:eastAsia="宋体" w:cs="黑体"/>
                      <w:position w:val="2"/>
                      <w:sz w:val="21"/>
                      <w:szCs w:val="21"/>
                    </w:rPr>
                  </w:pPr>
                  <w:r>
                    <w:rPr>
                      <w:rFonts w:hint="eastAsia" w:ascii="Times New Roman" w:hAnsi="Times New Roman" w:eastAsia="宋体" w:cs="黑体"/>
                      <w:position w:val="2"/>
                      <w:sz w:val="21"/>
                      <w:szCs w:val="21"/>
                    </w:rPr>
                    <w:t>推动低能耗、低水耗、低排放的生物医药、制剂、新型化工等符合发展定位和生态环境保护要求的产业入区。</w:t>
                  </w:r>
                </w:p>
              </w:tc>
              <w:tc>
                <w:tcPr>
                  <w:tcW w:w="2866" w:type="dxa"/>
                  <w:noWrap w:val="0"/>
                  <w:vAlign w:val="center"/>
                </w:tcPr>
                <w:p w14:paraId="27223DE7">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both"/>
                    <w:textAlignment w:val="auto"/>
                    <w:rPr>
                      <w:rFonts w:hint="eastAsia" w:ascii="Times New Roman" w:hAnsi="Times New Roman" w:eastAsia="宋体" w:cs="黑体"/>
                      <w:position w:val="2"/>
                      <w:sz w:val="21"/>
                      <w:szCs w:val="21"/>
                    </w:rPr>
                  </w:pPr>
                  <w:r>
                    <w:rPr>
                      <w:rFonts w:hint="eastAsia" w:ascii="Times New Roman" w:hAnsi="Times New Roman" w:eastAsia="宋体" w:cs="黑体"/>
                      <w:position w:val="2"/>
                      <w:sz w:val="21"/>
                      <w:szCs w:val="21"/>
                    </w:rPr>
                    <w:t>项目用水、用电量较少，废气达标排放，符合园区产业定位和生态环境保护要求。</w:t>
                  </w:r>
                </w:p>
              </w:tc>
              <w:tc>
                <w:tcPr>
                  <w:tcW w:w="450" w:type="dxa"/>
                  <w:noWrap w:val="0"/>
                  <w:vAlign w:val="center"/>
                </w:tcPr>
                <w:p w14:paraId="6A9B71BA">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eastAsia" w:ascii="Times New Roman" w:hAnsi="Times New Roman" w:eastAsia="宋体" w:cs="黑体"/>
                      <w:position w:val="2"/>
                      <w:sz w:val="21"/>
                      <w:szCs w:val="21"/>
                    </w:rPr>
                  </w:pPr>
                  <w:r>
                    <w:rPr>
                      <w:rFonts w:hint="eastAsia" w:ascii="Times New Roman" w:hAnsi="Times New Roman" w:eastAsia="宋体" w:cs="黑体"/>
                      <w:position w:val="2"/>
                      <w:sz w:val="21"/>
                      <w:szCs w:val="21"/>
                    </w:rPr>
                    <w:t>符合</w:t>
                  </w:r>
                </w:p>
              </w:tc>
            </w:tr>
            <w:tr w14:paraId="4B062F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461" w:type="dxa"/>
                  <w:noWrap w:val="0"/>
                  <w:vAlign w:val="center"/>
                </w:tcPr>
                <w:p w14:paraId="170170F0">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eastAsia" w:ascii="Times New Roman" w:hAnsi="Times New Roman" w:eastAsia="宋体" w:cs="黑体"/>
                      <w:position w:val="2"/>
                      <w:sz w:val="21"/>
                      <w:szCs w:val="21"/>
                    </w:rPr>
                  </w:pPr>
                  <w:r>
                    <w:rPr>
                      <w:rFonts w:hint="eastAsia" w:ascii="Times New Roman" w:hAnsi="Times New Roman" w:eastAsia="宋体" w:cs="黑体"/>
                      <w:position w:val="2"/>
                      <w:sz w:val="21"/>
                      <w:szCs w:val="21"/>
                    </w:rPr>
                    <w:t>3</w:t>
                  </w:r>
                </w:p>
              </w:tc>
              <w:tc>
                <w:tcPr>
                  <w:tcW w:w="3898" w:type="dxa"/>
                  <w:noWrap w:val="0"/>
                  <w:vAlign w:val="center"/>
                </w:tcPr>
                <w:p w14:paraId="14794F77">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both"/>
                    <w:textAlignment w:val="auto"/>
                    <w:rPr>
                      <w:rFonts w:hint="eastAsia" w:ascii="Times New Roman" w:hAnsi="Times New Roman" w:eastAsia="宋体" w:cs="黑体"/>
                      <w:position w:val="2"/>
                      <w:sz w:val="21"/>
                      <w:szCs w:val="21"/>
                    </w:rPr>
                  </w:pPr>
                  <w:r>
                    <w:rPr>
                      <w:rFonts w:hint="eastAsia" w:ascii="Times New Roman" w:hAnsi="Times New Roman" w:eastAsia="宋体" w:cs="黑体"/>
                      <w:position w:val="2"/>
                      <w:sz w:val="21"/>
                      <w:szCs w:val="21"/>
                    </w:rPr>
                    <w:t>加快推进居民安置工作，严格控制开发区内及周边人口规模。尚未搬迁的居住区周边禁止引进涉及异味物质排放项目。</w:t>
                  </w:r>
                </w:p>
              </w:tc>
              <w:tc>
                <w:tcPr>
                  <w:tcW w:w="2866" w:type="dxa"/>
                  <w:noWrap w:val="0"/>
                  <w:vAlign w:val="center"/>
                </w:tcPr>
                <w:p w14:paraId="026FC094">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both"/>
                    <w:textAlignment w:val="auto"/>
                    <w:rPr>
                      <w:rFonts w:hint="eastAsia" w:ascii="Times New Roman" w:hAnsi="Times New Roman" w:eastAsia="宋体" w:cs="黑体"/>
                      <w:position w:val="2"/>
                      <w:sz w:val="21"/>
                      <w:szCs w:val="21"/>
                    </w:rPr>
                  </w:pPr>
                  <w:r>
                    <w:rPr>
                      <w:rFonts w:hint="eastAsia" w:ascii="Times New Roman" w:hAnsi="Times New Roman" w:eastAsia="宋体" w:cs="黑体"/>
                      <w:position w:val="2"/>
                      <w:sz w:val="21"/>
                      <w:szCs w:val="21"/>
                    </w:rPr>
                    <w:t>项目位于沧州临港经济技术开发区西区，</w:t>
                  </w:r>
                  <w:r>
                    <w:rPr>
                      <w:rFonts w:hint="eastAsia" w:cs="黑体"/>
                      <w:position w:val="2"/>
                      <w:sz w:val="21"/>
                      <w:szCs w:val="21"/>
                      <w:lang w:eastAsia="zh-CN"/>
                    </w:rPr>
                    <w:t>距离项目最近的居住区为项目东北侧</w:t>
                  </w:r>
                  <w:r>
                    <w:rPr>
                      <w:rFonts w:hint="eastAsia" w:cs="黑体"/>
                      <w:position w:val="2"/>
                      <w:sz w:val="21"/>
                      <w:szCs w:val="21"/>
                      <w:lang w:val="en-US" w:eastAsia="zh-CN"/>
                    </w:rPr>
                    <w:t>919m处刘官庄村，</w:t>
                  </w:r>
                  <w:r>
                    <w:rPr>
                      <w:rFonts w:hint="eastAsia" w:ascii="Times New Roman" w:hAnsi="Times New Roman" w:cs="Times New Roman"/>
                      <w:lang w:eastAsia="zh-CN"/>
                    </w:rPr>
                    <w:t>周边居民较少，对周边居民影响较小</w:t>
                  </w:r>
                  <w:r>
                    <w:rPr>
                      <w:rFonts w:hint="eastAsia" w:ascii="Times New Roman" w:hAnsi="Times New Roman" w:eastAsia="宋体" w:cs="黑体"/>
                      <w:position w:val="2"/>
                      <w:sz w:val="21"/>
                      <w:szCs w:val="21"/>
                    </w:rPr>
                    <w:t>。</w:t>
                  </w:r>
                </w:p>
              </w:tc>
              <w:tc>
                <w:tcPr>
                  <w:tcW w:w="450" w:type="dxa"/>
                  <w:noWrap w:val="0"/>
                  <w:vAlign w:val="center"/>
                </w:tcPr>
                <w:p w14:paraId="52A3B346">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eastAsia" w:ascii="Times New Roman" w:hAnsi="Times New Roman" w:eastAsia="宋体" w:cs="黑体"/>
                      <w:position w:val="2"/>
                      <w:sz w:val="21"/>
                      <w:szCs w:val="21"/>
                    </w:rPr>
                  </w:pPr>
                  <w:r>
                    <w:rPr>
                      <w:rFonts w:hint="eastAsia" w:ascii="Times New Roman" w:hAnsi="Times New Roman" w:eastAsia="宋体" w:cs="黑体"/>
                      <w:position w:val="2"/>
                      <w:sz w:val="21"/>
                      <w:szCs w:val="21"/>
                    </w:rPr>
                    <w:t>符合</w:t>
                  </w:r>
                </w:p>
              </w:tc>
            </w:tr>
            <w:tr w14:paraId="00F3C9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461" w:type="dxa"/>
                  <w:noWrap w:val="0"/>
                  <w:vAlign w:val="center"/>
                </w:tcPr>
                <w:p w14:paraId="4D5E7479">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eastAsia" w:ascii="Times New Roman" w:hAnsi="Times New Roman" w:eastAsia="宋体" w:cs="黑体"/>
                      <w:position w:val="2"/>
                      <w:sz w:val="21"/>
                      <w:szCs w:val="21"/>
                    </w:rPr>
                  </w:pPr>
                  <w:r>
                    <w:rPr>
                      <w:rFonts w:hint="eastAsia" w:ascii="Times New Roman" w:hAnsi="Times New Roman" w:eastAsia="宋体" w:cs="黑体"/>
                      <w:position w:val="2"/>
                      <w:sz w:val="21"/>
                      <w:szCs w:val="21"/>
                    </w:rPr>
                    <w:t>4</w:t>
                  </w:r>
                </w:p>
              </w:tc>
              <w:tc>
                <w:tcPr>
                  <w:tcW w:w="3898" w:type="dxa"/>
                  <w:noWrap w:val="0"/>
                  <w:vAlign w:val="center"/>
                </w:tcPr>
                <w:p w14:paraId="484510D0">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both"/>
                    <w:textAlignment w:val="auto"/>
                    <w:rPr>
                      <w:rFonts w:hint="eastAsia" w:ascii="Times New Roman" w:hAnsi="Times New Roman" w:eastAsia="宋体" w:cs="黑体"/>
                      <w:position w:val="2"/>
                      <w:sz w:val="21"/>
                      <w:szCs w:val="21"/>
                    </w:rPr>
                  </w:pPr>
                  <w:r>
                    <w:rPr>
                      <w:rFonts w:hint="eastAsia" w:ascii="Times New Roman" w:hAnsi="Times New Roman" w:eastAsia="宋体" w:cs="黑体"/>
                      <w:position w:val="2"/>
                      <w:sz w:val="21"/>
                      <w:szCs w:val="21"/>
                    </w:rPr>
                    <w:t>坚持“以水定产”，禁止新增与主导产业不相关污染物排放量大的项目入区，执行最严格的行业废水、废气排放控制标准，入区项目的清洁生产水平达到同行业国际先进水平。</w:t>
                  </w:r>
                </w:p>
              </w:tc>
              <w:tc>
                <w:tcPr>
                  <w:tcW w:w="2866" w:type="dxa"/>
                  <w:noWrap w:val="0"/>
                  <w:vAlign w:val="center"/>
                </w:tcPr>
                <w:p w14:paraId="3C88F455">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both"/>
                    <w:textAlignment w:val="auto"/>
                    <w:rPr>
                      <w:rFonts w:hint="eastAsia" w:ascii="Times New Roman" w:hAnsi="Times New Roman" w:eastAsia="宋体" w:cs="黑体"/>
                      <w:position w:val="2"/>
                      <w:sz w:val="21"/>
                      <w:szCs w:val="21"/>
                    </w:rPr>
                  </w:pPr>
                  <w:r>
                    <w:rPr>
                      <w:rFonts w:hint="eastAsia" w:ascii="Times New Roman" w:hAnsi="Times New Roman" w:eastAsia="宋体" w:cs="黑体"/>
                      <w:position w:val="2"/>
                      <w:sz w:val="21"/>
                      <w:szCs w:val="21"/>
                    </w:rPr>
                    <w:t>项目废气均采取了妥善的收集处理措施，</w:t>
                  </w:r>
                  <w:r>
                    <w:rPr>
                      <w:rFonts w:hint="eastAsia" w:ascii="Times New Roman" w:hAnsi="Times New Roman" w:eastAsia="宋体" w:cs="黑体"/>
                      <w:position w:val="2"/>
                      <w:sz w:val="21"/>
                      <w:szCs w:val="21"/>
                      <w:lang w:eastAsia="zh-CN"/>
                    </w:rPr>
                    <w:t>废气污染物排放量较小，</w:t>
                  </w:r>
                  <w:r>
                    <w:rPr>
                      <w:rFonts w:hint="eastAsia" w:ascii="Times New Roman" w:hAnsi="Times New Roman" w:eastAsia="宋体" w:cs="黑体"/>
                      <w:position w:val="2"/>
                      <w:sz w:val="21"/>
                      <w:szCs w:val="21"/>
                    </w:rPr>
                    <w:t>可满足相关行业排放标准；项目工艺技术成熟可靠，采用先进的设备，同时采取了多项节能降耗措施，企业清洁生产水平处于同行业国际先进水平。</w:t>
                  </w:r>
                </w:p>
              </w:tc>
              <w:tc>
                <w:tcPr>
                  <w:tcW w:w="450" w:type="dxa"/>
                  <w:noWrap w:val="0"/>
                  <w:vAlign w:val="center"/>
                </w:tcPr>
                <w:p w14:paraId="203A2B63">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eastAsia" w:ascii="Times New Roman" w:hAnsi="Times New Roman" w:eastAsia="宋体" w:cs="黑体"/>
                      <w:position w:val="2"/>
                      <w:sz w:val="21"/>
                      <w:szCs w:val="21"/>
                    </w:rPr>
                  </w:pPr>
                  <w:r>
                    <w:rPr>
                      <w:rFonts w:hint="eastAsia" w:ascii="Times New Roman" w:hAnsi="Times New Roman" w:eastAsia="宋体" w:cs="黑体"/>
                      <w:position w:val="2"/>
                      <w:sz w:val="21"/>
                      <w:szCs w:val="21"/>
                    </w:rPr>
                    <w:t>符合</w:t>
                  </w:r>
                </w:p>
              </w:tc>
            </w:tr>
            <w:tr w14:paraId="0C068F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461" w:type="dxa"/>
                  <w:noWrap w:val="0"/>
                  <w:vAlign w:val="center"/>
                </w:tcPr>
                <w:p w14:paraId="4198F556">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eastAsia" w:ascii="Times New Roman" w:hAnsi="Times New Roman" w:eastAsia="宋体" w:cs="黑体"/>
                      <w:position w:val="2"/>
                      <w:sz w:val="21"/>
                      <w:szCs w:val="21"/>
                    </w:rPr>
                  </w:pPr>
                  <w:r>
                    <w:rPr>
                      <w:rFonts w:hint="eastAsia" w:ascii="Times New Roman" w:hAnsi="Times New Roman" w:eastAsia="宋体" w:cs="黑体"/>
                      <w:position w:val="2"/>
                      <w:sz w:val="21"/>
                      <w:szCs w:val="21"/>
                    </w:rPr>
                    <w:t>5</w:t>
                  </w:r>
                </w:p>
              </w:tc>
              <w:tc>
                <w:tcPr>
                  <w:tcW w:w="3898" w:type="dxa"/>
                  <w:noWrap w:val="0"/>
                  <w:vAlign w:val="center"/>
                </w:tcPr>
                <w:p w14:paraId="43D4BF61">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both"/>
                    <w:textAlignment w:val="auto"/>
                    <w:rPr>
                      <w:rFonts w:hint="eastAsia" w:ascii="Times New Roman" w:hAnsi="Times New Roman" w:eastAsia="宋体" w:cs="黑体"/>
                      <w:position w:val="2"/>
                      <w:sz w:val="21"/>
                      <w:szCs w:val="21"/>
                    </w:rPr>
                  </w:pPr>
                  <w:r>
                    <w:rPr>
                      <w:rFonts w:hint="eastAsia" w:ascii="Times New Roman" w:hAnsi="Times New Roman" w:eastAsia="宋体" w:cs="黑体"/>
                      <w:position w:val="2"/>
                      <w:sz w:val="21"/>
                      <w:szCs w:val="21"/>
                    </w:rPr>
                    <w:t>规划所包含的近期建设项目，重点开展工程分析、清洁生产分析、环境风险评价和环保措施的可行性论证，并重点关注控制挥发性有机物排放的环保措施、应急体系建设等内容，强化环境监测和环境保护相关措施的落实。</w:t>
                  </w:r>
                </w:p>
              </w:tc>
              <w:tc>
                <w:tcPr>
                  <w:tcW w:w="2866" w:type="dxa"/>
                  <w:noWrap w:val="0"/>
                  <w:vAlign w:val="center"/>
                </w:tcPr>
                <w:p w14:paraId="31BE9E57">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both"/>
                    <w:textAlignment w:val="auto"/>
                    <w:rPr>
                      <w:rFonts w:hint="eastAsia" w:ascii="Times New Roman" w:hAnsi="Times New Roman" w:eastAsia="宋体" w:cs="黑体"/>
                      <w:position w:val="2"/>
                      <w:sz w:val="21"/>
                      <w:szCs w:val="21"/>
                    </w:rPr>
                  </w:pPr>
                  <w:r>
                    <w:rPr>
                      <w:rFonts w:hint="eastAsia" w:ascii="Times New Roman" w:hAnsi="Times New Roman" w:eastAsia="宋体" w:cs="黑体"/>
                      <w:position w:val="2"/>
                      <w:sz w:val="21"/>
                      <w:szCs w:val="21"/>
                    </w:rPr>
                    <w:t>项目对工程分析、环境风险和环保措施的可行性进行了论证分析；采取严格防治措施处理挥发性有机废气，并明确了环境风险防范措施，给出了监测计划等。</w:t>
                  </w:r>
                </w:p>
              </w:tc>
              <w:tc>
                <w:tcPr>
                  <w:tcW w:w="450" w:type="dxa"/>
                  <w:noWrap w:val="0"/>
                  <w:vAlign w:val="center"/>
                </w:tcPr>
                <w:p w14:paraId="192EBBA0">
                  <w:pPr>
                    <w:keepNext w:val="0"/>
                    <w:keepLines w:val="0"/>
                    <w:pageBreakBefore w:val="0"/>
                    <w:widowControl w:val="0"/>
                    <w:suppressLineNumbers w:val="0"/>
                    <w:kinsoku w:val="0"/>
                    <w:wordWrap/>
                    <w:overflowPunct w:val="0"/>
                    <w:topLinePunct w:val="0"/>
                    <w:autoSpaceDE w:val="0"/>
                    <w:autoSpaceDN w:val="0"/>
                    <w:bidi w:val="0"/>
                    <w:adjustRightInd w:val="0"/>
                    <w:snapToGrid/>
                    <w:spacing w:before="157" w:beforeLines="50" w:beforeAutospacing="0" w:after="157" w:afterLines="50" w:afterAutospacing="0" w:line="240" w:lineRule="auto"/>
                    <w:ind w:left="105" w:leftChars="50" w:right="105" w:rightChars="50"/>
                    <w:jc w:val="center"/>
                    <w:textAlignment w:val="auto"/>
                    <w:rPr>
                      <w:rFonts w:hint="eastAsia" w:ascii="Times New Roman" w:hAnsi="Times New Roman" w:eastAsia="宋体" w:cs="黑体"/>
                      <w:position w:val="2"/>
                      <w:sz w:val="21"/>
                      <w:szCs w:val="21"/>
                    </w:rPr>
                  </w:pPr>
                  <w:r>
                    <w:rPr>
                      <w:rFonts w:hint="eastAsia" w:ascii="Times New Roman" w:hAnsi="Times New Roman" w:eastAsia="宋体" w:cs="黑体"/>
                      <w:position w:val="2"/>
                      <w:sz w:val="21"/>
                      <w:szCs w:val="21"/>
                    </w:rPr>
                    <w:t>符合</w:t>
                  </w:r>
                </w:p>
              </w:tc>
            </w:tr>
          </w:tbl>
          <w:p w14:paraId="677B9E3F">
            <w:pPr>
              <w:keepNext w:val="0"/>
              <w:keepLines w:val="0"/>
              <w:suppressLineNumbers w:val="0"/>
              <w:autoSpaceDE w:val="0"/>
              <w:autoSpaceDN w:val="0"/>
              <w:adjustRightInd w:val="0"/>
              <w:snapToGrid w:val="0"/>
              <w:spacing w:before="0" w:beforeAutospacing="0" w:after="0" w:afterAutospacing="0" w:line="440" w:lineRule="exact"/>
              <w:ind w:left="0" w:right="0" w:firstLine="480" w:firstLineChars="200"/>
              <w:rPr>
                <w:rFonts w:hint="default" w:ascii="Times New Roman" w:hAnsi="Times New Roman" w:eastAsia="宋体" w:cs="Times New Roman"/>
                <w:color w:val="000000"/>
                <w:kern w:val="0"/>
                <w:sz w:val="24"/>
                <w:szCs w:val="20"/>
                <w:lang w:eastAsia="zh-CN"/>
              </w:rPr>
            </w:pPr>
            <w:r>
              <w:rPr>
                <w:rFonts w:hint="eastAsia" w:ascii="Times New Roman" w:hAnsi="Times New Roman" w:eastAsia="宋体" w:cs="Times New Roman"/>
                <w:color w:val="000000"/>
                <w:kern w:val="0"/>
                <w:sz w:val="24"/>
                <w:szCs w:val="20"/>
              </w:rPr>
              <w:t>综上，本项目的建设符合</w:t>
            </w:r>
            <w:r>
              <w:rPr>
                <w:rFonts w:hint="default" w:ascii="Times New Roman" w:hAnsi="Times New Roman" w:eastAsia="宋体" w:cs="Times New Roman"/>
                <w:kern w:val="0"/>
                <w:sz w:val="24"/>
              </w:rPr>
              <w:t>《</w:t>
            </w:r>
            <w:r>
              <w:rPr>
                <w:rFonts w:hint="eastAsia" w:ascii="Times New Roman" w:hAnsi="Times New Roman" w:eastAsia="宋体" w:cs="Times New Roman"/>
                <w:kern w:val="0"/>
                <w:sz w:val="24"/>
                <w:lang w:eastAsia="zh-CN"/>
              </w:rPr>
              <w:t>沧州渤海新区临港经济技术开发区片区总体</w:t>
            </w:r>
            <w:r>
              <w:rPr>
                <w:rFonts w:hint="default" w:ascii="Times New Roman" w:hAnsi="Times New Roman" w:eastAsia="宋体" w:cs="Times New Roman"/>
                <w:kern w:val="0"/>
                <w:sz w:val="24"/>
              </w:rPr>
              <w:t>规划（2019-2030年）》</w:t>
            </w:r>
            <w:r>
              <w:rPr>
                <w:rFonts w:hint="eastAsia" w:ascii="Times New Roman" w:hAnsi="Times New Roman" w:eastAsia="宋体" w:cs="Times New Roman"/>
                <w:kern w:val="0"/>
                <w:sz w:val="24"/>
                <w:lang w:eastAsia="zh-CN"/>
              </w:rPr>
              <w:t>（黄政字〔2017〕255号）、</w:t>
            </w:r>
            <w:r>
              <w:rPr>
                <w:rFonts w:hint="default" w:ascii="Times New Roman" w:hAnsi="Times New Roman" w:eastAsia="宋体" w:cs="Times New Roman"/>
                <w:kern w:val="0"/>
                <w:sz w:val="24"/>
              </w:rPr>
              <w:t>《</w:t>
            </w:r>
            <w:r>
              <w:rPr>
                <w:rFonts w:hint="eastAsia" w:ascii="Times New Roman" w:hAnsi="Times New Roman" w:eastAsia="宋体" w:cs="Times New Roman"/>
                <w:kern w:val="0"/>
                <w:sz w:val="24"/>
                <w:lang w:eastAsia="zh-CN"/>
              </w:rPr>
              <w:t>沧州渤海新区临港经济技术开发区片区总体</w:t>
            </w:r>
            <w:r>
              <w:rPr>
                <w:rFonts w:hint="default" w:ascii="Times New Roman" w:hAnsi="Times New Roman" w:eastAsia="宋体" w:cs="Times New Roman"/>
                <w:kern w:val="0"/>
                <w:sz w:val="24"/>
              </w:rPr>
              <w:t>规划（2019-2030年）环境影响报告书》</w:t>
            </w:r>
            <w:r>
              <w:rPr>
                <w:rFonts w:hint="eastAsia" w:ascii="Times New Roman" w:hAnsi="Times New Roman" w:eastAsia="宋体" w:cs="Times New Roman"/>
                <w:kern w:val="0"/>
                <w:sz w:val="24"/>
                <w:lang w:eastAsia="zh-CN"/>
              </w:rPr>
              <w:t>、《关于</w:t>
            </w:r>
            <w:r>
              <w:rPr>
                <w:rFonts w:hint="eastAsia" w:ascii="Times New Roman" w:hAnsi="Times New Roman" w:eastAsia="宋体" w:cs="Times New Roman"/>
                <w:kern w:val="0"/>
                <w:sz w:val="24"/>
                <w:lang w:val="en-US" w:eastAsia="zh-CN"/>
              </w:rPr>
              <w:t>&lt;</w:t>
            </w:r>
            <w:r>
              <w:rPr>
                <w:rFonts w:hint="eastAsia" w:ascii="Times New Roman" w:hAnsi="Times New Roman" w:eastAsia="宋体" w:cs="Times New Roman"/>
                <w:kern w:val="0"/>
                <w:sz w:val="24"/>
                <w:lang w:eastAsia="zh-CN"/>
              </w:rPr>
              <w:t>沧州渤海新区临港经济技术开发区片区总体</w:t>
            </w:r>
            <w:r>
              <w:rPr>
                <w:rFonts w:hint="default" w:ascii="Times New Roman" w:hAnsi="Times New Roman" w:eastAsia="宋体" w:cs="Times New Roman"/>
                <w:kern w:val="0"/>
                <w:sz w:val="24"/>
              </w:rPr>
              <w:t>规划（2019-2030年）环境影响报告书</w:t>
            </w:r>
            <w:r>
              <w:rPr>
                <w:rFonts w:hint="eastAsia" w:ascii="Times New Roman" w:hAnsi="Times New Roman" w:eastAsia="宋体" w:cs="Times New Roman"/>
                <w:kern w:val="0"/>
                <w:sz w:val="24"/>
                <w:lang w:val="en-US" w:eastAsia="zh-CN"/>
              </w:rPr>
              <w:t>&gt;</w:t>
            </w:r>
            <w:r>
              <w:rPr>
                <w:rFonts w:hint="eastAsia" w:ascii="Times New Roman" w:hAnsi="Times New Roman" w:eastAsia="宋体" w:cs="Times New Roman"/>
                <w:kern w:val="0"/>
                <w:sz w:val="24"/>
                <w:lang w:eastAsia="zh-CN"/>
              </w:rPr>
              <w:t>的审查意见</w:t>
            </w:r>
            <w:r>
              <w:rPr>
                <w:rFonts w:hint="default" w:ascii="Times New Roman" w:hAnsi="Times New Roman" w:eastAsia="宋体" w:cs="Times New Roman"/>
                <w:kern w:val="0"/>
                <w:sz w:val="24"/>
              </w:rPr>
              <w:t>》</w:t>
            </w:r>
            <w:r>
              <w:rPr>
                <w:rFonts w:hint="default" w:ascii="Times New Roman" w:hAnsi="Times New Roman" w:eastAsia="宋体" w:cs="Times New Roman"/>
                <w:color w:val="auto"/>
                <w:kern w:val="0"/>
                <w:sz w:val="24"/>
              </w:rPr>
              <w:t>（</w:t>
            </w:r>
            <w:r>
              <w:rPr>
                <w:rFonts w:hint="eastAsia" w:ascii="Times New Roman" w:hAnsi="Times New Roman" w:eastAsia="宋体" w:cs="Times New Roman"/>
                <w:color w:val="auto"/>
                <w:kern w:val="0"/>
                <w:sz w:val="24"/>
                <w:lang w:eastAsia="zh-CN"/>
              </w:rPr>
              <w:t>环审</w:t>
            </w:r>
            <w:r>
              <w:rPr>
                <w:rFonts w:hint="eastAsia" w:ascii="Times New Roman" w:hAnsi="Times New Roman" w:eastAsia="宋体" w:cs="Times New Roman"/>
                <w:color w:val="auto"/>
                <w:sz w:val="24"/>
                <w:highlight w:val="none"/>
                <w:lang w:val="en-US" w:eastAsia="zh-CN"/>
              </w:rPr>
              <w:t>〔2020〕139号</w:t>
            </w:r>
            <w:r>
              <w:rPr>
                <w:rFonts w:hint="default" w:ascii="Times New Roman" w:hAnsi="Times New Roman" w:eastAsia="宋体" w:cs="Times New Roman"/>
                <w:color w:val="auto"/>
                <w:kern w:val="0"/>
                <w:sz w:val="24"/>
              </w:rPr>
              <w:t>）</w:t>
            </w:r>
            <w:r>
              <w:rPr>
                <w:rFonts w:hint="eastAsia" w:ascii="Times New Roman" w:hAnsi="Times New Roman" w:eastAsia="宋体" w:cs="Times New Roman"/>
                <w:color w:val="000000"/>
                <w:kern w:val="0"/>
                <w:sz w:val="24"/>
                <w:szCs w:val="20"/>
              </w:rPr>
              <w:t>中的要求。</w:t>
            </w:r>
          </w:p>
          <w:p w14:paraId="46ED6207">
            <w:pPr>
              <w:pStyle w:val="13"/>
              <w:keepNext w:val="0"/>
              <w:keepLines w:val="0"/>
              <w:numPr>
                <w:ilvl w:val="-1"/>
                <w:numId w:val="0"/>
              </w:numPr>
              <w:suppressLineNumbers w:val="0"/>
              <w:spacing w:before="0" w:beforeAutospacing="0" w:after="0" w:afterAutospacing="0"/>
              <w:ind w:left="0" w:right="0" w:firstLine="0"/>
              <w:rPr>
                <w:rFonts w:hint="default"/>
                <w:lang w:val="en-US" w:eastAsia="zh-CN"/>
              </w:rPr>
            </w:pPr>
          </w:p>
          <w:p w14:paraId="1AA5B6B9">
            <w:pPr>
              <w:pStyle w:val="13"/>
              <w:keepNext w:val="0"/>
              <w:keepLines w:val="0"/>
              <w:numPr>
                <w:ilvl w:val="-1"/>
                <w:numId w:val="0"/>
              </w:numPr>
              <w:suppressLineNumbers w:val="0"/>
              <w:spacing w:before="0" w:beforeAutospacing="0" w:after="0" w:afterAutospacing="0"/>
              <w:ind w:left="0" w:right="0" w:firstLine="0"/>
              <w:rPr>
                <w:rFonts w:hint="default"/>
                <w:lang w:val="en-US" w:eastAsia="zh-CN"/>
              </w:rPr>
            </w:pPr>
          </w:p>
          <w:p w14:paraId="50679EF5">
            <w:pPr>
              <w:pStyle w:val="13"/>
              <w:keepNext w:val="0"/>
              <w:keepLines w:val="0"/>
              <w:numPr>
                <w:ilvl w:val="-1"/>
                <w:numId w:val="0"/>
              </w:numPr>
              <w:suppressLineNumbers w:val="0"/>
              <w:spacing w:before="0" w:beforeAutospacing="0" w:after="0" w:afterAutospacing="0"/>
              <w:ind w:left="0" w:right="0" w:firstLine="0"/>
              <w:rPr>
                <w:rFonts w:hint="default"/>
                <w:lang w:val="en-US" w:eastAsia="zh-CN"/>
              </w:rPr>
            </w:pPr>
          </w:p>
          <w:p w14:paraId="1DC676AF">
            <w:pPr>
              <w:pStyle w:val="13"/>
              <w:keepNext w:val="0"/>
              <w:keepLines w:val="0"/>
              <w:numPr>
                <w:ilvl w:val="-1"/>
                <w:numId w:val="0"/>
              </w:numPr>
              <w:suppressLineNumbers w:val="0"/>
              <w:spacing w:before="0" w:beforeAutospacing="0" w:after="0" w:afterAutospacing="0"/>
              <w:ind w:left="0" w:right="0" w:firstLine="0"/>
              <w:rPr>
                <w:rFonts w:hint="default"/>
                <w:lang w:val="en-US" w:eastAsia="zh-CN"/>
              </w:rPr>
            </w:pPr>
          </w:p>
          <w:p w14:paraId="6AEA306E">
            <w:pPr>
              <w:pStyle w:val="13"/>
              <w:keepNext w:val="0"/>
              <w:keepLines w:val="0"/>
              <w:numPr>
                <w:ilvl w:val="-1"/>
                <w:numId w:val="0"/>
              </w:numPr>
              <w:suppressLineNumbers w:val="0"/>
              <w:spacing w:before="0" w:beforeAutospacing="0" w:after="0" w:afterAutospacing="0"/>
              <w:ind w:left="0" w:right="0" w:firstLine="0"/>
              <w:rPr>
                <w:rFonts w:hint="default"/>
                <w:lang w:val="en-US" w:eastAsia="zh-CN"/>
              </w:rPr>
            </w:pPr>
          </w:p>
          <w:p w14:paraId="3DAFDCB6">
            <w:pPr>
              <w:pStyle w:val="13"/>
              <w:keepNext w:val="0"/>
              <w:keepLines w:val="0"/>
              <w:numPr>
                <w:ilvl w:val="-1"/>
                <w:numId w:val="0"/>
              </w:numPr>
              <w:suppressLineNumbers w:val="0"/>
              <w:spacing w:before="0" w:beforeAutospacing="0" w:after="0" w:afterAutospacing="0"/>
              <w:ind w:left="0" w:right="0" w:firstLine="0"/>
              <w:rPr>
                <w:rFonts w:hint="default"/>
                <w:lang w:val="en-US" w:eastAsia="zh-CN"/>
              </w:rPr>
            </w:pPr>
          </w:p>
          <w:p w14:paraId="7F10DCEF">
            <w:pPr>
              <w:pStyle w:val="13"/>
              <w:keepNext w:val="0"/>
              <w:keepLines w:val="0"/>
              <w:numPr>
                <w:ilvl w:val="-1"/>
                <w:numId w:val="0"/>
              </w:numPr>
              <w:suppressLineNumbers w:val="0"/>
              <w:spacing w:before="0" w:beforeAutospacing="0" w:after="0" w:afterAutospacing="0"/>
              <w:ind w:left="0" w:right="0" w:firstLine="0"/>
              <w:rPr>
                <w:rFonts w:hint="default"/>
                <w:lang w:val="en-US" w:eastAsia="zh-CN"/>
              </w:rPr>
            </w:pPr>
          </w:p>
          <w:p w14:paraId="35A349EC">
            <w:pPr>
              <w:pStyle w:val="14"/>
              <w:keepNext w:val="0"/>
              <w:keepLines w:val="0"/>
              <w:suppressLineNumbers w:val="0"/>
              <w:spacing w:beforeAutospacing="0" w:afterAutospacing="0"/>
              <w:ind w:left="0"/>
              <w:rPr>
                <w:rFonts w:hint="default"/>
                <w:lang w:val="en-US" w:eastAsia="zh-CN"/>
              </w:rPr>
            </w:pPr>
          </w:p>
          <w:p w14:paraId="4266F57F">
            <w:pPr>
              <w:keepNext w:val="0"/>
              <w:keepLines w:val="0"/>
              <w:suppressLineNumbers w:val="0"/>
              <w:spacing w:before="0" w:beforeAutospacing="0" w:after="0" w:afterAutospacing="0"/>
              <w:ind w:left="0" w:right="0"/>
              <w:rPr>
                <w:rFonts w:hint="default"/>
                <w:lang w:val="en-US" w:eastAsia="zh-CN"/>
              </w:rPr>
            </w:pPr>
          </w:p>
          <w:p w14:paraId="22AE6556">
            <w:pPr>
              <w:keepNext w:val="0"/>
              <w:keepLines w:val="0"/>
              <w:suppressLineNumbers w:val="0"/>
              <w:spacing w:before="0" w:beforeAutospacing="0" w:after="0" w:afterAutospacing="0"/>
              <w:ind w:left="0" w:right="0"/>
              <w:rPr>
                <w:rFonts w:hint="default"/>
                <w:lang w:val="en-US" w:eastAsia="zh-CN"/>
              </w:rPr>
            </w:pPr>
          </w:p>
          <w:p w14:paraId="32E3C4EC">
            <w:pPr>
              <w:keepNext w:val="0"/>
              <w:keepLines w:val="0"/>
              <w:suppressLineNumbers w:val="0"/>
              <w:spacing w:before="0" w:beforeAutospacing="0" w:after="0" w:afterAutospacing="0"/>
              <w:ind w:left="0" w:right="0"/>
              <w:rPr>
                <w:rFonts w:hint="default"/>
                <w:lang w:val="en-US" w:eastAsia="zh-CN"/>
              </w:rPr>
            </w:pPr>
          </w:p>
          <w:p w14:paraId="3746B4F9">
            <w:pPr>
              <w:keepNext w:val="0"/>
              <w:keepLines w:val="0"/>
              <w:suppressLineNumbers w:val="0"/>
              <w:spacing w:before="0" w:beforeAutospacing="0" w:after="0" w:afterAutospacing="0"/>
              <w:ind w:left="0" w:right="0"/>
              <w:rPr>
                <w:rFonts w:hint="default"/>
                <w:lang w:val="en-US" w:eastAsia="zh-CN"/>
              </w:rPr>
            </w:pPr>
          </w:p>
          <w:p w14:paraId="0E34E7C8">
            <w:pPr>
              <w:keepNext w:val="0"/>
              <w:keepLines w:val="0"/>
              <w:suppressLineNumbers w:val="0"/>
              <w:spacing w:before="0" w:beforeAutospacing="0" w:after="0" w:afterAutospacing="0"/>
              <w:ind w:left="0" w:right="0"/>
              <w:rPr>
                <w:rFonts w:hint="default"/>
                <w:lang w:val="en-US" w:eastAsia="zh-CN"/>
              </w:rPr>
            </w:pPr>
          </w:p>
          <w:p w14:paraId="5FADA903">
            <w:pPr>
              <w:keepNext w:val="0"/>
              <w:keepLines w:val="0"/>
              <w:suppressLineNumbers w:val="0"/>
              <w:spacing w:before="0" w:beforeAutospacing="0" w:after="0" w:afterAutospacing="0"/>
              <w:ind w:left="0" w:right="0"/>
              <w:rPr>
                <w:rFonts w:hint="default"/>
                <w:lang w:val="en-US" w:eastAsia="zh-CN"/>
              </w:rPr>
            </w:pPr>
          </w:p>
          <w:p w14:paraId="7EF23876">
            <w:pPr>
              <w:keepNext w:val="0"/>
              <w:keepLines w:val="0"/>
              <w:suppressLineNumbers w:val="0"/>
              <w:spacing w:before="0" w:beforeAutospacing="0" w:after="0" w:afterAutospacing="0"/>
              <w:ind w:left="0" w:right="0"/>
              <w:rPr>
                <w:rFonts w:hint="default"/>
                <w:lang w:val="en-US" w:eastAsia="zh-CN"/>
              </w:rPr>
            </w:pPr>
          </w:p>
          <w:p w14:paraId="1055E8FB">
            <w:pPr>
              <w:keepNext w:val="0"/>
              <w:keepLines w:val="0"/>
              <w:suppressLineNumbers w:val="0"/>
              <w:spacing w:before="0" w:beforeAutospacing="0" w:after="0" w:afterAutospacing="0"/>
              <w:ind w:left="0" w:right="0"/>
              <w:rPr>
                <w:rFonts w:hint="default"/>
                <w:lang w:val="en-US" w:eastAsia="zh-CN"/>
              </w:rPr>
            </w:pPr>
          </w:p>
          <w:p w14:paraId="1AFE93B0">
            <w:pPr>
              <w:keepNext w:val="0"/>
              <w:keepLines w:val="0"/>
              <w:suppressLineNumbers w:val="0"/>
              <w:spacing w:before="0" w:beforeAutospacing="0" w:after="0" w:afterAutospacing="0"/>
              <w:ind w:left="0" w:right="0"/>
              <w:rPr>
                <w:rFonts w:hint="default"/>
                <w:lang w:val="en-US" w:eastAsia="zh-CN"/>
              </w:rPr>
            </w:pPr>
          </w:p>
          <w:p w14:paraId="5C9AD0F0">
            <w:pPr>
              <w:keepNext w:val="0"/>
              <w:keepLines w:val="0"/>
              <w:suppressLineNumbers w:val="0"/>
              <w:spacing w:before="0" w:beforeAutospacing="0" w:after="0" w:afterAutospacing="0"/>
              <w:ind w:left="0" w:right="0"/>
              <w:rPr>
                <w:rFonts w:hint="default"/>
                <w:lang w:val="en-US" w:eastAsia="zh-CN"/>
              </w:rPr>
            </w:pPr>
          </w:p>
          <w:p w14:paraId="691A594E">
            <w:pPr>
              <w:keepNext w:val="0"/>
              <w:keepLines w:val="0"/>
              <w:suppressLineNumbers w:val="0"/>
              <w:spacing w:before="0" w:beforeAutospacing="0" w:after="0" w:afterAutospacing="0"/>
              <w:ind w:left="0" w:right="0"/>
              <w:rPr>
                <w:rFonts w:hint="default"/>
                <w:lang w:val="en-US" w:eastAsia="zh-CN"/>
              </w:rPr>
            </w:pPr>
          </w:p>
          <w:p w14:paraId="7EA16260">
            <w:pPr>
              <w:keepNext w:val="0"/>
              <w:keepLines w:val="0"/>
              <w:suppressLineNumbers w:val="0"/>
              <w:spacing w:before="0" w:beforeAutospacing="0" w:after="0" w:afterAutospacing="0"/>
              <w:ind w:left="0" w:right="0"/>
              <w:rPr>
                <w:rFonts w:hint="default"/>
                <w:lang w:val="en-US" w:eastAsia="zh-CN"/>
              </w:rPr>
            </w:pPr>
          </w:p>
          <w:p w14:paraId="00143DE9">
            <w:pPr>
              <w:keepNext w:val="0"/>
              <w:keepLines w:val="0"/>
              <w:suppressLineNumbers w:val="0"/>
              <w:spacing w:before="0" w:beforeAutospacing="0" w:after="0" w:afterAutospacing="0"/>
              <w:ind w:left="0" w:right="0"/>
              <w:rPr>
                <w:rFonts w:hint="default"/>
                <w:lang w:val="en-US" w:eastAsia="zh-CN"/>
              </w:rPr>
            </w:pPr>
          </w:p>
          <w:p w14:paraId="0FBC3197">
            <w:pPr>
              <w:keepNext w:val="0"/>
              <w:keepLines w:val="0"/>
              <w:suppressLineNumbers w:val="0"/>
              <w:spacing w:before="0" w:beforeAutospacing="0" w:after="0" w:afterAutospacing="0"/>
              <w:ind w:left="0" w:right="0"/>
              <w:rPr>
                <w:rFonts w:hint="default"/>
                <w:lang w:val="en-US" w:eastAsia="zh-CN"/>
              </w:rPr>
            </w:pPr>
          </w:p>
          <w:p w14:paraId="30CC35AD">
            <w:pPr>
              <w:keepNext w:val="0"/>
              <w:keepLines w:val="0"/>
              <w:suppressLineNumbers w:val="0"/>
              <w:spacing w:before="0" w:beforeAutospacing="0" w:after="0" w:afterAutospacing="0"/>
              <w:ind w:left="0" w:right="0"/>
              <w:rPr>
                <w:rFonts w:hint="default"/>
                <w:lang w:val="en-US" w:eastAsia="zh-CN"/>
              </w:rPr>
            </w:pPr>
          </w:p>
          <w:p w14:paraId="58831419">
            <w:pPr>
              <w:keepNext w:val="0"/>
              <w:keepLines w:val="0"/>
              <w:suppressLineNumbers w:val="0"/>
              <w:spacing w:before="0" w:beforeAutospacing="0" w:after="0" w:afterAutospacing="0"/>
              <w:ind w:left="0" w:right="0"/>
              <w:rPr>
                <w:rFonts w:hint="default"/>
                <w:lang w:val="en-US" w:eastAsia="zh-CN"/>
              </w:rPr>
            </w:pPr>
          </w:p>
          <w:p w14:paraId="2C57A77C">
            <w:pPr>
              <w:keepNext w:val="0"/>
              <w:keepLines w:val="0"/>
              <w:suppressLineNumbers w:val="0"/>
              <w:spacing w:before="0" w:beforeAutospacing="0" w:after="0" w:afterAutospacing="0"/>
              <w:ind w:left="0" w:right="0"/>
              <w:rPr>
                <w:rFonts w:hint="default"/>
                <w:lang w:val="en-US" w:eastAsia="zh-CN"/>
              </w:rPr>
            </w:pPr>
          </w:p>
          <w:p w14:paraId="1BA7E9E2">
            <w:pPr>
              <w:keepNext w:val="0"/>
              <w:keepLines w:val="0"/>
              <w:suppressLineNumbers w:val="0"/>
              <w:spacing w:before="0" w:beforeAutospacing="0" w:after="0" w:afterAutospacing="0"/>
              <w:ind w:left="0" w:right="0"/>
              <w:rPr>
                <w:rFonts w:hint="default"/>
                <w:lang w:val="en-US" w:eastAsia="zh-CN"/>
              </w:rPr>
            </w:pPr>
          </w:p>
          <w:p w14:paraId="3DB6B8CA">
            <w:pPr>
              <w:keepNext w:val="0"/>
              <w:keepLines w:val="0"/>
              <w:suppressLineNumbers w:val="0"/>
              <w:spacing w:before="0" w:beforeAutospacing="0" w:after="0" w:afterAutospacing="0"/>
              <w:ind w:left="0" w:right="0"/>
              <w:rPr>
                <w:rFonts w:hint="default"/>
                <w:lang w:val="en-US" w:eastAsia="zh-CN"/>
              </w:rPr>
            </w:pPr>
          </w:p>
          <w:p w14:paraId="1FAF2FC2">
            <w:pPr>
              <w:keepNext w:val="0"/>
              <w:keepLines w:val="0"/>
              <w:suppressLineNumbers w:val="0"/>
              <w:spacing w:before="0" w:beforeAutospacing="0" w:after="0" w:afterAutospacing="0"/>
              <w:ind w:left="0" w:right="0"/>
              <w:rPr>
                <w:rFonts w:hint="default"/>
                <w:lang w:val="en-US" w:eastAsia="zh-CN"/>
              </w:rPr>
            </w:pPr>
          </w:p>
          <w:p w14:paraId="72761CA9">
            <w:pPr>
              <w:keepNext w:val="0"/>
              <w:keepLines w:val="0"/>
              <w:suppressLineNumbers w:val="0"/>
              <w:spacing w:before="0" w:beforeAutospacing="0" w:after="0" w:afterAutospacing="0"/>
              <w:ind w:left="0" w:right="0"/>
              <w:rPr>
                <w:rFonts w:hint="default"/>
                <w:lang w:val="en-US" w:eastAsia="zh-CN"/>
              </w:rPr>
            </w:pPr>
          </w:p>
          <w:p w14:paraId="06DB66B4">
            <w:pPr>
              <w:keepNext w:val="0"/>
              <w:keepLines w:val="0"/>
              <w:suppressLineNumbers w:val="0"/>
              <w:spacing w:before="0" w:beforeAutospacing="0" w:after="0" w:afterAutospacing="0"/>
              <w:ind w:left="0" w:right="0"/>
              <w:rPr>
                <w:rFonts w:hint="default"/>
                <w:lang w:val="en-US" w:eastAsia="zh-CN"/>
              </w:rPr>
            </w:pPr>
          </w:p>
        </w:tc>
      </w:tr>
      <w:tr w14:paraId="35C4438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342" w:hRule="atLeast"/>
          <w:jc w:val="center"/>
        </w:trPr>
        <w:tc>
          <w:tcPr>
            <w:tcW w:w="1136" w:type="dxa"/>
            <w:noWrap w:val="0"/>
            <w:vAlign w:val="center"/>
          </w:tcPr>
          <w:p w14:paraId="6151256F">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b/>
                <w:kern w:val="0"/>
                <w:sz w:val="24"/>
              </w:rPr>
            </w:pPr>
            <w:r>
              <w:rPr>
                <w:rFonts w:hint="default" w:ascii="Times New Roman" w:hAnsi="Times New Roman" w:eastAsia="宋体" w:cs="Times New Roman"/>
                <w:b/>
                <w:kern w:val="0"/>
                <w:sz w:val="24"/>
              </w:rPr>
              <w:t>其他符合性分析</w:t>
            </w:r>
          </w:p>
        </w:tc>
        <w:tc>
          <w:tcPr>
            <w:tcW w:w="7896" w:type="dxa"/>
            <w:gridSpan w:val="3"/>
            <w:noWrap w:val="0"/>
            <w:vAlign w:val="center"/>
          </w:tcPr>
          <w:p w14:paraId="610FBF8E">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textAlignment w:val="auto"/>
              <w:rPr>
                <w:rFonts w:hint="default" w:ascii="Times New Roman" w:hAnsi="Times New Roman" w:eastAsia="宋体" w:cs="Times New Roman"/>
                <w:b/>
                <w:bCs/>
                <w:kern w:val="0"/>
                <w:sz w:val="24"/>
                <w:lang w:eastAsia="zh-CN"/>
              </w:rPr>
            </w:pPr>
            <w:r>
              <w:rPr>
                <w:rFonts w:hint="default" w:ascii="Times New Roman" w:hAnsi="Times New Roman" w:eastAsia="宋体" w:cs="Times New Roman"/>
                <w:b/>
                <w:bCs/>
                <w:kern w:val="0"/>
                <w:sz w:val="24"/>
                <w:lang w:val="en-US" w:eastAsia="zh-CN"/>
              </w:rPr>
              <w:t>1、</w:t>
            </w:r>
            <w:r>
              <w:rPr>
                <w:rFonts w:hint="default" w:ascii="Times New Roman" w:hAnsi="Times New Roman" w:eastAsia="宋体" w:cs="Times New Roman"/>
                <w:b/>
                <w:bCs/>
                <w:kern w:val="0"/>
                <w:sz w:val="24"/>
                <w:lang w:eastAsia="zh-CN"/>
              </w:rPr>
              <w:t>三线一单符合性分析</w:t>
            </w:r>
          </w:p>
          <w:p w14:paraId="5DFB681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eastAsia="宋体" w:cs="Times New Roman"/>
                <w:color w:val="auto"/>
                <w:sz w:val="24"/>
                <w:highlight w:val="none"/>
                <w:lang w:val="en-US" w:eastAsia="zh-CN"/>
              </w:rPr>
            </w:pPr>
            <w:r>
              <w:rPr>
                <w:rFonts w:hint="default" w:ascii="Times New Roman" w:hAnsi="Times New Roman" w:eastAsia="宋体" w:cs="Times New Roman"/>
                <w:b w:val="0"/>
                <w:bCs w:val="0"/>
                <w:color w:val="auto"/>
                <w:sz w:val="24"/>
                <w:szCs w:val="24"/>
                <w:lang w:val="en-US" w:eastAsia="zh-CN"/>
              </w:rPr>
              <w:t>根据《环保部关于以改善环境质量为核心加强环境影响评价管理的通知》（环环评[2016]150号）、《河北省人民政府关于加快实施</w:t>
            </w:r>
            <w:r>
              <w:rPr>
                <w:rFonts w:hint="eastAsia" w:ascii="Times New Roman" w:hAnsi="Times New Roman" w:eastAsia="宋体" w:cs="Times New Roman"/>
                <w:b w:val="0"/>
                <w:bCs w:val="0"/>
                <w:color w:val="auto"/>
                <w:sz w:val="24"/>
                <w:szCs w:val="24"/>
                <w:lang w:val="en-US" w:eastAsia="zh-CN"/>
              </w:rPr>
              <w:t>“</w:t>
            </w:r>
            <w:r>
              <w:rPr>
                <w:rFonts w:hint="default" w:ascii="Times New Roman" w:hAnsi="Times New Roman" w:eastAsia="宋体" w:cs="Times New Roman"/>
                <w:b w:val="0"/>
                <w:bCs w:val="0"/>
                <w:color w:val="auto"/>
                <w:sz w:val="24"/>
                <w:szCs w:val="24"/>
                <w:lang w:val="en-US" w:eastAsia="zh-CN"/>
              </w:rPr>
              <w:t>三线一单</w:t>
            </w:r>
            <w:r>
              <w:rPr>
                <w:rFonts w:hint="eastAsia" w:ascii="Times New Roman" w:hAnsi="Times New Roman" w:eastAsia="宋体" w:cs="Times New Roman"/>
                <w:b w:val="0"/>
                <w:bCs w:val="0"/>
                <w:color w:val="auto"/>
                <w:sz w:val="24"/>
                <w:szCs w:val="24"/>
                <w:lang w:val="en-US" w:eastAsia="zh-CN"/>
              </w:rPr>
              <w:t>”</w:t>
            </w:r>
            <w:r>
              <w:rPr>
                <w:rFonts w:hint="default" w:ascii="Times New Roman" w:hAnsi="Times New Roman" w:eastAsia="宋体" w:cs="Times New Roman"/>
                <w:b w:val="0"/>
                <w:bCs w:val="0"/>
                <w:color w:val="auto"/>
                <w:sz w:val="24"/>
                <w:szCs w:val="24"/>
                <w:lang w:val="en-US" w:eastAsia="zh-CN"/>
              </w:rPr>
              <w:t>生态环境分区管控的意见》（冀政字〔2020〕71号）及《沧州市人民政府关于印发</w:t>
            </w:r>
            <w:r>
              <w:rPr>
                <w:rFonts w:hint="eastAsia" w:ascii="Times New Roman" w:hAnsi="Times New Roman" w:eastAsia="宋体" w:cs="Times New Roman"/>
                <w:b w:val="0"/>
                <w:bCs w:val="0"/>
                <w:color w:val="auto"/>
                <w:sz w:val="24"/>
                <w:szCs w:val="24"/>
                <w:lang w:val="en-US" w:eastAsia="zh-CN"/>
              </w:rPr>
              <w:t>&lt;“</w:t>
            </w:r>
            <w:r>
              <w:rPr>
                <w:rFonts w:hint="default" w:ascii="Times New Roman" w:hAnsi="Times New Roman" w:eastAsia="宋体" w:cs="Times New Roman"/>
                <w:b w:val="0"/>
                <w:bCs w:val="0"/>
                <w:color w:val="auto"/>
                <w:sz w:val="24"/>
                <w:szCs w:val="24"/>
                <w:lang w:val="en-US" w:eastAsia="zh-CN"/>
              </w:rPr>
              <w:t>三线一单</w:t>
            </w:r>
            <w:r>
              <w:rPr>
                <w:rFonts w:hint="eastAsia" w:ascii="Times New Roman" w:hAnsi="Times New Roman" w:eastAsia="宋体" w:cs="Times New Roman"/>
                <w:b w:val="0"/>
                <w:bCs w:val="0"/>
                <w:color w:val="auto"/>
                <w:sz w:val="24"/>
                <w:szCs w:val="24"/>
                <w:lang w:val="en-US" w:eastAsia="zh-CN"/>
              </w:rPr>
              <w:t>”</w:t>
            </w:r>
            <w:r>
              <w:rPr>
                <w:rFonts w:hint="default" w:ascii="Times New Roman" w:hAnsi="Times New Roman" w:eastAsia="宋体" w:cs="Times New Roman"/>
                <w:b w:val="0"/>
                <w:bCs w:val="0"/>
                <w:color w:val="auto"/>
                <w:sz w:val="24"/>
                <w:szCs w:val="24"/>
                <w:lang w:val="en-US" w:eastAsia="zh-CN"/>
              </w:rPr>
              <w:t>生态环境分区管控的实施方案&gt;的通知》（沧政字〔2021〕10号）、</w:t>
            </w:r>
            <w:r>
              <w:rPr>
                <w:rFonts w:hint="default" w:ascii="Times New Roman" w:hAnsi="Times New Roman" w:eastAsia="宋体" w:cs="Times New Roman"/>
                <w:kern w:val="0"/>
                <w:sz w:val="24"/>
                <w:highlight w:val="none"/>
                <w:lang w:val="en-US" w:eastAsia="zh-CN"/>
              </w:rPr>
              <w:t>《关于实施2023年沧州市生态环境分区管控动态更新</w:t>
            </w:r>
            <w:r>
              <w:rPr>
                <w:rFonts w:hint="eastAsia" w:cs="Times New Roman"/>
                <w:kern w:val="0"/>
                <w:sz w:val="24"/>
                <w:highlight w:val="none"/>
                <w:lang w:val="en-US" w:eastAsia="zh-CN"/>
              </w:rPr>
              <w:t>成果</w:t>
            </w:r>
            <w:r>
              <w:rPr>
                <w:rFonts w:hint="default" w:ascii="Times New Roman" w:hAnsi="Times New Roman" w:eastAsia="宋体" w:cs="Times New Roman"/>
                <w:kern w:val="0"/>
                <w:sz w:val="24"/>
                <w:highlight w:val="none"/>
                <w:lang w:val="en-US" w:eastAsia="zh-CN"/>
              </w:rPr>
              <w:t>的通知》（沧生态环保办[2024]89号）</w:t>
            </w:r>
            <w:r>
              <w:rPr>
                <w:rFonts w:hint="default" w:ascii="Times New Roman" w:hAnsi="Times New Roman" w:eastAsia="宋体" w:cs="Times New Roman"/>
                <w:b w:val="0"/>
                <w:bCs w:val="0"/>
                <w:color w:val="auto"/>
                <w:sz w:val="24"/>
                <w:szCs w:val="24"/>
                <w:highlight w:val="none"/>
                <w:lang w:val="en-US" w:eastAsia="zh-CN"/>
              </w:rPr>
              <w:t>的要求，分析建设项目与所在地</w:t>
            </w:r>
            <w:r>
              <w:rPr>
                <w:rFonts w:hint="eastAsia" w:ascii="Times New Roman" w:hAnsi="Times New Roman" w:eastAsia="宋体" w:cs="Times New Roman"/>
                <w:b w:val="0"/>
                <w:bCs w:val="0"/>
                <w:color w:val="auto"/>
                <w:sz w:val="24"/>
                <w:szCs w:val="24"/>
                <w:highlight w:val="none"/>
                <w:lang w:val="en-US" w:eastAsia="zh-CN"/>
              </w:rPr>
              <w:t>“</w:t>
            </w:r>
            <w:r>
              <w:rPr>
                <w:rFonts w:hint="default" w:ascii="Times New Roman" w:hAnsi="Times New Roman" w:eastAsia="宋体" w:cs="Times New Roman"/>
                <w:b w:val="0"/>
                <w:bCs w:val="0"/>
                <w:color w:val="auto"/>
                <w:sz w:val="24"/>
                <w:szCs w:val="24"/>
                <w:highlight w:val="none"/>
                <w:lang w:val="en-US" w:eastAsia="zh-CN"/>
              </w:rPr>
              <w:t>三线一单</w:t>
            </w:r>
            <w:r>
              <w:rPr>
                <w:rFonts w:hint="eastAsia" w:ascii="Times New Roman" w:hAnsi="Times New Roman" w:eastAsia="宋体" w:cs="Times New Roman"/>
                <w:b w:val="0"/>
                <w:bCs w:val="0"/>
                <w:color w:val="auto"/>
                <w:sz w:val="24"/>
                <w:szCs w:val="24"/>
                <w:highlight w:val="none"/>
                <w:lang w:val="en-US" w:eastAsia="zh-CN"/>
              </w:rPr>
              <w:t>”</w:t>
            </w:r>
            <w:r>
              <w:rPr>
                <w:rFonts w:hint="default" w:ascii="Times New Roman" w:hAnsi="Times New Roman" w:eastAsia="宋体" w:cs="Times New Roman"/>
                <w:b w:val="0"/>
                <w:bCs w:val="0"/>
                <w:color w:val="auto"/>
                <w:sz w:val="24"/>
                <w:szCs w:val="24"/>
                <w:highlight w:val="none"/>
                <w:lang w:val="en-US" w:eastAsia="zh-CN"/>
              </w:rPr>
              <w:t>符合性。</w:t>
            </w:r>
          </w:p>
          <w:p w14:paraId="56316843">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kern w:val="0"/>
                <w:sz w:val="24"/>
                <w:lang w:eastAsia="zh-CN"/>
              </w:rPr>
            </w:pPr>
            <w:r>
              <w:rPr>
                <w:rFonts w:hint="default" w:ascii="Times New Roman" w:hAnsi="Times New Roman" w:eastAsia="宋体" w:cs="Times New Roman"/>
                <w:kern w:val="0"/>
                <w:sz w:val="24"/>
                <w:lang w:eastAsia="zh-CN"/>
              </w:rPr>
              <w:t>（1）生态保护红线管控要求</w:t>
            </w:r>
          </w:p>
          <w:p w14:paraId="4523BA75">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kern w:val="0"/>
                <w:sz w:val="24"/>
                <w:lang w:eastAsia="zh-CN"/>
              </w:rPr>
            </w:pPr>
            <w:r>
              <w:rPr>
                <w:rFonts w:hint="default" w:ascii="Times New Roman" w:hAnsi="Times New Roman" w:eastAsia="宋体" w:cs="Times New Roman"/>
                <w:kern w:val="0"/>
                <w:sz w:val="24"/>
                <w:lang w:eastAsia="zh-CN"/>
              </w:rPr>
              <w:t>根据《沧州市国土空间总体规划（2021-2035年）》（冀政字〔2024〕15号），全市划定生态保护红线面积399.82平方千米，其中陆域生态保护红线面积为262.77平方千米，海域生态保护红线为137.05平方千米。陆域生态保护红线主要包括南运河、饮用水水源地和自然保护地。海域生态红线集中分布在渤海近岸海域，包括黄骅古贝壳堤保护区、歧口浅海湿地及渤海湾（南排河北海域）种质资源保护区。</w:t>
            </w:r>
          </w:p>
          <w:p w14:paraId="67C2101D">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22" w:firstLineChars="200"/>
              <w:textAlignment w:val="auto"/>
              <w:rPr>
                <w:rFonts w:hint="default" w:ascii="Times New Roman" w:hAnsi="Times New Roman" w:eastAsia="宋体" w:cs="Times New Roman"/>
                <w:kern w:val="0"/>
                <w:sz w:val="24"/>
                <w:lang w:eastAsia="zh-CN"/>
              </w:rPr>
            </w:pPr>
            <w:r>
              <w:rPr>
                <w:rFonts w:hint="eastAsia" w:ascii="Times New Roman" w:hAnsi="Times New Roman" w:eastAsia="宋体" w:cs="Times New Roman"/>
                <w:b/>
                <w:bCs/>
                <w:color w:val="000000"/>
                <w:kern w:val="0"/>
                <w:sz w:val="21"/>
                <w:szCs w:val="21"/>
                <w:lang w:val="en-US" w:eastAsia="zh-CN" w:bidi="ar-SA"/>
              </w:rPr>
              <w:drawing>
                <wp:anchor distT="0" distB="0" distL="114300" distR="114300" simplePos="0" relativeHeight="251662336" behindDoc="0" locked="0" layoutInCell="1" allowOverlap="1">
                  <wp:simplePos x="0" y="0"/>
                  <wp:positionH relativeFrom="column">
                    <wp:posOffset>685165</wp:posOffset>
                  </wp:positionH>
                  <wp:positionV relativeFrom="paragraph">
                    <wp:posOffset>1372235</wp:posOffset>
                  </wp:positionV>
                  <wp:extent cx="3429635" cy="2468880"/>
                  <wp:effectExtent l="0" t="0" r="18415" b="0"/>
                  <wp:wrapNone/>
                  <wp:docPr id="45" name="图片 45"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2"/>
                          <pic:cNvPicPr>
                            <a:picLocks noChangeAspect="1"/>
                          </pic:cNvPicPr>
                        </pic:nvPicPr>
                        <pic:blipFill>
                          <a:blip r:embed="rId7"/>
                          <a:stretch>
                            <a:fillRect/>
                          </a:stretch>
                        </pic:blipFill>
                        <pic:spPr>
                          <a:xfrm>
                            <a:off x="0" y="0"/>
                            <a:ext cx="3429635" cy="2468880"/>
                          </a:xfrm>
                          <a:prstGeom prst="rect">
                            <a:avLst/>
                          </a:prstGeom>
                        </pic:spPr>
                      </pic:pic>
                    </a:graphicData>
                  </a:graphic>
                </wp:anchor>
              </w:drawing>
            </w:r>
            <w:r>
              <w:rPr>
                <w:rFonts w:hint="default" w:ascii="Times New Roman" w:hAnsi="Times New Roman" w:eastAsia="宋体" w:cs="Times New Roman"/>
                <w:kern w:val="0"/>
                <w:sz w:val="24"/>
                <w:lang w:eastAsia="zh-CN"/>
              </w:rPr>
              <w:t>本项目位于</w:t>
            </w:r>
            <w:r>
              <w:rPr>
                <w:rFonts w:hint="eastAsia" w:ascii="Times New Roman" w:hAnsi="Times New Roman" w:eastAsia="宋体" w:cs="Times New Roman"/>
                <w:kern w:val="0"/>
                <w:sz w:val="24"/>
                <w:lang w:eastAsia="zh-CN"/>
              </w:rPr>
              <w:t>沧州临港经济技术开发区西区</w:t>
            </w:r>
            <w:r>
              <w:rPr>
                <w:rFonts w:hint="default" w:ascii="Times New Roman" w:hAnsi="Times New Roman" w:eastAsia="宋体" w:cs="Times New Roman"/>
                <w:kern w:val="0"/>
                <w:sz w:val="24"/>
                <w:lang w:eastAsia="zh-CN"/>
              </w:rPr>
              <w:t>，不在河北省生态保护红线区内，不在沧州市生态保护红线区内，周边无自然保护区、饮用水源保护区等生态保护目标，不在生态红线区域范围内，符合《河北省生态保护红线划定方案》</w:t>
            </w:r>
            <w:r>
              <w:rPr>
                <w:rFonts w:hint="eastAsia" w:ascii="宋体" w:hAnsi="宋体" w:eastAsia="宋体" w:cs="宋体"/>
                <w:sz w:val="24"/>
                <w:lang w:eastAsia="zh-CN"/>
              </w:rPr>
              <w:t>及</w:t>
            </w:r>
            <w:r>
              <w:rPr>
                <w:rFonts w:hint="default" w:ascii="Times New Roman" w:hAnsi="Times New Roman" w:eastAsia="宋体" w:cs="Times New Roman"/>
                <w:kern w:val="0"/>
                <w:sz w:val="24"/>
                <w:lang w:eastAsia="zh-CN"/>
              </w:rPr>
              <w:t>《沧州市国土空间总体规划（2021-2035年）》（冀政字〔2024〕15号）的相关要求。</w:t>
            </w:r>
          </w:p>
          <w:p w14:paraId="3CEC4C37">
            <w:pPr>
              <w:keepNext w:val="0"/>
              <w:keepLines w:val="0"/>
              <w:suppressLineNumbers w:val="0"/>
              <w:autoSpaceDE w:val="0"/>
              <w:autoSpaceDN w:val="0"/>
              <w:adjustRightInd w:val="0"/>
              <w:snapToGrid w:val="0"/>
              <w:spacing w:before="0" w:beforeAutospacing="0" w:after="0" w:afterAutospacing="0" w:line="360" w:lineRule="auto"/>
              <w:ind w:left="0" w:right="0" w:firstLine="422" w:firstLineChars="200"/>
              <w:jc w:val="center"/>
              <w:rPr>
                <w:rFonts w:hint="eastAsia" w:ascii="Times New Roman" w:hAnsi="Times New Roman" w:eastAsia="宋体" w:cs="Times New Roman"/>
                <w:b/>
                <w:bCs/>
                <w:color w:val="000000"/>
                <w:kern w:val="0"/>
                <w:sz w:val="21"/>
                <w:szCs w:val="21"/>
                <w:lang w:val="en-US" w:eastAsia="zh-CN" w:bidi="ar-SA"/>
              </w:rPr>
            </w:pPr>
          </w:p>
          <w:p w14:paraId="13004093">
            <w:pPr>
              <w:keepNext w:val="0"/>
              <w:keepLines w:val="0"/>
              <w:suppressLineNumbers w:val="0"/>
              <w:autoSpaceDE w:val="0"/>
              <w:autoSpaceDN w:val="0"/>
              <w:adjustRightInd w:val="0"/>
              <w:snapToGrid w:val="0"/>
              <w:spacing w:before="0" w:beforeAutospacing="0" w:after="0" w:afterAutospacing="0" w:line="360" w:lineRule="auto"/>
              <w:ind w:left="0" w:right="0" w:firstLine="420" w:firstLineChars="200"/>
              <w:jc w:val="center"/>
              <w:rPr>
                <w:rFonts w:hint="eastAsia" w:ascii="Times New Roman" w:hAnsi="Times New Roman" w:eastAsia="宋体" w:cs="Times New Roman"/>
                <w:b/>
                <w:bCs/>
                <w:color w:val="000000"/>
                <w:kern w:val="0"/>
                <w:sz w:val="21"/>
                <w:szCs w:val="21"/>
                <w:lang w:val="en-US" w:eastAsia="zh-CN" w:bidi="ar-SA"/>
              </w:rPr>
            </w:pPr>
            <w:r>
              <w:rPr>
                <w:rFonts w:hint="default"/>
                <w:sz w:val="21"/>
              </w:rPr>
              <mc:AlternateContent>
                <mc:Choice Requires="wps">
                  <w:drawing>
                    <wp:anchor distT="0" distB="0" distL="114300" distR="114300" simplePos="0" relativeHeight="251663360" behindDoc="0" locked="0" layoutInCell="1" allowOverlap="1">
                      <wp:simplePos x="0" y="0"/>
                      <wp:positionH relativeFrom="column">
                        <wp:posOffset>3263265</wp:posOffset>
                      </wp:positionH>
                      <wp:positionV relativeFrom="paragraph">
                        <wp:posOffset>100330</wp:posOffset>
                      </wp:positionV>
                      <wp:extent cx="857250" cy="400050"/>
                      <wp:effectExtent l="194310" t="6350" r="15240" b="203200"/>
                      <wp:wrapNone/>
                      <wp:docPr id="46" name="矩形标注 46"/>
                      <wp:cNvGraphicFramePr/>
                      <a:graphic xmlns:a="http://schemas.openxmlformats.org/drawingml/2006/main">
                        <a:graphicData uri="http://schemas.microsoft.com/office/word/2010/wordprocessingShape">
                          <wps:wsp>
                            <wps:cNvSpPr/>
                            <wps:spPr>
                              <a:xfrm>
                                <a:off x="5067300" y="7680325"/>
                                <a:ext cx="857250" cy="400050"/>
                              </a:xfrm>
                              <a:prstGeom prst="wedgeRectCallout">
                                <a:avLst>
                                  <a:gd name="adj1" fmla="val -71925"/>
                                  <a:gd name="adj2" fmla="val 98253"/>
                                </a:avLst>
                              </a:prstGeom>
                              <a:solidFill>
                                <a:schemeClr val="bg1"/>
                              </a:solidFill>
                              <a:ln w="1270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06D3EF7C">
                                  <w:pPr>
                                    <w:jc w:val="center"/>
                                    <w:rPr>
                                      <w:rFonts w:hint="eastAsia" w:eastAsia="宋体"/>
                                      <w:color w:val="FF0000"/>
                                      <w:lang w:eastAsia="zh-CN"/>
                                    </w:rPr>
                                  </w:pPr>
                                  <w:r>
                                    <w:rPr>
                                      <w:rFonts w:hint="eastAsia"/>
                                      <w:color w:val="FF0000"/>
                                      <w:lang w:eastAsia="zh-CN"/>
                                    </w:rPr>
                                    <w:t>本项目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256.95pt;margin-top:7.9pt;height:31.5pt;width:67.5pt;z-index:251663360;v-text-anchor:middle;mso-width-relative:page;mso-height-relative:page;" fillcolor="#FFFFFF [3212]" filled="t" stroked="t" coordsize="21600,21600" o:gfxdata="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Gm+1WDYAAAACQEAAA8AAAAAAAAAAQAgAAAAIgAAAGRycy9k&#10;b3ducmV2LnhtbFBLAQIUABQAAAAIAIdO4kC2Ch8qrQIAAFkFAAAOAAAAAAAAAAEAIAAAACcBAABk&#10;cnMvZTJvRG9jLnhtbFBLBQYAAAAABgAGAFkBAABGBgAAAAA=&#10;" adj="-4736,32023">
                      <v:fill on="t" focussize="0,0"/>
                      <v:stroke weight="1pt" color="#000000 [3213]" joinstyle="round"/>
                      <v:imagedata o:title=""/>
                      <o:lock v:ext="edit" aspectratio="f"/>
                      <v:textbox>
                        <w:txbxContent>
                          <w:p w14:paraId="06D3EF7C">
                            <w:pPr>
                              <w:jc w:val="center"/>
                              <w:rPr>
                                <w:rFonts w:hint="eastAsia" w:eastAsia="宋体"/>
                                <w:color w:val="FF0000"/>
                                <w:lang w:eastAsia="zh-CN"/>
                              </w:rPr>
                            </w:pPr>
                            <w:r>
                              <w:rPr>
                                <w:rFonts w:hint="eastAsia"/>
                                <w:color w:val="FF0000"/>
                                <w:lang w:eastAsia="zh-CN"/>
                              </w:rPr>
                              <w:t>本项目</w:t>
                            </w:r>
                          </w:p>
                        </w:txbxContent>
                      </v:textbox>
                    </v:shape>
                  </w:pict>
                </mc:Fallback>
              </mc:AlternateContent>
            </w:r>
          </w:p>
          <w:p w14:paraId="384B96AC">
            <w:pPr>
              <w:keepNext w:val="0"/>
              <w:keepLines w:val="0"/>
              <w:suppressLineNumbers w:val="0"/>
              <w:autoSpaceDE w:val="0"/>
              <w:autoSpaceDN w:val="0"/>
              <w:adjustRightInd w:val="0"/>
              <w:snapToGrid w:val="0"/>
              <w:spacing w:before="0" w:beforeAutospacing="0" w:after="0" w:afterAutospacing="0" w:line="360" w:lineRule="auto"/>
              <w:ind w:left="0" w:right="0" w:firstLine="422" w:firstLineChars="200"/>
              <w:jc w:val="center"/>
              <w:rPr>
                <w:rFonts w:hint="eastAsia" w:ascii="Times New Roman" w:hAnsi="Times New Roman" w:eastAsia="宋体" w:cs="Times New Roman"/>
                <w:b/>
                <w:bCs/>
                <w:color w:val="000000"/>
                <w:kern w:val="0"/>
                <w:sz w:val="21"/>
                <w:szCs w:val="21"/>
                <w:lang w:val="en-US" w:eastAsia="zh-CN" w:bidi="ar-SA"/>
              </w:rPr>
            </w:pPr>
          </w:p>
          <w:p w14:paraId="5526356D">
            <w:pPr>
              <w:keepNext w:val="0"/>
              <w:keepLines w:val="0"/>
              <w:suppressLineNumbers w:val="0"/>
              <w:autoSpaceDE w:val="0"/>
              <w:autoSpaceDN w:val="0"/>
              <w:adjustRightInd w:val="0"/>
              <w:snapToGrid w:val="0"/>
              <w:spacing w:before="0" w:beforeAutospacing="0" w:after="0" w:afterAutospacing="0" w:line="360" w:lineRule="auto"/>
              <w:ind w:left="0" w:right="0" w:firstLine="422" w:firstLineChars="200"/>
              <w:jc w:val="center"/>
              <w:rPr>
                <w:rFonts w:hint="eastAsia" w:ascii="Times New Roman" w:hAnsi="Times New Roman" w:eastAsia="宋体" w:cs="Times New Roman"/>
                <w:b/>
                <w:bCs/>
                <w:color w:val="000000"/>
                <w:kern w:val="0"/>
                <w:sz w:val="21"/>
                <w:szCs w:val="21"/>
                <w:lang w:val="en-US" w:eastAsia="zh-CN" w:bidi="ar-SA"/>
              </w:rPr>
            </w:pPr>
          </w:p>
          <w:p w14:paraId="6ECDA180">
            <w:pPr>
              <w:keepNext w:val="0"/>
              <w:keepLines w:val="0"/>
              <w:suppressLineNumbers w:val="0"/>
              <w:autoSpaceDE w:val="0"/>
              <w:autoSpaceDN w:val="0"/>
              <w:adjustRightInd w:val="0"/>
              <w:snapToGrid w:val="0"/>
              <w:spacing w:before="0" w:beforeAutospacing="0" w:after="0" w:afterAutospacing="0" w:line="360" w:lineRule="auto"/>
              <w:ind w:left="0" w:right="0" w:firstLine="422" w:firstLineChars="200"/>
              <w:jc w:val="center"/>
              <w:rPr>
                <w:rFonts w:hint="eastAsia" w:ascii="Times New Roman" w:hAnsi="Times New Roman" w:eastAsia="宋体" w:cs="Times New Roman"/>
                <w:b/>
                <w:bCs/>
                <w:color w:val="000000"/>
                <w:kern w:val="0"/>
                <w:sz w:val="21"/>
                <w:szCs w:val="21"/>
                <w:lang w:val="en-US" w:eastAsia="zh-CN" w:bidi="ar-SA"/>
              </w:rPr>
            </w:pPr>
          </w:p>
          <w:p w14:paraId="3F838EF0">
            <w:pPr>
              <w:keepNext w:val="0"/>
              <w:keepLines w:val="0"/>
              <w:suppressLineNumbers w:val="0"/>
              <w:autoSpaceDE w:val="0"/>
              <w:autoSpaceDN w:val="0"/>
              <w:adjustRightInd w:val="0"/>
              <w:snapToGrid w:val="0"/>
              <w:spacing w:before="0" w:beforeAutospacing="0" w:after="0" w:afterAutospacing="0" w:line="360" w:lineRule="auto"/>
              <w:ind w:left="0" w:right="0" w:firstLine="422" w:firstLineChars="200"/>
              <w:jc w:val="center"/>
              <w:rPr>
                <w:rFonts w:hint="eastAsia" w:ascii="Times New Roman" w:hAnsi="Times New Roman" w:eastAsia="宋体" w:cs="Times New Roman"/>
                <w:b/>
                <w:bCs/>
                <w:color w:val="000000"/>
                <w:kern w:val="0"/>
                <w:sz w:val="21"/>
                <w:szCs w:val="21"/>
                <w:lang w:val="en-US" w:eastAsia="zh-CN" w:bidi="ar-SA"/>
              </w:rPr>
            </w:pPr>
          </w:p>
          <w:p w14:paraId="27F79E53">
            <w:pPr>
              <w:keepNext w:val="0"/>
              <w:keepLines w:val="0"/>
              <w:suppressLineNumbers w:val="0"/>
              <w:autoSpaceDE w:val="0"/>
              <w:autoSpaceDN w:val="0"/>
              <w:adjustRightInd w:val="0"/>
              <w:snapToGrid w:val="0"/>
              <w:spacing w:before="0" w:beforeAutospacing="0" w:after="0" w:afterAutospacing="0" w:line="360" w:lineRule="auto"/>
              <w:ind w:left="0" w:right="0" w:firstLine="422" w:firstLineChars="200"/>
              <w:jc w:val="center"/>
              <w:rPr>
                <w:rFonts w:hint="eastAsia" w:ascii="Times New Roman" w:hAnsi="Times New Roman" w:eastAsia="宋体" w:cs="Times New Roman"/>
                <w:b/>
                <w:bCs/>
                <w:color w:val="000000"/>
                <w:kern w:val="0"/>
                <w:sz w:val="21"/>
                <w:szCs w:val="21"/>
                <w:lang w:val="en-US" w:eastAsia="zh-CN" w:bidi="ar-SA"/>
              </w:rPr>
            </w:pPr>
          </w:p>
          <w:p w14:paraId="24A52729">
            <w:pPr>
              <w:keepNext w:val="0"/>
              <w:keepLines w:val="0"/>
              <w:suppressLineNumbers w:val="0"/>
              <w:autoSpaceDE w:val="0"/>
              <w:autoSpaceDN w:val="0"/>
              <w:adjustRightInd w:val="0"/>
              <w:snapToGrid w:val="0"/>
              <w:spacing w:before="0" w:beforeAutospacing="0" w:after="0" w:afterAutospacing="0" w:line="360" w:lineRule="auto"/>
              <w:ind w:left="0" w:right="0" w:firstLine="422" w:firstLineChars="200"/>
              <w:jc w:val="center"/>
              <w:rPr>
                <w:rFonts w:hint="eastAsia" w:ascii="Times New Roman" w:hAnsi="Times New Roman" w:eastAsia="宋体" w:cs="Times New Roman"/>
                <w:b/>
                <w:bCs/>
                <w:color w:val="000000"/>
                <w:kern w:val="0"/>
                <w:sz w:val="21"/>
                <w:szCs w:val="21"/>
                <w:lang w:val="en-US" w:eastAsia="zh-CN" w:bidi="ar-SA"/>
              </w:rPr>
            </w:pPr>
          </w:p>
          <w:p w14:paraId="004FD451">
            <w:pPr>
              <w:keepNext w:val="0"/>
              <w:keepLines w:val="0"/>
              <w:suppressLineNumbers w:val="0"/>
              <w:autoSpaceDE w:val="0"/>
              <w:autoSpaceDN w:val="0"/>
              <w:adjustRightInd w:val="0"/>
              <w:snapToGrid w:val="0"/>
              <w:spacing w:before="0" w:beforeAutospacing="0" w:after="0" w:afterAutospacing="0" w:line="360" w:lineRule="auto"/>
              <w:ind w:left="0" w:right="0" w:firstLine="422" w:firstLineChars="200"/>
              <w:jc w:val="center"/>
              <w:rPr>
                <w:rFonts w:hint="eastAsia" w:ascii="Times New Roman" w:hAnsi="Times New Roman" w:eastAsia="宋体" w:cs="Times New Roman"/>
                <w:b/>
                <w:bCs/>
                <w:color w:val="000000"/>
                <w:kern w:val="0"/>
                <w:sz w:val="21"/>
                <w:szCs w:val="21"/>
                <w:lang w:val="en-US" w:eastAsia="zh-CN" w:bidi="ar-SA"/>
              </w:rPr>
            </w:pPr>
          </w:p>
          <w:p w14:paraId="536F284F">
            <w:pPr>
              <w:keepNext w:val="0"/>
              <w:keepLines w:val="0"/>
              <w:suppressLineNumbers w:val="0"/>
              <w:autoSpaceDE w:val="0"/>
              <w:autoSpaceDN w:val="0"/>
              <w:adjustRightInd w:val="0"/>
              <w:snapToGrid w:val="0"/>
              <w:spacing w:before="0" w:beforeAutospacing="0" w:after="0" w:afterAutospacing="0" w:line="360" w:lineRule="auto"/>
              <w:ind w:left="0" w:right="0" w:firstLine="422" w:firstLineChars="200"/>
              <w:jc w:val="center"/>
              <w:rPr>
                <w:rFonts w:hint="eastAsia" w:ascii="Times New Roman" w:hAnsi="Times New Roman" w:eastAsia="宋体" w:cs="Times New Roman"/>
                <w:b/>
                <w:bCs/>
                <w:color w:val="000000"/>
                <w:kern w:val="0"/>
                <w:sz w:val="21"/>
                <w:szCs w:val="21"/>
                <w:lang w:val="en-US" w:eastAsia="zh-CN" w:bidi="ar-SA"/>
              </w:rPr>
            </w:pPr>
          </w:p>
          <w:p w14:paraId="01811A39">
            <w:pPr>
              <w:keepNext w:val="0"/>
              <w:keepLines w:val="0"/>
              <w:suppressLineNumbers w:val="0"/>
              <w:autoSpaceDE w:val="0"/>
              <w:autoSpaceDN w:val="0"/>
              <w:adjustRightInd w:val="0"/>
              <w:snapToGrid w:val="0"/>
              <w:spacing w:before="0" w:beforeAutospacing="0" w:after="0" w:afterAutospacing="0" w:line="360" w:lineRule="auto"/>
              <w:ind w:left="0" w:right="0" w:firstLine="422" w:firstLineChars="200"/>
              <w:jc w:val="center"/>
              <w:rPr>
                <w:rFonts w:hint="default" w:ascii="Times New Roman" w:hAnsi="Times New Roman" w:eastAsia="宋体" w:cs="Times New Roman"/>
                <w:b/>
                <w:bCs/>
                <w:color w:val="000000"/>
                <w:kern w:val="0"/>
                <w:sz w:val="21"/>
                <w:szCs w:val="21"/>
                <w:lang w:val="en-US" w:eastAsia="zh-CN" w:bidi="ar-SA"/>
              </w:rPr>
            </w:pPr>
            <w:r>
              <w:rPr>
                <w:rFonts w:hint="default" w:ascii="Times New Roman" w:hAnsi="Times New Roman" w:eastAsia="宋体" w:cs="Times New Roman"/>
                <w:b/>
                <w:bCs/>
                <w:color w:val="000000"/>
                <w:kern w:val="0"/>
                <w:sz w:val="21"/>
                <w:szCs w:val="21"/>
                <w:lang w:val="en-US" w:eastAsia="zh-CN" w:bidi="ar-SA"/>
              </w:rPr>
              <w:t>沧州市生态保护红线</w:t>
            </w:r>
            <w:r>
              <w:rPr>
                <w:rFonts w:hint="eastAsia" w:ascii="Times New Roman" w:hAnsi="Times New Roman" w:eastAsia="宋体" w:cs="Times New Roman"/>
                <w:b/>
                <w:bCs/>
                <w:color w:val="000000"/>
                <w:kern w:val="0"/>
                <w:sz w:val="21"/>
                <w:szCs w:val="21"/>
                <w:lang w:val="en-US" w:eastAsia="zh-CN" w:bidi="ar-SA"/>
              </w:rPr>
              <w:t>分布</w:t>
            </w:r>
            <w:r>
              <w:rPr>
                <w:rFonts w:hint="default" w:ascii="Times New Roman" w:hAnsi="Times New Roman" w:eastAsia="宋体" w:cs="Times New Roman"/>
                <w:b/>
                <w:bCs/>
                <w:color w:val="000000"/>
                <w:kern w:val="0"/>
                <w:sz w:val="21"/>
                <w:szCs w:val="21"/>
                <w:lang w:val="en-US" w:eastAsia="zh-CN" w:bidi="ar-SA"/>
              </w:rPr>
              <w:t>图</w:t>
            </w:r>
          </w:p>
          <w:p w14:paraId="0D99D3E6">
            <w:pPr>
              <w:keepNext w:val="0"/>
              <w:keepLines w:val="0"/>
              <w:pageBreakBefore w:val="0"/>
              <w:widowControl w:val="0"/>
              <w:suppressLineNumbers w:val="0"/>
              <w:kinsoku/>
              <w:wordWrap/>
              <w:overflowPunct/>
              <w:topLinePunct w:val="0"/>
              <w:autoSpaceDE w:val="0"/>
              <w:autoSpaceDN w:val="0"/>
              <w:bidi w:val="0"/>
              <w:adjustRightInd w:val="0"/>
              <w:snapToGrid w:val="0"/>
              <w:spacing w:before="157" w:beforeLines="50" w:beforeAutospacing="0" w:after="0" w:afterAutospacing="0" w:line="360" w:lineRule="auto"/>
              <w:ind w:left="0" w:right="0" w:firstLine="422" w:firstLineChars="200"/>
              <w:jc w:val="center"/>
              <w:textAlignment w:val="auto"/>
              <w:rPr>
                <w:rFonts w:hint="eastAsia" w:ascii="宋体" w:hAnsi="宋体" w:eastAsia="宋体" w:cs="宋体"/>
                <w:b/>
                <w:bCs/>
                <w:kern w:val="0"/>
                <w:sz w:val="21"/>
                <w:szCs w:val="21"/>
                <w:lang w:val="en-US" w:eastAsia="zh-CN"/>
              </w:rPr>
            </w:pPr>
            <w:r>
              <w:rPr>
                <w:rFonts w:hint="default" w:ascii="Times New Roman" w:hAnsi="Times New Roman" w:eastAsia="宋体" w:cs="Times New Roman"/>
                <w:b/>
                <w:bCs/>
                <w:color w:val="000000"/>
                <w:kern w:val="0"/>
                <w:sz w:val="21"/>
                <w:szCs w:val="21"/>
                <w:lang w:val="en-US" w:eastAsia="en-US" w:bidi="ar-SA"/>
              </w:rPr>
              <w:drawing>
                <wp:anchor distT="0" distB="0" distL="114300" distR="114300" simplePos="0" relativeHeight="251660288" behindDoc="0" locked="0" layoutInCell="1" allowOverlap="1">
                  <wp:simplePos x="0" y="0"/>
                  <wp:positionH relativeFrom="page">
                    <wp:posOffset>80010</wp:posOffset>
                  </wp:positionH>
                  <wp:positionV relativeFrom="paragraph">
                    <wp:posOffset>22860</wp:posOffset>
                  </wp:positionV>
                  <wp:extent cx="4881245" cy="3595370"/>
                  <wp:effectExtent l="0" t="0" r="14605" b="5080"/>
                  <wp:wrapNone/>
                  <wp:docPr id="3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68"/>
                          <pic:cNvPicPr>
                            <a:picLocks noChangeAspect="1"/>
                          </pic:cNvPicPr>
                        </pic:nvPicPr>
                        <pic:blipFill>
                          <a:blip r:embed="rId8"/>
                          <a:stretch>
                            <a:fillRect/>
                          </a:stretch>
                        </pic:blipFill>
                        <pic:spPr>
                          <a:xfrm>
                            <a:off x="0" y="0"/>
                            <a:ext cx="4881245" cy="3595370"/>
                          </a:xfrm>
                          <a:prstGeom prst="rect">
                            <a:avLst/>
                          </a:prstGeom>
                          <a:noFill/>
                          <a:ln>
                            <a:noFill/>
                          </a:ln>
                        </pic:spPr>
                      </pic:pic>
                    </a:graphicData>
                  </a:graphic>
                </wp:anchor>
              </w:drawing>
            </w:r>
          </w:p>
          <w:p w14:paraId="1279C974">
            <w:pPr>
              <w:keepNext w:val="0"/>
              <w:keepLines w:val="0"/>
              <w:pageBreakBefore w:val="0"/>
              <w:widowControl w:val="0"/>
              <w:suppressLineNumbers w:val="0"/>
              <w:kinsoku/>
              <w:wordWrap/>
              <w:overflowPunct/>
              <w:topLinePunct w:val="0"/>
              <w:autoSpaceDE w:val="0"/>
              <w:autoSpaceDN w:val="0"/>
              <w:bidi w:val="0"/>
              <w:adjustRightInd w:val="0"/>
              <w:snapToGrid w:val="0"/>
              <w:spacing w:before="157" w:beforeLines="50" w:beforeAutospacing="0" w:after="0" w:afterAutospacing="0" w:line="360" w:lineRule="auto"/>
              <w:ind w:left="0" w:right="0" w:firstLine="422" w:firstLineChars="200"/>
              <w:jc w:val="center"/>
              <w:textAlignment w:val="auto"/>
              <w:rPr>
                <w:rFonts w:hint="eastAsia" w:ascii="宋体" w:hAnsi="宋体" w:eastAsia="宋体" w:cs="宋体"/>
                <w:b/>
                <w:bCs/>
                <w:kern w:val="0"/>
                <w:sz w:val="21"/>
                <w:szCs w:val="21"/>
                <w:lang w:val="en-US" w:eastAsia="zh-CN"/>
              </w:rPr>
            </w:pPr>
          </w:p>
          <w:p w14:paraId="430DE1C7">
            <w:pPr>
              <w:keepNext w:val="0"/>
              <w:keepLines w:val="0"/>
              <w:pageBreakBefore w:val="0"/>
              <w:widowControl w:val="0"/>
              <w:suppressLineNumbers w:val="0"/>
              <w:kinsoku/>
              <w:wordWrap/>
              <w:overflowPunct/>
              <w:topLinePunct w:val="0"/>
              <w:autoSpaceDE w:val="0"/>
              <w:autoSpaceDN w:val="0"/>
              <w:bidi w:val="0"/>
              <w:adjustRightInd w:val="0"/>
              <w:snapToGrid w:val="0"/>
              <w:spacing w:before="157" w:beforeLines="50" w:beforeAutospacing="0" w:after="0" w:afterAutospacing="0" w:line="360" w:lineRule="auto"/>
              <w:ind w:left="0" w:right="0" w:firstLine="420" w:firstLineChars="200"/>
              <w:jc w:val="center"/>
              <w:textAlignment w:val="auto"/>
              <w:rPr>
                <w:rFonts w:hint="eastAsia" w:ascii="宋体" w:hAnsi="宋体" w:eastAsia="宋体" w:cs="宋体"/>
                <w:b/>
                <w:bCs/>
                <w:kern w:val="0"/>
                <w:sz w:val="21"/>
                <w:szCs w:val="21"/>
                <w:lang w:val="en-US" w:eastAsia="zh-CN"/>
              </w:rPr>
            </w:pPr>
            <w:r>
              <w:rPr>
                <w:rFonts w:hint="default"/>
                <w:sz w:val="21"/>
              </w:rPr>
              <mc:AlternateContent>
                <mc:Choice Requires="wps">
                  <w:drawing>
                    <wp:anchor distT="0" distB="0" distL="114300" distR="114300" simplePos="0" relativeHeight="251661312" behindDoc="0" locked="0" layoutInCell="1" allowOverlap="1">
                      <wp:simplePos x="0" y="0"/>
                      <wp:positionH relativeFrom="column">
                        <wp:posOffset>2450465</wp:posOffset>
                      </wp:positionH>
                      <wp:positionV relativeFrom="paragraph">
                        <wp:posOffset>34290</wp:posOffset>
                      </wp:positionV>
                      <wp:extent cx="904875" cy="409575"/>
                      <wp:effectExtent l="6350" t="6350" r="60325" b="193675"/>
                      <wp:wrapNone/>
                      <wp:docPr id="44" name="矩形标注 44"/>
                      <wp:cNvGraphicFramePr/>
                      <a:graphic xmlns:a="http://schemas.openxmlformats.org/drawingml/2006/main">
                        <a:graphicData uri="http://schemas.microsoft.com/office/word/2010/wordprocessingShape">
                          <wps:wsp>
                            <wps:cNvSpPr/>
                            <wps:spPr>
                              <a:xfrm flipH="1">
                                <a:off x="5029200" y="2055495"/>
                                <a:ext cx="904875" cy="409575"/>
                              </a:xfrm>
                              <a:prstGeom prst="wedgeRectCallout">
                                <a:avLst>
                                  <a:gd name="adj1" fmla="val -54491"/>
                                  <a:gd name="adj2" fmla="val 95116"/>
                                </a:avLst>
                              </a:prstGeom>
                              <a:solidFill>
                                <a:schemeClr val="bg1"/>
                              </a:solidFill>
                              <a:ln w="1270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3AC48AAF">
                                  <w:pPr>
                                    <w:jc w:val="center"/>
                                    <w:rPr>
                                      <w:rFonts w:hint="eastAsia" w:eastAsia="宋体"/>
                                      <w:color w:val="FF0000"/>
                                      <w:lang w:eastAsia="zh-CN"/>
                                    </w:rPr>
                                  </w:pPr>
                                  <w:r>
                                    <w:rPr>
                                      <w:rFonts w:hint="eastAsia"/>
                                      <w:color w:val="FF0000"/>
                                      <w:lang w:eastAsia="zh-CN"/>
                                    </w:rPr>
                                    <w:t>本项目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flip:x;margin-left:192.95pt;margin-top:2.7pt;height:32.25pt;width:71.25pt;z-index:251661312;v-text-anchor:middle;mso-width-relative:page;mso-height-relative:page;" fillcolor="#FFFFFF [3212]" filled="t" stroked="t" coordsize="21600,21600" o:gfxdata="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" adj="-970,31345">
                      <v:fill on="t" focussize="0,0"/>
                      <v:stroke weight="1pt" color="#000000 [3213]" joinstyle="round"/>
                      <v:imagedata o:title=""/>
                      <o:lock v:ext="edit" aspectratio="f"/>
                      <v:textbox>
                        <w:txbxContent>
                          <w:p w14:paraId="3AC48AAF">
                            <w:pPr>
                              <w:jc w:val="center"/>
                              <w:rPr>
                                <w:rFonts w:hint="eastAsia" w:eastAsia="宋体"/>
                                <w:color w:val="FF0000"/>
                                <w:lang w:eastAsia="zh-CN"/>
                              </w:rPr>
                            </w:pPr>
                            <w:r>
                              <w:rPr>
                                <w:rFonts w:hint="eastAsia"/>
                                <w:color w:val="FF0000"/>
                                <w:lang w:eastAsia="zh-CN"/>
                              </w:rPr>
                              <w:t>本项目</w:t>
                            </w:r>
                          </w:p>
                        </w:txbxContent>
                      </v:textbox>
                    </v:shape>
                  </w:pict>
                </mc:Fallback>
              </mc:AlternateContent>
            </w:r>
          </w:p>
          <w:p w14:paraId="34880538">
            <w:pPr>
              <w:keepNext w:val="0"/>
              <w:keepLines w:val="0"/>
              <w:pageBreakBefore w:val="0"/>
              <w:widowControl w:val="0"/>
              <w:suppressLineNumbers w:val="0"/>
              <w:kinsoku/>
              <w:wordWrap/>
              <w:overflowPunct/>
              <w:topLinePunct w:val="0"/>
              <w:autoSpaceDE w:val="0"/>
              <w:autoSpaceDN w:val="0"/>
              <w:bidi w:val="0"/>
              <w:adjustRightInd w:val="0"/>
              <w:snapToGrid w:val="0"/>
              <w:spacing w:before="157" w:beforeLines="50" w:beforeAutospacing="0" w:after="0" w:afterAutospacing="0" w:line="360" w:lineRule="auto"/>
              <w:ind w:left="0" w:right="0" w:firstLine="422" w:firstLineChars="200"/>
              <w:jc w:val="center"/>
              <w:textAlignment w:val="auto"/>
              <w:rPr>
                <w:rFonts w:hint="eastAsia" w:ascii="宋体" w:hAnsi="宋体" w:eastAsia="宋体" w:cs="宋体"/>
                <w:b/>
                <w:bCs/>
                <w:kern w:val="0"/>
                <w:sz w:val="21"/>
                <w:szCs w:val="21"/>
                <w:lang w:val="en-US" w:eastAsia="zh-CN"/>
              </w:rPr>
            </w:pPr>
          </w:p>
          <w:p w14:paraId="68E235D9">
            <w:pPr>
              <w:keepNext w:val="0"/>
              <w:keepLines w:val="0"/>
              <w:pageBreakBefore w:val="0"/>
              <w:widowControl w:val="0"/>
              <w:suppressLineNumbers w:val="0"/>
              <w:kinsoku/>
              <w:wordWrap/>
              <w:overflowPunct/>
              <w:topLinePunct w:val="0"/>
              <w:autoSpaceDE w:val="0"/>
              <w:autoSpaceDN w:val="0"/>
              <w:bidi w:val="0"/>
              <w:adjustRightInd w:val="0"/>
              <w:snapToGrid w:val="0"/>
              <w:spacing w:before="157" w:beforeLines="50" w:beforeAutospacing="0" w:after="0" w:afterAutospacing="0" w:line="360" w:lineRule="auto"/>
              <w:ind w:left="0" w:right="0" w:firstLine="422" w:firstLineChars="200"/>
              <w:jc w:val="center"/>
              <w:textAlignment w:val="auto"/>
              <w:rPr>
                <w:rFonts w:hint="eastAsia" w:ascii="宋体" w:hAnsi="宋体" w:eastAsia="宋体" w:cs="宋体"/>
                <w:b/>
                <w:bCs/>
                <w:kern w:val="0"/>
                <w:sz w:val="21"/>
                <w:szCs w:val="21"/>
                <w:lang w:val="en-US" w:eastAsia="zh-CN"/>
              </w:rPr>
            </w:pPr>
          </w:p>
          <w:p w14:paraId="36CEBD40">
            <w:pPr>
              <w:keepNext w:val="0"/>
              <w:keepLines w:val="0"/>
              <w:pageBreakBefore w:val="0"/>
              <w:widowControl w:val="0"/>
              <w:suppressLineNumbers w:val="0"/>
              <w:kinsoku/>
              <w:wordWrap/>
              <w:overflowPunct/>
              <w:topLinePunct w:val="0"/>
              <w:autoSpaceDE w:val="0"/>
              <w:autoSpaceDN w:val="0"/>
              <w:bidi w:val="0"/>
              <w:adjustRightInd w:val="0"/>
              <w:snapToGrid w:val="0"/>
              <w:spacing w:before="157" w:beforeLines="50" w:beforeAutospacing="0" w:after="0" w:afterAutospacing="0" w:line="360" w:lineRule="auto"/>
              <w:ind w:left="0" w:right="0" w:firstLine="422" w:firstLineChars="200"/>
              <w:jc w:val="center"/>
              <w:textAlignment w:val="auto"/>
              <w:rPr>
                <w:rFonts w:hint="eastAsia" w:ascii="宋体" w:hAnsi="宋体" w:eastAsia="宋体" w:cs="宋体"/>
                <w:b/>
                <w:bCs/>
                <w:kern w:val="0"/>
                <w:sz w:val="21"/>
                <w:szCs w:val="21"/>
                <w:lang w:val="en-US" w:eastAsia="zh-CN"/>
              </w:rPr>
            </w:pPr>
          </w:p>
          <w:p w14:paraId="53914DE3">
            <w:pPr>
              <w:keepNext w:val="0"/>
              <w:keepLines w:val="0"/>
              <w:pageBreakBefore w:val="0"/>
              <w:widowControl w:val="0"/>
              <w:suppressLineNumbers w:val="0"/>
              <w:kinsoku/>
              <w:wordWrap/>
              <w:overflowPunct/>
              <w:topLinePunct w:val="0"/>
              <w:autoSpaceDE w:val="0"/>
              <w:autoSpaceDN w:val="0"/>
              <w:bidi w:val="0"/>
              <w:adjustRightInd w:val="0"/>
              <w:snapToGrid w:val="0"/>
              <w:spacing w:before="157" w:beforeLines="50" w:beforeAutospacing="0" w:after="0" w:afterAutospacing="0" w:line="360" w:lineRule="auto"/>
              <w:ind w:left="0" w:right="0" w:firstLine="422" w:firstLineChars="200"/>
              <w:jc w:val="center"/>
              <w:textAlignment w:val="auto"/>
              <w:rPr>
                <w:rFonts w:hint="eastAsia" w:ascii="宋体" w:hAnsi="宋体" w:eastAsia="宋体" w:cs="宋体"/>
                <w:b/>
                <w:bCs/>
                <w:kern w:val="0"/>
                <w:sz w:val="21"/>
                <w:szCs w:val="21"/>
                <w:lang w:val="en-US" w:eastAsia="zh-CN"/>
              </w:rPr>
            </w:pPr>
          </w:p>
          <w:p w14:paraId="63B924C3">
            <w:pPr>
              <w:keepNext w:val="0"/>
              <w:keepLines w:val="0"/>
              <w:pageBreakBefore w:val="0"/>
              <w:widowControl w:val="0"/>
              <w:suppressLineNumbers w:val="0"/>
              <w:kinsoku/>
              <w:wordWrap/>
              <w:overflowPunct/>
              <w:topLinePunct w:val="0"/>
              <w:autoSpaceDE w:val="0"/>
              <w:autoSpaceDN w:val="0"/>
              <w:bidi w:val="0"/>
              <w:adjustRightInd w:val="0"/>
              <w:snapToGrid w:val="0"/>
              <w:spacing w:before="157" w:beforeLines="50" w:beforeAutospacing="0" w:after="0" w:afterAutospacing="0" w:line="360" w:lineRule="auto"/>
              <w:ind w:left="0" w:right="0" w:firstLine="422" w:firstLineChars="200"/>
              <w:jc w:val="center"/>
              <w:textAlignment w:val="auto"/>
              <w:rPr>
                <w:rFonts w:hint="eastAsia" w:ascii="宋体" w:hAnsi="宋体" w:eastAsia="宋体" w:cs="宋体"/>
                <w:b/>
                <w:bCs/>
                <w:kern w:val="0"/>
                <w:sz w:val="21"/>
                <w:szCs w:val="21"/>
                <w:lang w:val="en-US" w:eastAsia="zh-CN"/>
              </w:rPr>
            </w:pPr>
          </w:p>
          <w:p w14:paraId="22223E7F">
            <w:pPr>
              <w:keepNext w:val="0"/>
              <w:keepLines w:val="0"/>
              <w:pageBreakBefore w:val="0"/>
              <w:widowControl w:val="0"/>
              <w:suppressLineNumbers w:val="0"/>
              <w:kinsoku/>
              <w:wordWrap/>
              <w:overflowPunct/>
              <w:topLinePunct w:val="0"/>
              <w:autoSpaceDE w:val="0"/>
              <w:autoSpaceDN w:val="0"/>
              <w:bidi w:val="0"/>
              <w:adjustRightInd w:val="0"/>
              <w:snapToGrid w:val="0"/>
              <w:spacing w:before="157" w:beforeLines="50" w:beforeAutospacing="0" w:after="0" w:afterAutospacing="0" w:line="360" w:lineRule="auto"/>
              <w:ind w:left="0" w:right="0" w:firstLine="422" w:firstLineChars="200"/>
              <w:jc w:val="center"/>
              <w:textAlignment w:val="auto"/>
              <w:rPr>
                <w:rFonts w:hint="eastAsia" w:ascii="宋体" w:hAnsi="宋体" w:eastAsia="宋体" w:cs="宋体"/>
                <w:b/>
                <w:bCs/>
                <w:kern w:val="0"/>
                <w:sz w:val="21"/>
                <w:szCs w:val="21"/>
                <w:lang w:val="en-US" w:eastAsia="zh-CN"/>
              </w:rPr>
            </w:pPr>
          </w:p>
          <w:p w14:paraId="4AAD7F79">
            <w:pPr>
              <w:keepNext w:val="0"/>
              <w:keepLines w:val="0"/>
              <w:pageBreakBefore w:val="0"/>
              <w:widowControl w:val="0"/>
              <w:suppressLineNumbers w:val="0"/>
              <w:kinsoku/>
              <w:wordWrap/>
              <w:overflowPunct/>
              <w:topLinePunct w:val="0"/>
              <w:autoSpaceDE w:val="0"/>
              <w:autoSpaceDN w:val="0"/>
              <w:bidi w:val="0"/>
              <w:adjustRightInd w:val="0"/>
              <w:snapToGrid w:val="0"/>
              <w:spacing w:before="157" w:beforeLines="50" w:beforeAutospacing="0" w:after="0" w:afterAutospacing="0" w:line="360" w:lineRule="auto"/>
              <w:ind w:left="0" w:right="0" w:firstLine="422" w:firstLineChars="200"/>
              <w:jc w:val="center"/>
              <w:textAlignment w:val="auto"/>
              <w:rPr>
                <w:rFonts w:hint="eastAsia" w:ascii="宋体" w:hAnsi="宋体" w:eastAsia="宋体" w:cs="宋体"/>
                <w:b/>
                <w:bCs/>
                <w:kern w:val="0"/>
                <w:sz w:val="21"/>
                <w:szCs w:val="21"/>
                <w:lang w:val="en-US" w:eastAsia="zh-CN"/>
              </w:rPr>
            </w:pPr>
          </w:p>
          <w:p w14:paraId="5B2E2BE3">
            <w:pPr>
              <w:keepNext w:val="0"/>
              <w:keepLines w:val="0"/>
              <w:pageBreakBefore w:val="0"/>
              <w:widowControl w:val="0"/>
              <w:suppressLineNumbers w:val="0"/>
              <w:kinsoku/>
              <w:wordWrap/>
              <w:overflowPunct/>
              <w:topLinePunct w:val="0"/>
              <w:autoSpaceDE w:val="0"/>
              <w:autoSpaceDN w:val="0"/>
              <w:bidi w:val="0"/>
              <w:adjustRightInd w:val="0"/>
              <w:snapToGrid w:val="0"/>
              <w:spacing w:before="157" w:beforeLines="50" w:beforeAutospacing="0" w:after="0" w:afterAutospacing="0" w:line="360" w:lineRule="auto"/>
              <w:ind w:left="0" w:right="0" w:firstLine="0" w:firstLineChars="0"/>
              <w:jc w:val="both"/>
              <w:textAlignment w:val="auto"/>
              <w:rPr>
                <w:rFonts w:hint="eastAsia" w:ascii="宋体" w:hAnsi="宋体" w:eastAsia="宋体" w:cs="宋体"/>
                <w:b/>
                <w:bCs/>
                <w:kern w:val="0"/>
                <w:sz w:val="21"/>
                <w:szCs w:val="21"/>
                <w:lang w:val="en-US" w:eastAsia="zh-CN"/>
              </w:rPr>
            </w:pPr>
          </w:p>
          <w:p w14:paraId="684C11E8">
            <w:pPr>
              <w:keepNext w:val="0"/>
              <w:keepLines w:val="0"/>
              <w:pageBreakBefore w:val="0"/>
              <w:widowControl w:val="0"/>
              <w:suppressLineNumbers w:val="0"/>
              <w:kinsoku/>
              <w:wordWrap/>
              <w:overflowPunct/>
              <w:topLinePunct w:val="0"/>
              <w:autoSpaceDE w:val="0"/>
              <w:autoSpaceDN w:val="0"/>
              <w:bidi w:val="0"/>
              <w:adjustRightInd w:val="0"/>
              <w:snapToGrid w:val="0"/>
              <w:spacing w:before="157" w:beforeLines="50" w:beforeAutospacing="0" w:after="0" w:afterAutospacing="0" w:line="360" w:lineRule="auto"/>
              <w:ind w:left="0" w:right="0" w:firstLine="422" w:firstLineChars="200"/>
              <w:jc w:val="center"/>
              <w:textAlignment w:val="auto"/>
              <w:rPr>
                <w:rFonts w:hint="eastAsia" w:ascii="Times New Roman" w:hAnsi="Times New Roman" w:eastAsia="宋体" w:cs="Times New Roman"/>
                <w:kern w:val="0"/>
                <w:sz w:val="24"/>
                <w:u w:val="none"/>
                <w:lang w:eastAsia="zh-CN"/>
              </w:rPr>
            </w:pPr>
            <w:r>
              <w:rPr>
                <w:rFonts w:hint="eastAsia" w:ascii="宋体" w:hAnsi="宋体" w:cs="宋体"/>
                <w:b/>
                <w:bCs/>
                <w:kern w:val="0"/>
                <w:sz w:val="21"/>
                <w:szCs w:val="21"/>
                <w:u w:val="none"/>
                <w:lang w:val="en-US" w:eastAsia="zh-CN"/>
              </w:rPr>
              <w:t>沧州市环境管控单元图</w:t>
            </w:r>
          </w:p>
          <w:p w14:paraId="531CED7C">
            <w:pPr>
              <w:keepNext w:val="0"/>
              <w:keepLines w:val="0"/>
              <w:suppressLineNumbers w:val="0"/>
              <w:autoSpaceDE w:val="0"/>
              <w:autoSpaceDN w:val="0"/>
              <w:adjustRightInd w:val="0"/>
              <w:snapToGrid w:val="0"/>
              <w:spacing w:before="157" w:beforeLines="50" w:beforeAutospacing="0" w:after="0" w:afterAutospacing="0" w:line="360" w:lineRule="auto"/>
              <w:ind w:left="0" w:right="0" w:firstLine="480" w:firstLineChars="200"/>
              <w:jc w:val="left"/>
              <w:rPr>
                <w:rFonts w:hint="default" w:ascii="Times New Roman" w:hAnsi="Times New Roman" w:eastAsia="宋体" w:cs="Times New Roman"/>
                <w:b/>
                <w:bCs/>
                <w:color w:val="000000"/>
                <w:kern w:val="0"/>
                <w:sz w:val="21"/>
                <w:szCs w:val="21"/>
                <w:lang w:val="en-US" w:eastAsia="zh-CN" w:bidi="ar-SA"/>
              </w:rPr>
            </w:pPr>
            <w:r>
              <w:rPr>
                <w:rFonts w:hint="eastAsia" w:ascii="Times New Roman" w:hAnsi="Times New Roman" w:eastAsia="宋体" w:cs="Times New Roman"/>
                <w:kern w:val="0"/>
                <w:sz w:val="24"/>
                <w:lang w:eastAsia="zh-CN"/>
              </w:rPr>
              <w:t>根据《沧州市生态环境准入清单（2023年版）》及沧州市环境管控单元图，本项目所在地不属于渤海新区优先保护单元，属于渤海新区</w:t>
            </w:r>
            <w:r>
              <w:rPr>
                <w:rFonts w:hint="default" w:ascii="Times New Roman" w:hAnsi="Times New Roman" w:eastAsia="宋体" w:cs="Times New Roman"/>
                <w:kern w:val="0"/>
                <w:sz w:val="24"/>
                <w:lang w:eastAsia="zh-CN"/>
              </w:rPr>
              <w:t>重点管控单元</w:t>
            </w:r>
            <w:r>
              <w:rPr>
                <w:rFonts w:hint="eastAsia" w:ascii="Times New Roman" w:hAnsi="Times New Roman" w:eastAsia="宋体" w:cs="Times New Roman"/>
                <w:kern w:val="0"/>
                <w:sz w:val="24"/>
                <w:lang w:eastAsia="zh-CN"/>
              </w:rPr>
              <w:t>。</w:t>
            </w:r>
          </w:p>
          <w:p w14:paraId="4B0A819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snapToGrid w:val="0"/>
                <w:kern w:val="0"/>
                <w:sz w:val="24"/>
                <w:lang w:eastAsia="zh-CN" w:bidi="en-US"/>
              </w:rPr>
            </w:pPr>
            <w:r>
              <w:rPr>
                <w:rFonts w:hint="default" w:ascii="Times New Roman" w:hAnsi="Times New Roman" w:eastAsia="宋体" w:cs="Times New Roman"/>
                <w:snapToGrid w:val="0"/>
                <w:kern w:val="0"/>
                <w:sz w:val="24"/>
                <w:lang w:eastAsia="zh-CN" w:bidi="en-US"/>
              </w:rPr>
              <w:t>（2）环境质量底线</w:t>
            </w:r>
          </w:p>
          <w:p w14:paraId="0B34602D">
            <w:pPr>
              <w:pStyle w:val="229"/>
              <w:keepNext w:val="0"/>
              <w:keepLines w:val="0"/>
              <w:pageBreakBefore w:val="0"/>
              <w:suppressLineNumbers w:val="0"/>
              <w:kinsoku/>
              <w:wordWrap/>
              <w:overflowPunct/>
              <w:topLinePunct w:val="0"/>
              <w:autoSpaceDE/>
              <w:autoSpaceDN/>
              <w:bidi w:val="0"/>
              <w:spacing w:before="0" w:beforeAutospacing="0" w:after="0" w:afterAutospacing="0" w:line="360" w:lineRule="auto"/>
              <w:ind w:left="0" w:right="0" w:firstLine="480" w:firstLineChars="200"/>
              <w:textAlignment w:val="auto"/>
              <w:rPr>
                <w:rFonts w:hint="default" w:ascii="Times New Roman" w:hAnsi="Times New Roman" w:eastAsia="宋体" w:cs="Times New Roman"/>
                <w:snapToGrid w:val="0"/>
                <w:color w:val="auto"/>
                <w:sz w:val="24"/>
                <w:szCs w:val="24"/>
                <w:lang w:eastAsia="zh-CN"/>
              </w:rPr>
            </w:pPr>
            <w:r>
              <w:rPr>
                <w:rFonts w:hint="default" w:ascii="Times New Roman" w:hAnsi="Times New Roman" w:eastAsia="宋体" w:cs="Times New Roman"/>
                <w:snapToGrid w:val="0"/>
                <w:color w:val="auto"/>
                <w:sz w:val="24"/>
                <w:szCs w:val="24"/>
                <w:lang w:eastAsia="zh-CN"/>
              </w:rPr>
              <w:t>根据沧州市生态环境局发布的《2024年沧州市生态环境状况公报》，全市环境空气质量综合指数4.30，同比下降9.13%；PM</w:t>
            </w:r>
            <w:r>
              <w:rPr>
                <w:rFonts w:hint="default" w:ascii="Times New Roman" w:hAnsi="Times New Roman" w:eastAsia="宋体" w:cs="Times New Roman"/>
                <w:snapToGrid w:val="0"/>
                <w:color w:val="auto"/>
                <w:sz w:val="24"/>
                <w:szCs w:val="24"/>
                <w:vertAlign w:val="subscript"/>
                <w:lang w:eastAsia="zh-CN"/>
              </w:rPr>
              <w:t>2.5</w:t>
            </w:r>
            <w:r>
              <w:rPr>
                <w:rFonts w:hint="default" w:ascii="Times New Roman" w:hAnsi="Times New Roman" w:eastAsia="宋体" w:cs="Times New Roman"/>
                <w:snapToGrid w:val="0"/>
                <w:color w:val="auto"/>
                <w:sz w:val="24"/>
                <w:szCs w:val="24"/>
                <w:lang w:eastAsia="zh-CN"/>
              </w:rPr>
              <w:t>平均浓度41.0微克/立方米，同比下降5.96%；优良天数257天，同比增加30天；重污染天数4天，同比减少10天；PM</w:t>
            </w:r>
            <w:r>
              <w:rPr>
                <w:rFonts w:hint="default" w:ascii="Times New Roman" w:hAnsi="Times New Roman" w:eastAsia="宋体" w:cs="Times New Roman"/>
                <w:snapToGrid w:val="0"/>
                <w:color w:val="auto"/>
                <w:sz w:val="24"/>
                <w:szCs w:val="24"/>
                <w:vertAlign w:val="subscript"/>
                <w:lang w:eastAsia="zh-CN"/>
              </w:rPr>
              <w:t>10</w:t>
            </w:r>
            <w:r>
              <w:rPr>
                <w:rFonts w:hint="default" w:ascii="Times New Roman" w:hAnsi="Times New Roman" w:eastAsia="宋体" w:cs="Times New Roman"/>
                <w:snapToGrid w:val="0"/>
                <w:color w:val="auto"/>
                <w:sz w:val="24"/>
                <w:szCs w:val="24"/>
                <w:lang w:eastAsia="zh-CN"/>
              </w:rPr>
              <w:t>平均浓度67.2微克/立方米，同比下降10.16%；NO</w:t>
            </w:r>
            <w:r>
              <w:rPr>
                <w:rFonts w:hint="default" w:ascii="Times New Roman" w:hAnsi="Times New Roman" w:eastAsia="宋体" w:cs="Times New Roman"/>
                <w:snapToGrid w:val="0"/>
                <w:color w:val="auto"/>
                <w:sz w:val="24"/>
                <w:szCs w:val="24"/>
                <w:vertAlign w:val="subscript"/>
                <w:lang w:eastAsia="zh-CN"/>
              </w:rPr>
              <w:t>2</w:t>
            </w:r>
            <w:r>
              <w:rPr>
                <w:rFonts w:hint="default" w:ascii="Times New Roman" w:hAnsi="Times New Roman" w:eastAsia="宋体" w:cs="Times New Roman"/>
                <w:snapToGrid w:val="0"/>
                <w:color w:val="auto"/>
                <w:sz w:val="24"/>
                <w:szCs w:val="24"/>
                <w:lang w:eastAsia="zh-CN"/>
              </w:rPr>
              <w:t>平均浓度27.5微克/立方米，同比下降19.35%；SO</w:t>
            </w:r>
            <w:r>
              <w:rPr>
                <w:rFonts w:hint="default" w:ascii="Times New Roman" w:hAnsi="Times New Roman" w:eastAsia="宋体" w:cs="Times New Roman"/>
                <w:snapToGrid w:val="0"/>
                <w:color w:val="auto"/>
                <w:sz w:val="24"/>
                <w:szCs w:val="24"/>
                <w:vertAlign w:val="subscript"/>
                <w:lang w:eastAsia="zh-CN"/>
              </w:rPr>
              <w:t>2</w:t>
            </w:r>
            <w:r>
              <w:rPr>
                <w:rFonts w:hint="default" w:ascii="Times New Roman" w:hAnsi="Times New Roman" w:eastAsia="宋体" w:cs="Times New Roman"/>
                <w:snapToGrid w:val="0"/>
                <w:color w:val="auto"/>
                <w:sz w:val="24"/>
                <w:szCs w:val="24"/>
                <w:lang w:eastAsia="zh-CN"/>
              </w:rPr>
              <w:t>平均浓度6.6微克/立方米，同比下降25.0%；CO累计浓度1毫克/立方米，同比下降16.67%；O</w:t>
            </w:r>
            <w:r>
              <w:rPr>
                <w:rFonts w:hint="default" w:ascii="Times New Roman" w:hAnsi="Times New Roman" w:eastAsia="宋体" w:cs="Times New Roman"/>
                <w:snapToGrid w:val="0"/>
                <w:color w:val="auto"/>
                <w:sz w:val="24"/>
                <w:szCs w:val="24"/>
                <w:vertAlign w:val="subscript"/>
                <w:lang w:eastAsia="zh-CN"/>
              </w:rPr>
              <w:t>3</w:t>
            </w:r>
            <w:r>
              <w:rPr>
                <w:rFonts w:hint="default" w:ascii="Times New Roman" w:hAnsi="Times New Roman" w:eastAsia="宋体" w:cs="Times New Roman"/>
                <w:snapToGrid w:val="0"/>
                <w:color w:val="auto"/>
                <w:sz w:val="24"/>
                <w:szCs w:val="24"/>
                <w:lang w:eastAsia="zh-CN"/>
              </w:rPr>
              <w:t>累计浓度179微克/立方米，同比上升0.22%。其中SO</w:t>
            </w:r>
            <w:r>
              <w:rPr>
                <w:rFonts w:hint="default" w:ascii="Times New Roman" w:hAnsi="Times New Roman" w:eastAsia="宋体" w:cs="Times New Roman"/>
                <w:snapToGrid w:val="0"/>
                <w:color w:val="auto"/>
                <w:sz w:val="24"/>
                <w:szCs w:val="24"/>
                <w:vertAlign w:val="subscript"/>
                <w:lang w:eastAsia="zh-CN"/>
              </w:rPr>
              <w:t>2</w:t>
            </w:r>
            <w:r>
              <w:rPr>
                <w:rFonts w:hint="default" w:ascii="Times New Roman" w:hAnsi="Times New Roman" w:eastAsia="宋体" w:cs="Times New Roman"/>
                <w:snapToGrid w:val="0"/>
                <w:color w:val="auto"/>
                <w:sz w:val="24"/>
                <w:szCs w:val="24"/>
                <w:lang w:eastAsia="zh-CN"/>
              </w:rPr>
              <w:t>、NO</w:t>
            </w:r>
            <w:r>
              <w:rPr>
                <w:rFonts w:hint="default" w:ascii="Times New Roman" w:hAnsi="Times New Roman" w:eastAsia="宋体" w:cs="Times New Roman"/>
                <w:snapToGrid w:val="0"/>
                <w:color w:val="auto"/>
                <w:sz w:val="24"/>
                <w:szCs w:val="24"/>
                <w:vertAlign w:val="subscript"/>
                <w:lang w:eastAsia="zh-CN"/>
              </w:rPr>
              <w:t>2</w:t>
            </w:r>
            <w:r>
              <w:rPr>
                <w:rFonts w:hint="default" w:ascii="Times New Roman" w:hAnsi="Times New Roman" w:eastAsia="宋体" w:cs="Times New Roman"/>
                <w:snapToGrid w:val="0"/>
                <w:color w:val="auto"/>
                <w:sz w:val="24"/>
                <w:szCs w:val="24"/>
                <w:lang w:eastAsia="zh-CN"/>
              </w:rPr>
              <w:t>、CO平均浓度达到国家《环境空气质量标准》二级标准。</w:t>
            </w:r>
          </w:p>
          <w:p w14:paraId="649EACDC">
            <w:pPr>
              <w:pStyle w:val="229"/>
              <w:keepNext w:val="0"/>
              <w:keepLines w:val="0"/>
              <w:pageBreakBefore w:val="0"/>
              <w:suppressLineNumbers w:val="0"/>
              <w:kinsoku/>
              <w:wordWrap/>
              <w:overflowPunct/>
              <w:topLinePunct w:val="0"/>
              <w:autoSpaceDE/>
              <w:autoSpaceDN/>
              <w:bidi w:val="0"/>
              <w:spacing w:before="0" w:beforeAutospacing="0" w:after="0" w:afterAutospacing="0" w:line="360" w:lineRule="auto"/>
              <w:ind w:left="0" w:right="0" w:firstLine="480" w:firstLineChars="200"/>
              <w:textAlignment w:val="auto"/>
              <w:rPr>
                <w:rFonts w:hint="default" w:ascii="Times New Roman" w:hAnsi="Times New Roman" w:eastAsia="宋体" w:cs="Times New Roman"/>
                <w:snapToGrid w:val="0"/>
                <w:color w:val="auto"/>
                <w:sz w:val="24"/>
                <w:szCs w:val="24"/>
                <w:lang w:eastAsia="zh-CN"/>
              </w:rPr>
            </w:pPr>
            <w:r>
              <w:rPr>
                <w:rFonts w:hint="default" w:ascii="Times New Roman" w:hAnsi="Times New Roman" w:eastAsia="宋体" w:cs="Times New Roman"/>
                <w:snapToGrid w:val="0"/>
                <w:color w:val="auto"/>
                <w:sz w:val="24"/>
                <w:szCs w:val="24"/>
                <w:lang w:eastAsia="zh-CN"/>
              </w:rPr>
              <w:t>全市18个国省考断面水质达标率保持100%，地表水国省考断面水质优良比例达到50%，优于省定年度目标16.7个百分点。具体为：II类断面1个，为大浪淀水库，占比5.6%；III类断面8个，为漳卫新河小泊头桥、南排水河朱庄闸、子牙河小王庄、滏阳河西贾庄桥、南运河北街自动站、小白河后赵各庄西桥、黑龙港河东港拦河闸、任文干渠阎家坞，占比44.4%；IV类断面9个，为子牙新河阎辛庄、宣惠河大口河口、北排水河永红桥、沧浪渠杨官庄自动站、廖家洼排水渠四埝村桥、新石碑河李家堡桥、八团排干渠伊庄子闸、青静黄排水渠何老营、南大港湿地入口，占比50%。</w:t>
            </w:r>
          </w:p>
          <w:p w14:paraId="21B204A0">
            <w:pPr>
              <w:pStyle w:val="229"/>
              <w:keepNext w:val="0"/>
              <w:keepLines w:val="0"/>
              <w:pageBreakBefore w:val="0"/>
              <w:suppressLineNumbers w:val="0"/>
              <w:kinsoku/>
              <w:wordWrap/>
              <w:overflowPunct/>
              <w:topLinePunct w:val="0"/>
              <w:autoSpaceDE/>
              <w:autoSpaceDN/>
              <w:bidi w:val="0"/>
              <w:spacing w:before="0" w:beforeAutospacing="0" w:after="0" w:afterAutospacing="0" w:line="360" w:lineRule="auto"/>
              <w:ind w:left="0" w:right="0" w:firstLine="480" w:firstLineChars="200"/>
              <w:textAlignment w:val="auto"/>
              <w:rPr>
                <w:rFonts w:hint="default" w:ascii="Times New Roman" w:hAnsi="Times New Roman" w:eastAsia="宋体" w:cs="Times New Roman"/>
                <w:snapToGrid w:val="0"/>
                <w:color w:val="auto"/>
                <w:sz w:val="24"/>
                <w:szCs w:val="24"/>
                <w:lang w:eastAsia="zh-CN"/>
              </w:rPr>
            </w:pPr>
            <w:r>
              <w:rPr>
                <w:rFonts w:hint="default" w:ascii="Times New Roman" w:hAnsi="Times New Roman" w:eastAsia="宋体" w:cs="Times New Roman"/>
                <w:snapToGrid w:val="0"/>
                <w:color w:val="auto"/>
                <w:sz w:val="24"/>
                <w:szCs w:val="24"/>
                <w:lang w:eastAsia="zh-CN"/>
              </w:rPr>
              <w:t>城市集中式饮用水水源地大浪淀水库、杨埕水库水质达到或优于地表水III类标准，水质为优良；富营养化评价为中营养。沧州市近岸海域优良水体比例面积达到96.8%，8条重点入海河流水质全部达标，行政区内国控入海河流廖家洼河和石碑河入海断面总氮浓度均低于基准值，满足考核要求。</w:t>
            </w:r>
          </w:p>
          <w:p w14:paraId="4BF59B2E">
            <w:pPr>
              <w:pStyle w:val="229"/>
              <w:keepNext w:val="0"/>
              <w:keepLines w:val="0"/>
              <w:pageBreakBefore w:val="0"/>
              <w:suppressLineNumbers w:val="0"/>
              <w:kinsoku/>
              <w:wordWrap/>
              <w:overflowPunct/>
              <w:topLinePunct w:val="0"/>
              <w:autoSpaceDE/>
              <w:autoSpaceDN/>
              <w:bidi w:val="0"/>
              <w:spacing w:before="0" w:beforeAutospacing="0" w:after="0" w:afterAutospacing="0" w:line="360" w:lineRule="auto"/>
              <w:ind w:left="0" w:right="0" w:firstLine="480" w:firstLineChars="200"/>
              <w:textAlignment w:val="auto"/>
              <w:rPr>
                <w:rFonts w:hint="default" w:ascii="Times New Roman" w:hAnsi="Times New Roman" w:eastAsia="宋体" w:cs="Times New Roman"/>
                <w:snapToGrid w:val="0"/>
                <w:color w:val="auto"/>
                <w:sz w:val="24"/>
                <w:szCs w:val="24"/>
                <w:lang w:eastAsia="zh-CN"/>
              </w:rPr>
            </w:pPr>
            <w:r>
              <w:rPr>
                <w:rFonts w:hint="default" w:ascii="Times New Roman" w:hAnsi="Times New Roman" w:eastAsia="宋体" w:cs="Times New Roman"/>
                <w:snapToGrid w:val="0"/>
                <w:color w:val="auto"/>
                <w:sz w:val="24"/>
                <w:szCs w:val="24"/>
                <w:lang w:eastAsia="zh-CN"/>
              </w:rPr>
              <w:t>2024年沧州市区域声环境噪声昼间平均等效声级为51.6分贝，比2023年52.8分贝相比下降1.2分贝，各测点声级分布在46.0-57.6分贝范围内。噪声质量等级属于较好。2024年沧州市城市道路交通声环境昼间平均等效声级为63.5分贝，与2023年65.0分贝相比下降1.5分贝，各测点声级分布在53.3-68.5分贝范围内。噪声质量等级属于好。</w:t>
            </w:r>
          </w:p>
          <w:p w14:paraId="074FC531">
            <w:pPr>
              <w:pStyle w:val="229"/>
              <w:keepNext w:val="0"/>
              <w:keepLines w:val="0"/>
              <w:pageBreakBefore w:val="0"/>
              <w:suppressLineNumbers w:val="0"/>
              <w:kinsoku/>
              <w:wordWrap/>
              <w:overflowPunct/>
              <w:topLinePunct w:val="0"/>
              <w:autoSpaceDE/>
              <w:autoSpaceDN/>
              <w:bidi w:val="0"/>
              <w:spacing w:before="0" w:beforeAutospacing="0" w:after="0" w:afterAutospacing="0" w:line="360" w:lineRule="auto"/>
              <w:ind w:left="0" w:right="0" w:firstLine="480" w:firstLineChars="200"/>
              <w:textAlignment w:val="auto"/>
              <w:rPr>
                <w:rFonts w:hint="default" w:ascii="Times New Roman" w:hAnsi="Times New Roman" w:eastAsia="宋体" w:cs="Times New Roman"/>
                <w:snapToGrid w:val="0"/>
                <w:color w:val="auto"/>
                <w:sz w:val="24"/>
                <w:szCs w:val="24"/>
                <w:lang w:eastAsia="zh-CN"/>
              </w:rPr>
            </w:pPr>
            <w:r>
              <w:rPr>
                <w:rFonts w:hint="default" w:ascii="Times New Roman" w:hAnsi="Times New Roman" w:eastAsia="宋体" w:cs="Times New Roman"/>
                <w:snapToGrid w:val="0"/>
                <w:color w:val="auto"/>
                <w:sz w:val="24"/>
                <w:szCs w:val="24"/>
                <w:lang w:eastAsia="zh-CN"/>
              </w:rPr>
              <w:t>1类区（居民、文教区）：2024年昼间平均等效声级年均值为51分贝，夜间平均等效声级年均值为43分贝。昼间噪声比2023年下降1分贝，夜间噪声比2023年下降2分贝。全年共有1次夜间噪声超标。2类区（居民、商业混合区）：2024年昼间平均等效声级年均值为54分贝，夜间平均等效声级年均值为46分贝。昼间噪声比2023年下降1分贝，夜间噪声与2023年一致。全年无点位超标。3类区（工业区）：2024年昼间平均等效声级年均值为56分贝，夜间平均等效声级年均值为47分贝。昼间噪声比2023年下降2分贝，夜间噪声比2023年下降4分贝。全年无点位超标。4a类区（交通干线区）：2024年昼间均等效声级年均值为62分贝，夜间平均等效声级年均值为54分贝。昼间噪声比2023年上升1分贝，夜间噪声与2023年一致。全年共有1次夜间噪声超标。</w:t>
            </w:r>
          </w:p>
          <w:p w14:paraId="46AB59CC">
            <w:pPr>
              <w:pStyle w:val="229"/>
              <w:keepNext w:val="0"/>
              <w:keepLines w:val="0"/>
              <w:pageBreakBefore w:val="0"/>
              <w:suppressLineNumbers w:val="0"/>
              <w:kinsoku/>
              <w:wordWrap/>
              <w:overflowPunct/>
              <w:topLinePunct w:val="0"/>
              <w:autoSpaceDE/>
              <w:autoSpaceDN/>
              <w:bidi w:val="0"/>
              <w:spacing w:before="0" w:beforeAutospacing="0" w:after="0" w:afterAutospacing="0" w:line="360" w:lineRule="auto"/>
              <w:ind w:left="0" w:right="0" w:firstLine="480" w:firstLineChars="200"/>
              <w:textAlignment w:val="auto"/>
              <w:rPr>
                <w:rFonts w:hint="default" w:ascii="Times New Roman" w:hAnsi="Times New Roman" w:eastAsia="宋体" w:cs="Times New Roman"/>
              </w:rPr>
            </w:pPr>
            <w:r>
              <w:rPr>
                <w:rFonts w:hint="default" w:ascii="Times New Roman" w:hAnsi="Times New Roman" w:eastAsia="宋体" w:cs="Times New Roman"/>
                <w:highlight w:val="none"/>
              </w:rPr>
              <w:t>本项目产生的</w:t>
            </w:r>
            <w:r>
              <w:rPr>
                <w:rFonts w:hint="eastAsia" w:ascii="Times New Roman" w:hAnsi="Times New Roman" w:eastAsia="宋体" w:cs="Times New Roman"/>
                <w:highlight w:val="none"/>
                <w:lang w:eastAsia="zh-CN"/>
              </w:rPr>
              <w:t>废气</w:t>
            </w:r>
            <w:r>
              <w:rPr>
                <w:rFonts w:hint="default" w:ascii="Times New Roman" w:hAnsi="Times New Roman" w:eastAsia="宋体" w:cs="Times New Roman"/>
                <w:color w:val="auto"/>
                <w:highlight w:val="none"/>
              </w:rPr>
              <w:t>为非甲烷总烃</w:t>
            </w:r>
            <w:r>
              <w:rPr>
                <w:rFonts w:hint="eastAsia" w:ascii="Times New Roman" w:hAnsi="Times New Roman" w:eastAsia="宋体" w:cs="Times New Roman"/>
                <w:color w:val="auto"/>
                <w:highlight w:val="none"/>
                <w:lang w:eastAsia="zh-CN"/>
              </w:rPr>
              <w:t>、二苯基甲烷二异氰酸酯（</w:t>
            </w:r>
            <w:r>
              <w:rPr>
                <w:rFonts w:hint="eastAsia" w:ascii="Times New Roman" w:hAnsi="Times New Roman" w:eastAsia="宋体" w:cs="Times New Roman"/>
                <w:color w:val="auto"/>
                <w:highlight w:val="none"/>
                <w:lang w:val="en-US" w:eastAsia="zh-CN"/>
              </w:rPr>
              <w:t>MDI）</w:t>
            </w:r>
            <w:r>
              <w:rPr>
                <w:rFonts w:hint="eastAsia" w:cs="Times New Roman"/>
                <w:color w:val="auto"/>
                <w:highlight w:val="none"/>
                <w:lang w:val="en-US" w:eastAsia="zh-CN"/>
              </w:rPr>
              <w:t>、臭气浓度</w:t>
            </w:r>
            <w:r>
              <w:rPr>
                <w:rFonts w:hint="default" w:ascii="Times New Roman" w:hAnsi="Times New Roman" w:eastAsia="宋体" w:cs="Times New Roman"/>
                <w:color w:val="auto"/>
                <w:highlight w:val="none"/>
              </w:rPr>
              <w:t>，</w:t>
            </w:r>
            <w:r>
              <w:rPr>
                <w:rFonts w:hint="default" w:ascii="Times New Roman" w:hAnsi="Times New Roman" w:eastAsia="宋体" w:cs="Times New Roman"/>
                <w:highlight w:val="none"/>
              </w:rPr>
              <w:t>经环保治理设施处理后可达标排放；</w:t>
            </w:r>
            <w:r>
              <w:rPr>
                <w:rFonts w:hint="default" w:ascii="Times New Roman" w:hAnsi="Times New Roman" w:eastAsia="宋体" w:cs="Times New Roman"/>
                <w:highlight w:val="none"/>
                <w:lang w:val="en-US" w:eastAsia="zh-CN"/>
              </w:rPr>
              <w:t>本项目无生产废水外排，无新增劳动定员，无新增生活污水；</w:t>
            </w:r>
            <w:r>
              <w:rPr>
                <w:rFonts w:hint="default" w:ascii="Times New Roman" w:hAnsi="Times New Roman" w:cs="Times New Roman"/>
                <w:color w:val="auto"/>
                <w:szCs w:val="21"/>
              </w:rPr>
              <w:t>对产生</w:t>
            </w:r>
            <w:r>
              <w:rPr>
                <w:rFonts w:hint="eastAsia" w:cs="Times New Roman"/>
                <w:color w:val="auto"/>
                <w:szCs w:val="21"/>
                <w:lang w:eastAsia="zh-CN"/>
              </w:rPr>
              <w:t>的</w:t>
            </w:r>
            <w:r>
              <w:rPr>
                <w:rFonts w:hint="default" w:ascii="Times New Roman" w:hAnsi="Times New Roman" w:cs="Times New Roman"/>
                <w:color w:val="auto"/>
                <w:szCs w:val="21"/>
              </w:rPr>
              <w:t>机械噪声</w:t>
            </w:r>
            <w:r>
              <w:rPr>
                <w:rFonts w:hint="eastAsia" w:cs="Times New Roman"/>
                <w:color w:val="auto"/>
                <w:szCs w:val="21"/>
                <w:lang w:eastAsia="zh-CN"/>
              </w:rPr>
              <w:t>采取</w:t>
            </w:r>
            <w:r>
              <w:rPr>
                <w:rFonts w:hint="default" w:ascii="Times New Roman" w:hAnsi="Times New Roman" w:eastAsia="宋体" w:cs="Times New Roman"/>
                <w:color w:val="auto"/>
                <w:sz w:val="24"/>
                <w:szCs w:val="21"/>
                <w:highlight w:val="none"/>
                <w:lang w:val="en-US" w:eastAsia="zh-CN"/>
              </w:rPr>
              <w:t>选用低噪声设备，设备加减振装置等措施，布局合理，高噪声设备远离厂界</w:t>
            </w:r>
            <w:r>
              <w:rPr>
                <w:rFonts w:hint="default" w:cs="Times New Roman"/>
                <w:color w:val="auto"/>
                <w:sz w:val="24"/>
                <w:szCs w:val="21"/>
                <w:highlight w:val="none"/>
                <w:lang w:val="en-US" w:eastAsia="zh-CN"/>
              </w:rPr>
              <w:t>，风机加装隔音罩，洁净车间二次密闭</w:t>
            </w:r>
            <w:r>
              <w:rPr>
                <w:rFonts w:hint="eastAsia" w:cs="Times New Roman"/>
                <w:color w:val="auto"/>
                <w:szCs w:val="21"/>
                <w:lang w:eastAsia="zh-CN"/>
              </w:rPr>
              <w:t>等措施</w:t>
            </w:r>
            <w:r>
              <w:rPr>
                <w:rFonts w:hint="eastAsia" w:ascii="Times New Roman" w:hAnsi="Times New Roman" w:cs="Times New Roman"/>
                <w:color w:val="auto"/>
                <w:szCs w:val="21"/>
                <w:lang w:eastAsia="zh-CN"/>
              </w:rPr>
              <w:t>，</w:t>
            </w:r>
            <w:r>
              <w:rPr>
                <w:rFonts w:hint="default" w:ascii="Times New Roman" w:hAnsi="Times New Roman" w:cs="Times New Roman"/>
                <w:color w:val="auto"/>
                <w:szCs w:val="21"/>
              </w:rPr>
              <w:t>在噪声传播途径上采取措施加以控制</w:t>
            </w:r>
            <w:r>
              <w:rPr>
                <w:rFonts w:hint="eastAsia" w:ascii="Times New Roman" w:hAnsi="Times New Roman" w:cs="Times New Roman"/>
                <w:color w:val="auto"/>
                <w:szCs w:val="21"/>
                <w:lang w:eastAsia="zh-CN"/>
              </w:rPr>
              <w:t>；</w:t>
            </w:r>
            <w:r>
              <w:rPr>
                <w:rFonts w:hint="default" w:ascii="Times New Roman" w:hAnsi="Times New Roman" w:eastAsia="宋体" w:cs="Times New Roman"/>
                <w:highlight w:val="none"/>
                <w:lang w:val="en-US" w:eastAsia="zh-CN"/>
              </w:rPr>
              <w:t>一般</w:t>
            </w:r>
            <w:r>
              <w:rPr>
                <w:rFonts w:hint="default" w:ascii="Times New Roman" w:hAnsi="Times New Roman" w:eastAsia="宋体" w:cs="Times New Roman"/>
                <w:highlight w:val="none"/>
              </w:rPr>
              <w:t>固体废</w:t>
            </w:r>
            <w:r>
              <w:rPr>
                <w:rFonts w:hint="default" w:ascii="Times New Roman" w:hAnsi="Times New Roman" w:eastAsia="宋体" w:cs="Times New Roman"/>
                <w:highlight w:val="none"/>
                <w:lang w:val="en-US" w:eastAsia="zh-CN"/>
              </w:rPr>
              <w:t>物</w:t>
            </w:r>
            <w:r>
              <w:rPr>
                <w:rFonts w:hint="default" w:ascii="Times New Roman" w:hAnsi="Times New Roman" w:eastAsia="宋体" w:cs="Times New Roman"/>
                <w:highlight w:val="none"/>
              </w:rPr>
              <w:t>收集后</w:t>
            </w:r>
            <w:r>
              <w:rPr>
                <w:rFonts w:hint="eastAsia" w:ascii="Times New Roman" w:hAnsi="Times New Roman" w:eastAsia="宋体" w:cs="Times New Roman"/>
                <w:highlight w:val="none"/>
                <w:lang w:val="en-US" w:eastAsia="zh-CN"/>
              </w:rPr>
              <w:t>外售综合利用</w:t>
            </w:r>
            <w:r>
              <w:rPr>
                <w:rFonts w:hint="eastAsia" w:cs="Times New Roman"/>
                <w:highlight w:val="none"/>
                <w:lang w:eastAsia="zh-CN"/>
              </w:rPr>
              <w:t>，</w:t>
            </w:r>
            <w:r>
              <w:rPr>
                <w:rFonts w:hint="default" w:ascii="Times New Roman" w:hAnsi="Times New Roman" w:eastAsia="宋体" w:cs="Times New Roman"/>
                <w:highlight w:val="none"/>
                <w:lang w:val="en-US" w:eastAsia="zh-CN"/>
              </w:rPr>
              <w:t>危险废物危废间暂存后交有资质单位处置</w:t>
            </w:r>
            <w:r>
              <w:rPr>
                <w:rFonts w:hint="default" w:ascii="Times New Roman" w:hAnsi="Times New Roman" w:cs="Times New Roman"/>
                <w:color w:val="auto"/>
                <w:szCs w:val="21"/>
              </w:rPr>
              <w:t>。</w:t>
            </w:r>
            <w:r>
              <w:rPr>
                <w:rFonts w:hint="default" w:ascii="Times New Roman" w:hAnsi="Times New Roman" w:eastAsia="宋体" w:cs="Times New Roman"/>
                <w:highlight w:val="none"/>
              </w:rPr>
              <w:t>因此，在采取相应的污染防</w:t>
            </w:r>
            <w:r>
              <w:rPr>
                <w:rFonts w:hint="default" w:ascii="Times New Roman" w:hAnsi="Times New Roman" w:eastAsia="宋体" w:cs="Times New Roman"/>
              </w:rPr>
              <w:t>治措施后，</w:t>
            </w:r>
            <w:r>
              <w:rPr>
                <w:rFonts w:hint="default" w:ascii="Times New Roman" w:hAnsi="Times New Roman" w:eastAsia="宋体" w:cs="Times New Roman"/>
                <w:highlight w:val="none"/>
              </w:rPr>
              <w:t>污染物均能妥善处理，不会产生二次污染</w:t>
            </w:r>
            <w:r>
              <w:rPr>
                <w:rFonts w:hint="eastAsia" w:ascii="Times New Roman" w:hAnsi="Times New Roman" w:eastAsia="宋体" w:cs="Times New Roman"/>
                <w:highlight w:val="none"/>
                <w:lang w:eastAsia="zh-CN"/>
              </w:rPr>
              <w:t>；</w:t>
            </w:r>
            <w:r>
              <w:rPr>
                <w:rFonts w:hint="default" w:ascii="Times New Roman" w:hAnsi="Times New Roman" w:eastAsia="宋体" w:cs="Times New Roman"/>
              </w:rPr>
              <w:t>各类污染物的排放不会对周围环境造成不良影响，符合环境质量底线的要求。</w:t>
            </w:r>
          </w:p>
          <w:p w14:paraId="20F7F0D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color w:val="000000"/>
                <w:kern w:val="2"/>
                <w:sz w:val="24"/>
                <w:highlight w:val="none"/>
                <w:lang w:eastAsia="zh-CN" w:bidi="ar-SA"/>
              </w:rPr>
            </w:pPr>
            <w:r>
              <w:rPr>
                <w:rFonts w:hint="default" w:ascii="Times New Roman" w:hAnsi="Times New Roman" w:eastAsia="宋体" w:cs="Times New Roman"/>
                <w:color w:val="000000"/>
                <w:kern w:val="2"/>
                <w:sz w:val="24"/>
                <w:highlight w:val="none"/>
                <w:lang w:eastAsia="zh-CN" w:bidi="ar-SA"/>
              </w:rPr>
              <w:t>（3）资源利用上线管控要求</w:t>
            </w:r>
          </w:p>
          <w:p w14:paraId="588D4C9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color w:val="000000"/>
                <w:kern w:val="2"/>
                <w:sz w:val="24"/>
                <w:highlight w:val="none"/>
                <w:lang w:eastAsia="zh-CN" w:bidi="ar-SA"/>
              </w:rPr>
            </w:pPr>
            <w:r>
              <w:rPr>
                <w:rFonts w:hint="eastAsia" w:ascii="Times New Roman" w:hAnsi="Times New Roman" w:eastAsia="宋体" w:cs="Times New Roman"/>
                <w:color w:val="000000"/>
                <w:kern w:val="2"/>
                <w:sz w:val="24"/>
                <w:highlight w:val="none"/>
                <w:lang w:val="en-US" w:eastAsia="zh-CN" w:bidi="ar-SA"/>
              </w:rPr>
              <w:t>本项目在原有车间内进行改造，不存在新增占地情况，节约了部分土地资源；</w:t>
            </w:r>
            <w:r>
              <w:rPr>
                <w:rFonts w:hint="eastAsia" w:cs="Times New Roman"/>
                <w:color w:val="000000"/>
                <w:kern w:val="2"/>
                <w:sz w:val="24"/>
                <w:highlight w:val="none"/>
                <w:lang w:val="en-US" w:eastAsia="zh-CN" w:bidi="ar-SA"/>
              </w:rPr>
              <w:t>新增外购纯水用量较少</w:t>
            </w:r>
            <w:r>
              <w:rPr>
                <w:rFonts w:hint="default" w:ascii="Times New Roman" w:hAnsi="Times New Roman" w:eastAsia="宋体" w:cs="Times New Roman"/>
                <w:color w:val="000000"/>
                <w:kern w:val="2"/>
                <w:sz w:val="24"/>
                <w:highlight w:val="none"/>
                <w:lang w:eastAsia="zh-CN" w:bidi="ar-SA"/>
              </w:rPr>
              <w:t>，</w:t>
            </w:r>
            <w:r>
              <w:rPr>
                <w:rFonts w:hint="eastAsia" w:ascii="Times New Roman" w:hAnsi="Times New Roman" w:eastAsia="宋体" w:cs="Times New Roman"/>
                <w:color w:val="000000"/>
                <w:kern w:val="2"/>
                <w:sz w:val="24"/>
                <w:highlight w:val="none"/>
                <w:lang w:eastAsia="zh-CN" w:bidi="ar-SA"/>
              </w:rPr>
              <w:t>无新增劳动定员，无新增</w:t>
            </w:r>
            <w:r>
              <w:rPr>
                <w:rFonts w:hint="default" w:ascii="Times New Roman" w:hAnsi="Times New Roman" w:eastAsia="宋体" w:cs="Times New Roman"/>
                <w:color w:val="000000"/>
                <w:kern w:val="2"/>
                <w:sz w:val="24"/>
                <w:highlight w:val="none"/>
                <w:lang w:val="en-US" w:eastAsia="zh-CN" w:bidi="ar-SA"/>
              </w:rPr>
              <w:t>生活用水，</w:t>
            </w:r>
            <w:r>
              <w:rPr>
                <w:rFonts w:hint="default" w:ascii="Times New Roman" w:hAnsi="Times New Roman" w:eastAsia="宋体" w:cs="Times New Roman"/>
                <w:color w:val="000000"/>
                <w:kern w:val="2"/>
                <w:sz w:val="24"/>
                <w:highlight w:val="none"/>
                <w:lang w:eastAsia="zh-CN" w:bidi="ar-SA"/>
              </w:rPr>
              <w:t>不会达到资源利用上限；项目用电由</w:t>
            </w:r>
            <w:r>
              <w:rPr>
                <w:rFonts w:hint="eastAsia" w:ascii="Times New Roman" w:hAnsi="Times New Roman" w:cs="Times New Roman"/>
                <w:sz w:val="24"/>
                <w:szCs w:val="24"/>
              </w:rPr>
              <w:t>沧州临港经济技术开发区西区</w:t>
            </w:r>
            <w:r>
              <w:rPr>
                <w:rFonts w:hint="default" w:ascii="Times New Roman" w:hAnsi="Times New Roman" w:cs="Times New Roman"/>
                <w:sz w:val="24"/>
                <w:szCs w:val="24"/>
              </w:rPr>
              <w:t>供电系统</w:t>
            </w:r>
            <w:r>
              <w:rPr>
                <w:rFonts w:hint="default" w:ascii="Times New Roman" w:hAnsi="Times New Roman" w:eastAsia="宋体" w:cs="Times New Roman"/>
                <w:color w:val="000000"/>
                <w:kern w:val="2"/>
                <w:sz w:val="24"/>
                <w:highlight w:val="none"/>
                <w:lang w:eastAsia="zh-CN" w:bidi="ar-SA"/>
              </w:rPr>
              <w:t>提供，本项目用电量较小，</w:t>
            </w:r>
            <w:r>
              <w:rPr>
                <w:rFonts w:hint="default" w:ascii="Times New Roman" w:hAnsi="Times New Roman" w:eastAsia="宋体" w:cs="Times New Roman"/>
                <w:kern w:val="0"/>
                <w:sz w:val="24"/>
              </w:rPr>
              <w:t>不属于高能耗企业</w:t>
            </w:r>
            <w:r>
              <w:rPr>
                <w:rFonts w:hint="default" w:ascii="Times New Roman" w:hAnsi="Times New Roman" w:eastAsia="宋体" w:cs="Times New Roman"/>
                <w:color w:val="000000"/>
                <w:kern w:val="2"/>
                <w:sz w:val="24"/>
                <w:highlight w:val="none"/>
                <w:lang w:eastAsia="zh-CN" w:bidi="ar-SA"/>
              </w:rPr>
              <w:t>；</w:t>
            </w:r>
            <w:r>
              <w:rPr>
                <w:rFonts w:hint="default" w:ascii="Times New Roman" w:hAnsi="Times New Roman" w:eastAsia="宋体" w:cs="Times New Roman"/>
                <w:color w:val="000000"/>
                <w:kern w:val="2"/>
                <w:sz w:val="24"/>
                <w:highlight w:val="none"/>
                <w:lang w:val="en-US" w:eastAsia="zh-CN" w:bidi="ar-SA"/>
              </w:rPr>
              <w:t>因此，</w:t>
            </w:r>
            <w:r>
              <w:rPr>
                <w:rFonts w:hint="default" w:ascii="Times New Roman" w:hAnsi="Times New Roman" w:eastAsia="宋体" w:cs="Times New Roman"/>
                <w:color w:val="000000"/>
                <w:kern w:val="2"/>
                <w:sz w:val="24"/>
                <w:highlight w:val="none"/>
                <w:lang w:eastAsia="zh-CN" w:bidi="ar-SA"/>
              </w:rPr>
              <w:t>本项目不会达到资源利用上限。</w:t>
            </w:r>
          </w:p>
          <w:p w14:paraId="3F14538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color w:val="000000"/>
                <w:kern w:val="2"/>
                <w:sz w:val="24"/>
                <w:highlight w:val="none"/>
                <w:lang w:eastAsia="zh-CN" w:bidi="ar-SA"/>
              </w:rPr>
            </w:pPr>
            <w:r>
              <w:rPr>
                <w:rFonts w:hint="default" w:ascii="Times New Roman" w:hAnsi="Times New Roman" w:eastAsia="宋体" w:cs="Times New Roman"/>
                <w:color w:val="000000"/>
                <w:kern w:val="2"/>
                <w:sz w:val="24"/>
                <w:highlight w:val="none"/>
                <w:lang w:eastAsia="zh-CN" w:bidi="ar-SA"/>
              </w:rPr>
              <w:t>（4）生态环境准入清单</w:t>
            </w:r>
          </w:p>
          <w:p w14:paraId="5F6EBAC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color w:val="000000"/>
                <w:kern w:val="2"/>
                <w:sz w:val="24"/>
                <w:highlight w:val="none"/>
                <w:lang w:eastAsia="zh-CN" w:bidi="ar-SA"/>
              </w:rPr>
            </w:pPr>
            <w:r>
              <w:rPr>
                <w:rFonts w:hint="default" w:ascii="Times New Roman" w:hAnsi="Times New Roman" w:eastAsia="宋体" w:cs="Times New Roman"/>
                <w:color w:val="000000"/>
                <w:kern w:val="2"/>
                <w:sz w:val="24"/>
                <w:highlight w:val="none"/>
                <w:lang w:eastAsia="zh-CN" w:bidi="ar-SA"/>
              </w:rPr>
              <w:t>本项目为</w:t>
            </w:r>
            <w:r>
              <w:rPr>
                <w:rFonts w:hint="eastAsia" w:cs="Times New Roman"/>
                <w:color w:val="000000"/>
                <w:kern w:val="2"/>
                <w:sz w:val="24"/>
                <w:highlight w:val="none"/>
                <w:lang w:val="en-US" w:eastAsia="zh-CN" w:bidi="ar-SA"/>
              </w:rPr>
              <w:t>塑料零件及其他塑料制品制造行业</w:t>
            </w:r>
            <w:r>
              <w:rPr>
                <w:rFonts w:hint="default" w:ascii="Times New Roman" w:hAnsi="Times New Roman" w:eastAsia="宋体" w:cs="Times New Roman"/>
                <w:color w:val="000000"/>
                <w:kern w:val="2"/>
                <w:sz w:val="24"/>
                <w:highlight w:val="none"/>
                <w:lang w:eastAsia="zh-CN" w:bidi="ar-SA"/>
              </w:rPr>
              <w:t>，</w:t>
            </w:r>
            <w:r>
              <w:rPr>
                <w:rFonts w:hint="eastAsia" w:ascii="Times New Roman" w:hAnsi="Times New Roman" w:eastAsia="宋体" w:cs="Times New Roman"/>
                <w:color w:val="000000"/>
                <w:kern w:val="2"/>
                <w:sz w:val="24"/>
                <w:highlight w:val="none"/>
                <w:lang w:eastAsia="zh-CN" w:bidi="ar-SA"/>
              </w:rPr>
              <w:t>主要生产中药包装袋，属于医药配套产业，</w:t>
            </w:r>
            <w:r>
              <w:rPr>
                <w:rFonts w:hint="default" w:ascii="Times New Roman" w:hAnsi="Times New Roman" w:eastAsia="宋体" w:cs="Times New Roman"/>
                <w:color w:val="000000"/>
                <w:kern w:val="2"/>
                <w:sz w:val="24"/>
                <w:highlight w:val="none"/>
                <w:lang w:eastAsia="zh-CN" w:bidi="ar-SA"/>
              </w:rPr>
              <w:t>根据《产业结构调整指导目录（2024年本）》，本项目不属于鼓励类、限制类和淘汰类，项目属于允许的建设项目。对</w:t>
            </w:r>
            <w:r>
              <w:rPr>
                <w:rFonts w:hint="default" w:ascii="Times New Roman" w:hAnsi="Times New Roman" w:eastAsia="宋体" w:cs="Times New Roman"/>
                <w:color w:val="auto"/>
                <w:kern w:val="0"/>
                <w:sz w:val="24"/>
                <w:szCs w:val="24"/>
                <w:lang w:val="en-US" w:eastAsia="zh-CN"/>
              </w:rPr>
              <w:t>照沧州市生态环境准入清单综合管控要求</w:t>
            </w:r>
            <w:r>
              <w:rPr>
                <w:rFonts w:hint="default" w:ascii="Times New Roman" w:hAnsi="Times New Roman" w:eastAsia="宋体" w:cs="Times New Roman"/>
                <w:color w:val="000000"/>
                <w:kern w:val="2"/>
                <w:sz w:val="24"/>
                <w:highlight w:val="none"/>
                <w:lang w:eastAsia="zh-CN" w:bidi="ar-SA"/>
              </w:rPr>
              <w:t>，</w:t>
            </w:r>
            <w:r>
              <w:rPr>
                <w:rFonts w:hint="eastAsia" w:ascii="Times New Roman" w:hAnsi="Times New Roman" w:eastAsia="宋体" w:cs="Times New Roman"/>
                <w:color w:val="000000"/>
                <w:kern w:val="2"/>
                <w:sz w:val="24"/>
                <w:highlight w:val="none"/>
                <w:lang w:eastAsia="zh-CN" w:bidi="ar-SA"/>
              </w:rPr>
              <w:t>符合性分析</w:t>
            </w:r>
            <w:r>
              <w:rPr>
                <w:rFonts w:hint="default" w:ascii="Times New Roman" w:hAnsi="Times New Roman" w:eastAsia="宋体" w:cs="Times New Roman"/>
                <w:color w:val="000000"/>
                <w:kern w:val="2"/>
                <w:sz w:val="24"/>
                <w:highlight w:val="none"/>
                <w:lang w:eastAsia="zh-CN" w:bidi="ar-SA"/>
              </w:rPr>
              <w:t>如下：</w:t>
            </w:r>
          </w:p>
          <w:p w14:paraId="518B6FCD">
            <w:pPr>
              <w:keepNext w:val="0"/>
              <w:keepLines w:val="0"/>
              <w:suppressLineNumbers w:val="0"/>
              <w:spacing w:before="0" w:beforeAutospacing="0" w:after="0" w:afterAutospacing="0" w:line="240" w:lineRule="auto"/>
              <w:ind w:left="0" w:right="0" w:firstLine="422" w:firstLineChars="200"/>
              <w:jc w:val="center"/>
              <w:rPr>
                <w:rFonts w:hint="default" w:ascii="Times New Roman" w:hAnsi="Times New Roman" w:eastAsia="宋体" w:cs="Times New Roman"/>
                <w:b/>
                <w:bCs/>
                <w:color w:val="000000"/>
                <w:kern w:val="0"/>
                <w:sz w:val="21"/>
                <w:szCs w:val="21"/>
                <w:lang w:val="en-US" w:eastAsia="zh-CN" w:bidi="ar-SA"/>
              </w:rPr>
            </w:pPr>
            <w:r>
              <w:rPr>
                <w:rFonts w:hint="eastAsia" w:ascii="Times New Roman" w:hAnsi="Times New Roman" w:eastAsia="宋体" w:cs="Times New Roman"/>
                <w:b/>
                <w:bCs/>
                <w:color w:val="000000"/>
                <w:kern w:val="0"/>
                <w:sz w:val="21"/>
                <w:szCs w:val="21"/>
                <w:lang w:val="en-US" w:eastAsia="zh-CN" w:bidi="ar-SA"/>
              </w:rPr>
              <w:t>与</w:t>
            </w:r>
            <w:r>
              <w:rPr>
                <w:rFonts w:hint="default" w:ascii="Times New Roman" w:hAnsi="Times New Roman" w:eastAsia="宋体" w:cs="Times New Roman"/>
                <w:b/>
                <w:bCs/>
                <w:color w:val="000000"/>
                <w:kern w:val="0"/>
                <w:sz w:val="21"/>
                <w:szCs w:val="21"/>
                <w:lang w:val="en-US" w:eastAsia="zh-CN" w:bidi="ar-SA"/>
              </w:rPr>
              <w:t>沧州市生态环境准入清单综合管控要求符合性分析</w:t>
            </w:r>
          </w:p>
          <w:tbl>
            <w:tblPr>
              <w:tblStyle w:val="38"/>
              <w:tblW w:w="76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1"/>
              <w:gridCol w:w="4225"/>
              <w:gridCol w:w="1380"/>
              <w:gridCol w:w="854"/>
            </w:tblGrid>
            <w:tr w14:paraId="1A396A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pct"/>
                  <w:noWrap w:val="0"/>
                  <w:vAlign w:val="center"/>
                </w:tcPr>
                <w:p w14:paraId="2AEF5B02">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生态环境</w:t>
                  </w:r>
                </w:p>
                <w:p w14:paraId="6FC124C0">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定位</w:t>
                  </w:r>
                </w:p>
              </w:tc>
              <w:tc>
                <w:tcPr>
                  <w:tcW w:w="2750" w:type="pct"/>
                  <w:noWrap w:val="0"/>
                  <w:vAlign w:val="center"/>
                </w:tcPr>
                <w:p w14:paraId="79CA4725">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管控策略</w:t>
                  </w:r>
                </w:p>
              </w:tc>
              <w:tc>
                <w:tcPr>
                  <w:tcW w:w="898" w:type="pct"/>
                  <w:noWrap w:val="0"/>
                  <w:vAlign w:val="center"/>
                </w:tcPr>
                <w:p w14:paraId="2A16522E">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本项目</w:t>
                  </w:r>
                </w:p>
              </w:tc>
              <w:tc>
                <w:tcPr>
                  <w:tcW w:w="555" w:type="pct"/>
                  <w:noWrap w:val="0"/>
                  <w:vAlign w:val="center"/>
                </w:tcPr>
                <w:p w14:paraId="77BFB196">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kern w:val="0"/>
                      <w:szCs w:val="21"/>
                      <w:lang w:bidi="en-US"/>
                    </w:rPr>
                  </w:pPr>
                  <w:r>
                    <w:rPr>
                      <w:rFonts w:hint="default" w:ascii="Times New Roman" w:hAnsi="Times New Roman" w:eastAsia="宋体" w:cs="Times New Roman"/>
                      <w:kern w:val="0"/>
                      <w:szCs w:val="21"/>
                      <w:lang w:bidi="en-US"/>
                    </w:rPr>
                    <w:t>符合性</w:t>
                  </w:r>
                </w:p>
              </w:tc>
            </w:tr>
            <w:tr w14:paraId="2AB57F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pct"/>
                  <w:noWrap w:val="0"/>
                  <w:vAlign w:val="center"/>
                </w:tcPr>
                <w:p w14:paraId="2B6941F6">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szCs w:val="21"/>
                    </w:rPr>
                  </w:pPr>
                  <w:r>
                    <w:rPr>
                      <w:rFonts w:hint="default" w:ascii="Times New Roman" w:hAnsi="Times New Roman" w:eastAsia="宋体" w:cs="Times New Roman"/>
                      <w:szCs w:val="21"/>
                    </w:rPr>
                    <w:t>京津冀大气污染传输通道城市；河北省空气质量持续改善区</w:t>
                  </w:r>
                </w:p>
              </w:tc>
              <w:tc>
                <w:tcPr>
                  <w:tcW w:w="2750" w:type="pct"/>
                  <w:noWrap w:val="0"/>
                  <w:vAlign w:val="center"/>
                </w:tcPr>
                <w:p w14:paraId="0D71A9F3">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jc w:val="both"/>
                    <w:textAlignment w:val="auto"/>
                    <w:rPr>
                      <w:rFonts w:hint="default" w:ascii="Times New Roman" w:hAnsi="Times New Roman" w:eastAsia="宋体" w:cs="Times New Roman"/>
                      <w:szCs w:val="21"/>
                    </w:rPr>
                  </w:pPr>
                  <w:r>
                    <w:rPr>
                      <w:rFonts w:hint="default" w:ascii="Times New Roman" w:hAnsi="Times New Roman" w:eastAsia="宋体" w:cs="Times New Roman"/>
                      <w:szCs w:val="21"/>
                    </w:rPr>
                    <w:t>1.加强城市建成区及上风向地区、工业园区等布局管控，引导敏感区重点行业转型升级、搬迁退出。中心城区高速合围区禁止新增二类以上涉气工业企业。</w:t>
                  </w:r>
                </w:p>
                <w:p w14:paraId="6690F93C">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jc w:val="both"/>
                    <w:textAlignment w:val="auto"/>
                    <w:rPr>
                      <w:rFonts w:hint="default" w:ascii="Times New Roman" w:hAnsi="Times New Roman" w:eastAsia="宋体" w:cs="Times New Roman"/>
                      <w:szCs w:val="21"/>
                    </w:rPr>
                  </w:pPr>
                  <w:r>
                    <w:rPr>
                      <w:rFonts w:hint="default" w:ascii="Times New Roman" w:hAnsi="Times New Roman" w:eastAsia="宋体" w:cs="Times New Roman"/>
                      <w:szCs w:val="21"/>
                    </w:rPr>
                    <w:t>2.强化控煤为重点的能源清洁化战略，压减地区燃煤量，倡导清洁能源。</w:t>
                  </w:r>
                </w:p>
                <w:p w14:paraId="70076269">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jc w:val="both"/>
                    <w:textAlignment w:val="auto"/>
                    <w:rPr>
                      <w:rFonts w:hint="default" w:ascii="Times New Roman" w:hAnsi="Times New Roman" w:eastAsia="宋体" w:cs="Times New Roman"/>
                      <w:szCs w:val="21"/>
                    </w:rPr>
                  </w:pPr>
                  <w:r>
                    <w:rPr>
                      <w:rFonts w:hint="default" w:ascii="Times New Roman" w:hAnsi="Times New Roman" w:eastAsia="宋体" w:cs="Times New Roman"/>
                      <w:szCs w:val="21"/>
                    </w:rPr>
                    <w:t>3.推动钢铁、石化、水泥等产业升级，加强细颗粒物(PM</w:t>
                  </w:r>
                  <w:r>
                    <w:rPr>
                      <w:rFonts w:hint="default" w:ascii="Times New Roman" w:hAnsi="Times New Roman" w:eastAsia="宋体" w:cs="Times New Roman"/>
                      <w:szCs w:val="21"/>
                      <w:vertAlign w:val="subscript"/>
                    </w:rPr>
                    <w:t>2.5</w:t>
                  </w:r>
                  <w:r>
                    <w:rPr>
                      <w:rFonts w:hint="default" w:ascii="Times New Roman" w:hAnsi="Times New Roman" w:eastAsia="宋体" w:cs="Times New Roman"/>
                      <w:szCs w:val="21"/>
                    </w:rPr>
                    <w:t>)和臭氧(O</w:t>
                  </w:r>
                  <w:r>
                    <w:rPr>
                      <w:rFonts w:hint="default" w:ascii="Times New Roman" w:hAnsi="Times New Roman" w:eastAsia="宋体" w:cs="Times New Roman"/>
                      <w:szCs w:val="21"/>
                      <w:vertAlign w:val="subscript"/>
                    </w:rPr>
                    <w:t>3</w:t>
                  </w:r>
                  <w:r>
                    <w:rPr>
                      <w:rFonts w:hint="default" w:ascii="Times New Roman" w:hAnsi="Times New Roman" w:eastAsia="宋体" w:cs="Times New Roman"/>
                      <w:szCs w:val="21"/>
                    </w:rPr>
                    <w:t>)协同治理，强化铸造、塑料等行业标准建设。</w:t>
                  </w:r>
                </w:p>
                <w:p w14:paraId="2C85A644">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jc w:val="both"/>
                    <w:textAlignment w:val="auto"/>
                    <w:rPr>
                      <w:rFonts w:hint="default" w:ascii="Times New Roman" w:hAnsi="Times New Roman" w:eastAsia="宋体" w:cs="Times New Roman"/>
                      <w:szCs w:val="21"/>
                    </w:rPr>
                  </w:pPr>
                  <w:r>
                    <w:rPr>
                      <w:rFonts w:hint="default" w:ascii="Times New Roman" w:hAnsi="Times New Roman" w:eastAsia="宋体" w:cs="Times New Roman"/>
                      <w:szCs w:val="21"/>
                    </w:rPr>
                    <w:t>4.加快铁路专用线建设，推广新能源车，加快港口污染治理，强化监督检查。</w:t>
                  </w:r>
                </w:p>
              </w:tc>
              <w:tc>
                <w:tcPr>
                  <w:tcW w:w="898" w:type="pct"/>
                  <w:noWrap w:val="0"/>
                  <w:vAlign w:val="center"/>
                </w:tcPr>
                <w:p w14:paraId="0E4799A7">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jc w:val="both"/>
                    <w:textAlignment w:val="auto"/>
                    <w:rPr>
                      <w:rFonts w:hint="eastAsia" w:cs="Times New Roman"/>
                      <w:szCs w:val="21"/>
                      <w:lang w:eastAsia="zh-CN"/>
                    </w:rPr>
                  </w:pPr>
                  <w:r>
                    <w:rPr>
                      <w:rFonts w:hint="eastAsia" w:cs="Times New Roman"/>
                      <w:kern w:val="2"/>
                      <w:sz w:val="21"/>
                      <w:szCs w:val="21"/>
                      <w:lang w:val="en-US" w:eastAsia="zh-CN" w:bidi="ar-SA"/>
                    </w:rPr>
                    <w:t>1.</w:t>
                  </w:r>
                  <w:r>
                    <w:rPr>
                      <w:rFonts w:hint="default" w:ascii="Times New Roman" w:hAnsi="Times New Roman" w:eastAsia="宋体" w:cs="Times New Roman"/>
                      <w:kern w:val="2"/>
                      <w:sz w:val="21"/>
                      <w:szCs w:val="21"/>
                      <w:lang w:eastAsia="zh-CN" w:bidi="ar-SA"/>
                    </w:rPr>
                    <w:t>本项目位</w:t>
                  </w:r>
                  <w:r>
                    <w:rPr>
                      <w:rFonts w:hint="eastAsia"/>
                      <w:lang w:eastAsia="zh-CN"/>
                    </w:rPr>
                    <w:t>于</w:t>
                  </w:r>
                  <w:r>
                    <w:rPr>
                      <w:rFonts w:hint="eastAsia" w:ascii="Times New Roman" w:hAnsi="Times New Roman" w:eastAsia="宋体" w:cs="Times New Roman"/>
                      <w:kern w:val="2"/>
                      <w:sz w:val="21"/>
                      <w:szCs w:val="21"/>
                      <w:lang w:eastAsia="zh-CN" w:bidi="ar-SA"/>
                    </w:rPr>
                    <w:t>沧州临港经济技术开发区西区</w:t>
                  </w:r>
                  <w:r>
                    <w:rPr>
                      <w:rFonts w:hint="eastAsia" w:ascii="Times New Roman" w:hAnsi="Times New Roman" w:eastAsia="宋体" w:cs="Times New Roman"/>
                      <w:kern w:val="2"/>
                      <w:sz w:val="21"/>
                      <w:szCs w:val="21"/>
                      <w:lang w:val="en-US" w:eastAsia="zh-CN" w:bidi="ar-SA"/>
                    </w:rPr>
                    <w:t>内</w:t>
                  </w:r>
                  <w:r>
                    <w:rPr>
                      <w:rFonts w:hint="default" w:ascii="Times New Roman" w:hAnsi="Times New Roman" w:eastAsia="宋体" w:cs="Times New Roman"/>
                      <w:kern w:val="2"/>
                      <w:sz w:val="21"/>
                      <w:szCs w:val="21"/>
                      <w:lang w:eastAsia="zh-CN" w:bidi="ar-SA"/>
                    </w:rPr>
                    <w:t>，</w:t>
                  </w:r>
                  <w:r>
                    <w:rPr>
                      <w:rFonts w:hint="eastAsia" w:cs="Times New Roman"/>
                      <w:kern w:val="2"/>
                      <w:sz w:val="21"/>
                      <w:szCs w:val="21"/>
                      <w:lang w:eastAsia="zh-CN" w:bidi="ar-SA"/>
                    </w:rPr>
                    <w:t>不属于</w:t>
                  </w:r>
                  <w:r>
                    <w:rPr>
                      <w:rFonts w:hint="default" w:ascii="Times New Roman" w:hAnsi="Times New Roman" w:eastAsia="宋体" w:cs="Times New Roman"/>
                      <w:szCs w:val="21"/>
                    </w:rPr>
                    <w:t>中心城区高速合围区</w:t>
                  </w:r>
                  <w:r>
                    <w:rPr>
                      <w:rFonts w:hint="eastAsia" w:cs="Times New Roman"/>
                      <w:szCs w:val="21"/>
                      <w:lang w:eastAsia="zh-CN"/>
                    </w:rPr>
                    <w:t>；</w:t>
                  </w:r>
                </w:p>
                <w:p w14:paraId="5D123EA8">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jc w:val="both"/>
                    <w:textAlignment w:val="auto"/>
                    <w:rPr>
                      <w:rFonts w:hint="eastAsia" w:cs="Times New Roman"/>
                      <w:kern w:val="2"/>
                      <w:sz w:val="21"/>
                      <w:szCs w:val="21"/>
                      <w:lang w:eastAsia="zh-CN" w:bidi="ar-SA"/>
                    </w:rPr>
                  </w:pPr>
                  <w:r>
                    <w:rPr>
                      <w:rFonts w:hint="eastAsia" w:cs="Times New Roman"/>
                      <w:szCs w:val="21"/>
                      <w:lang w:val="en-US" w:eastAsia="zh-CN"/>
                    </w:rPr>
                    <w:t>2.</w:t>
                  </w:r>
                  <w:r>
                    <w:rPr>
                      <w:rFonts w:hint="eastAsia" w:ascii="Times New Roman" w:hAnsi="Times New Roman" w:eastAsia="宋体" w:cs="Times New Roman"/>
                      <w:kern w:val="2"/>
                      <w:sz w:val="21"/>
                      <w:szCs w:val="21"/>
                      <w:lang w:val="en-US" w:eastAsia="zh-CN" w:bidi="ar-SA"/>
                    </w:rPr>
                    <w:t>项目</w:t>
                  </w:r>
                  <w:r>
                    <w:rPr>
                      <w:rFonts w:hint="eastAsia" w:ascii="Times New Roman" w:hAnsi="Times New Roman" w:eastAsia="宋体" w:cs="Times New Roman"/>
                      <w:kern w:val="2"/>
                      <w:sz w:val="21"/>
                      <w:szCs w:val="21"/>
                      <w:lang w:eastAsia="zh-CN" w:bidi="ar-SA"/>
                    </w:rPr>
                    <w:t>不使用煤，</w:t>
                  </w:r>
                  <w:r>
                    <w:rPr>
                      <w:rFonts w:hint="eastAsia" w:ascii="Times New Roman" w:hAnsi="Times New Roman" w:eastAsia="宋体" w:cs="Times New Roman"/>
                      <w:szCs w:val="21"/>
                      <w:lang w:eastAsia="zh-CN"/>
                    </w:rPr>
                    <w:t>生产用热采用电，</w:t>
                  </w:r>
                  <w:r>
                    <w:rPr>
                      <w:rFonts w:hint="eastAsia" w:ascii="Times New Roman" w:hAnsi="Times New Roman" w:eastAsia="宋体" w:cs="Times New Roman"/>
                      <w:kern w:val="2"/>
                      <w:sz w:val="21"/>
                      <w:szCs w:val="21"/>
                      <w:lang w:eastAsia="zh-CN" w:bidi="ar-SA"/>
                    </w:rPr>
                    <w:t>无燃煤量</w:t>
                  </w:r>
                  <w:r>
                    <w:rPr>
                      <w:rFonts w:hint="eastAsia" w:cs="Times New Roman"/>
                      <w:kern w:val="2"/>
                      <w:sz w:val="21"/>
                      <w:szCs w:val="21"/>
                      <w:lang w:eastAsia="zh-CN" w:bidi="ar-SA"/>
                    </w:rPr>
                    <w:t>；</w:t>
                  </w:r>
                </w:p>
                <w:p w14:paraId="462C8715">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jc w:val="both"/>
                    <w:textAlignment w:val="auto"/>
                    <w:rPr>
                      <w:rFonts w:hint="eastAsia" w:cs="Times New Roman"/>
                      <w:kern w:val="2"/>
                      <w:sz w:val="21"/>
                      <w:szCs w:val="21"/>
                      <w:lang w:val="en-US" w:eastAsia="zh-CN" w:bidi="ar-SA"/>
                    </w:rPr>
                  </w:pPr>
                  <w:r>
                    <w:rPr>
                      <w:rFonts w:hint="eastAsia" w:cs="Times New Roman"/>
                      <w:kern w:val="2"/>
                      <w:sz w:val="21"/>
                      <w:szCs w:val="21"/>
                      <w:lang w:val="en-US" w:eastAsia="zh-CN" w:bidi="ar-SA"/>
                    </w:rPr>
                    <w:t>3.本项目</w:t>
                  </w:r>
                  <w:r>
                    <w:rPr>
                      <w:rFonts w:hint="eastAsia" w:cs="Times New Roman"/>
                      <w:kern w:val="2"/>
                      <w:sz w:val="21"/>
                      <w:szCs w:val="21"/>
                      <w:lang w:eastAsia="zh-CN" w:bidi="ar-SA"/>
                    </w:rPr>
                    <w:t>属于</w:t>
                  </w:r>
                  <w:r>
                    <w:rPr>
                      <w:rFonts w:hint="eastAsia" w:cs="黑体"/>
                      <w:position w:val="2"/>
                      <w:sz w:val="21"/>
                      <w:szCs w:val="21"/>
                      <w:lang w:val="en-US" w:eastAsia="zh-CN"/>
                    </w:rPr>
                    <w:t>塑料零件及其他塑料制品制造行业，</w:t>
                  </w:r>
                  <w:r>
                    <w:rPr>
                      <w:rFonts w:hint="eastAsia" w:ascii="Times New Roman" w:hAnsi="Times New Roman" w:eastAsia="宋体" w:cs="Times New Roman"/>
                      <w:kern w:val="2"/>
                      <w:sz w:val="21"/>
                      <w:szCs w:val="21"/>
                      <w:lang w:val="en-US" w:eastAsia="zh-CN" w:bidi="ar-SA"/>
                    </w:rPr>
                    <w:t>严</w:t>
                  </w:r>
                  <w:r>
                    <w:rPr>
                      <w:rFonts w:hint="default" w:ascii="Times New Roman" w:hAnsi="Times New Roman" w:eastAsia="宋体" w:cs="Times New Roman"/>
                      <w:kern w:val="2"/>
                      <w:sz w:val="21"/>
                      <w:szCs w:val="21"/>
                      <w:lang w:val="en-US" w:eastAsia="zh-CN" w:bidi="ar-SA"/>
                    </w:rPr>
                    <w:t>格依</w:t>
                  </w:r>
                  <w:r>
                    <w:rPr>
                      <w:rFonts w:hint="eastAsia" w:ascii="Times New Roman" w:hAnsi="Times New Roman" w:eastAsia="宋体" w:cs="Times New Roman"/>
                      <w:kern w:val="2"/>
                      <w:sz w:val="21"/>
                      <w:szCs w:val="21"/>
                      <w:lang w:val="en-US" w:eastAsia="zh-CN" w:bidi="ar-SA"/>
                    </w:rPr>
                    <w:t>相应</w:t>
                  </w:r>
                  <w:r>
                    <w:rPr>
                      <w:rFonts w:hint="default" w:ascii="Times New Roman" w:hAnsi="Times New Roman" w:eastAsia="宋体" w:cs="Times New Roman"/>
                      <w:kern w:val="2"/>
                      <w:sz w:val="21"/>
                      <w:szCs w:val="21"/>
                      <w:lang w:eastAsia="zh-CN" w:bidi="ar-SA"/>
                    </w:rPr>
                    <w:t>行业</w:t>
                  </w:r>
                  <w:r>
                    <w:rPr>
                      <w:rFonts w:hint="default" w:ascii="Times New Roman" w:hAnsi="Times New Roman" w:eastAsia="宋体" w:cs="Times New Roman"/>
                      <w:kern w:val="2"/>
                      <w:sz w:val="21"/>
                      <w:szCs w:val="21"/>
                      <w:lang w:val="en-US" w:eastAsia="zh-CN" w:bidi="ar-SA"/>
                    </w:rPr>
                    <w:t>标准建设</w:t>
                  </w:r>
                  <w:r>
                    <w:rPr>
                      <w:rFonts w:hint="eastAsia" w:cs="Times New Roman"/>
                      <w:kern w:val="2"/>
                      <w:sz w:val="21"/>
                      <w:szCs w:val="21"/>
                      <w:lang w:val="en-US" w:eastAsia="zh-CN" w:bidi="ar-SA"/>
                    </w:rPr>
                    <w:t>；</w:t>
                  </w:r>
                </w:p>
                <w:p w14:paraId="0B76E3BD">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jc w:val="both"/>
                    <w:textAlignment w:val="auto"/>
                    <w:rPr>
                      <w:rFonts w:hint="default" w:cs="Times New Roman"/>
                      <w:kern w:val="2"/>
                      <w:sz w:val="21"/>
                      <w:szCs w:val="21"/>
                      <w:lang w:val="en-US" w:eastAsia="zh-CN" w:bidi="ar-SA"/>
                    </w:rPr>
                  </w:pPr>
                  <w:r>
                    <w:rPr>
                      <w:rFonts w:hint="eastAsia" w:cs="Times New Roman"/>
                      <w:kern w:val="2"/>
                      <w:sz w:val="21"/>
                      <w:szCs w:val="21"/>
                      <w:lang w:val="en-US" w:eastAsia="zh-CN" w:bidi="ar-SA"/>
                    </w:rPr>
                    <w:t>4.不涉及。</w:t>
                  </w:r>
                </w:p>
              </w:tc>
              <w:tc>
                <w:tcPr>
                  <w:tcW w:w="555" w:type="pct"/>
                  <w:noWrap w:val="0"/>
                  <w:vAlign w:val="center"/>
                </w:tcPr>
                <w:p w14:paraId="1F9BEEA2">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szCs w:val="21"/>
                    </w:rPr>
                  </w:pPr>
                  <w:r>
                    <w:rPr>
                      <w:rFonts w:hint="default" w:ascii="Times New Roman" w:hAnsi="Times New Roman" w:eastAsia="宋体" w:cs="Times New Roman"/>
                      <w:szCs w:val="21"/>
                    </w:rPr>
                    <w:t>符合</w:t>
                  </w:r>
                </w:p>
              </w:tc>
            </w:tr>
            <w:tr w14:paraId="55191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794" w:type="pct"/>
                  <w:vMerge w:val="restart"/>
                  <w:noWrap w:val="0"/>
                  <w:vAlign w:val="center"/>
                </w:tcPr>
                <w:p w14:paraId="65383CC9">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szCs w:val="21"/>
                    </w:rPr>
                  </w:pPr>
                  <w:r>
                    <w:rPr>
                      <w:rFonts w:hint="default" w:ascii="Times New Roman" w:hAnsi="Times New Roman" w:eastAsia="宋体" w:cs="Times New Roman"/>
                      <w:szCs w:val="21"/>
                    </w:rPr>
                    <w:t>资源高效利用</w:t>
                  </w:r>
                </w:p>
              </w:tc>
              <w:tc>
                <w:tcPr>
                  <w:tcW w:w="2750" w:type="pct"/>
                  <w:noWrap w:val="0"/>
                  <w:vAlign w:val="center"/>
                </w:tcPr>
                <w:p w14:paraId="207DB2D7">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both"/>
                    <w:textAlignment w:val="auto"/>
                    <w:rPr>
                      <w:rFonts w:hint="default" w:ascii="Times New Roman" w:hAnsi="Times New Roman" w:eastAsia="宋体" w:cs="Times New Roman"/>
                      <w:szCs w:val="21"/>
                    </w:rPr>
                  </w:pPr>
                  <w:r>
                    <w:rPr>
                      <w:rFonts w:hint="default" w:ascii="Times New Roman" w:hAnsi="Times New Roman" w:eastAsia="宋体" w:cs="Times New Roman"/>
                      <w:szCs w:val="21"/>
                    </w:rPr>
                    <w:t>按照《华北地区地下水超采综合治理行动方案》（水规计[2019]33号）、《河北省人民政府关于公布地下水超采区、禁止开采区和限制开采区范围的通知》（冀政字[2017]48号）及《关于地下水超采综合治理实施意见》（冀办[2019]17号）对地下水超采区进行管控。在保障正常供水目标的前提下，相继为主要河流及湖泊湿地进行生态补水，加大水源涵养林修复提质力度，逐步恢复河湖水系、填补地下水亏空水量，增加地下水补给量，恢复地下水水位，改善和修复河流与湖泊湿地生态状况。加强引水管理，合理调度水资源。</w:t>
                  </w:r>
                </w:p>
              </w:tc>
              <w:tc>
                <w:tcPr>
                  <w:tcW w:w="898" w:type="pct"/>
                  <w:noWrap w:val="0"/>
                  <w:vAlign w:val="center"/>
                </w:tcPr>
                <w:p w14:paraId="55AE0EA8">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both"/>
                    <w:textAlignment w:val="auto"/>
                    <w:rPr>
                      <w:rFonts w:hint="eastAsia" w:ascii="Times New Roman" w:hAnsi="Times New Roman" w:eastAsia="宋体" w:cs="Times New Roman"/>
                      <w:szCs w:val="21"/>
                      <w:lang w:eastAsia="zh-CN"/>
                    </w:rPr>
                  </w:pPr>
                  <w:r>
                    <w:rPr>
                      <w:rFonts w:hint="default" w:ascii="Times New Roman" w:hAnsi="Times New Roman" w:eastAsia="宋体" w:cs="Times New Roman"/>
                      <w:szCs w:val="21"/>
                    </w:rPr>
                    <w:t>本项目不开采地下水</w:t>
                  </w:r>
                  <w:r>
                    <w:rPr>
                      <w:rFonts w:hint="eastAsia" w:cs="Times New Roman"/>
                      <w:szCs w:val="21"/>
                      <w:lang w:eastAsia="zh-CN"/>
                    </w:rPr>
                    <w:t>。</w:t>
                  </w:r>
                </w:p>
              </w:tc>
              <w:tc>
                <w:tcPr>
                  <w:tcW w:w="555" w:type="pct"/>
                  <w:vMerge w:val="restart"/>
                  <w:noWrap w:val="0"/>
                  <w:vAlign w:val="center"/>
                </w:tcPr>
                <w:p w14:paraId="657B8D22">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szCs w:val="21"/>
                    </w:rPr>
                  </w:pPr>
                  <w:r>
                    <w:rPr>
                      <w:rFonts w:hint="default" w:ascii="Times New Roman" w:hAnsi="Times New Roman" w:eastAsia="宋体" w:cs="Times New Roman"/>
                      <w:szCs w:val="21"/>
                    </w:rPr>
                    <w:t>符合</w:t>
                  </w:r>
                </w:p>
              </w:tc>
            </w:tr>
            <w:tr w14:paraId="0F13A1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794" w:type="pct"/>
                  <w:vMerge w:val="continue"/>
                  <w:noWrap w:val="0"/>
                  <w:vAlign w:val="center"/>
                </w:tcPr>
                <w:p w14:paraId="45C0A0F5">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both"/>
                    <w:textAlignment w:val="auto"/>
                    <w:rPr>
                      <w:rFonts w:hint="default" w:ascii="Times New Roman" w:hAnsi="Times New Roman" w:cs="Times New Roman"/>
                    </w:rPr>
                  </w:pPr>
                </w:p>
              </w:tc>
              <w:tc>
                <w:tcPr>
                  <w:tcW w:w="2750" w:type="pct"/>
                  <w:noWrap w:val="0"/>
                  <w:vAlign w:val="center"/>
                </w:tcPr>
                <w:p w14:paraId="7DFF4F21">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both"/>
                    <w:textAlignment w:val="auto"/>
                    <w:rPr>
                      <w:rFonts w:hint="default" w:ascii="Times New Roman" w:hAnsi="Times New Roman" w:cs="Times New Roman"/>
                    </w:rPr>
                  </w:pPr>
                  <w:r>
                    <w:rPr>
                      <w:rFonts w:hint="default" w:ascii="Times New Roman" w:hAnsi="Times New Roman" w:eastAsia="宋体" w:cs="Times New Roman"/>
                      <w:szCs w:val="21"/>
                    </w:rPr>
                    <w:t>2.优化岸线空间布局，合理配置海岸线资源，引导和促进海岸线资源节约集约利用，整治修复海岸环境，维护海岸生态环境功能，实现海域资源可持续利用。</w:t>
                  </w:r>
                </w:p>
              </w:tc>
              <w:tc>
                <w:tcPr>
                  <w:tcW w:w="898" w:type="pct"/>
                  <w:noWrap w:val="0"/>
                  <w:vAlign w:val="center"/>
                </w:tcPr>
                <w:p w14:paraId="7072A04A">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eastAsia" w:ascii="Times New Roman" w:hAnsi="Times New Roman" w:eastAsia="宋体" w:cs="Times New Roman"/>
                      <w:szCs w:val="21"/>
                      <w:lang w:eastAsia="zh-CN"/>
                    </w:rPr>
                  </w:pPr>
                  <w:r>
                    <w:rPr>
                      <w:rFonts w:hint="eastAsia" w:ascii="Times New Roman" w:hAnsi="Times New Roman" w:eastAsia="宋体" w:cs="Times New Roman"/>
                      <w:szCs w:val="21"/>
                      <w:lang w:eastAsia="zh-CN"/>
                    </w:rPr>
                    <w:t>不涉及</w:t>
                  </w:r>
                </w:p>
              </w:tc>
              <w:tc>
                <w:tcPr>
                  <w:tcW w:w="555" w:type="pct"/>
                  <w:vMerge w:val="continue"/>
                  <w:noWrap w:val="0"/>
                  <w:vAlign w:val="center"/>
                </w:tcPr>
                <w:p w14:paraId="481F82C8">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both"/>
                    <w:textAlignment w:val="auto"/>
                    <w:rPr>
                      <w:rFonts w:hint="default" w:ascii="Times New Roman" w:hAnsi="Times New Roman" w:eastAsia="宋体" w:cs="Times New Roman"/>
                      <w:szCs w:val="21"/>
                    </w:rPr>
                  </w:pPr>
                </w:p>
              </w:tc>
            </w:tr>
            <w:tr w14:paraId="423695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794" w:type="pct"/>
                  <w:vMerge w:val="continue"/>
                  <w:noWrap w:val="0"/>
                  <w:vAlign w:val="center"/>
                </w:tcPr>
                <w:p w14:paraId="31AB9B06">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both"/>
                    <w:textAlignment w:val="auto"/>
                    <w:rPr>
                      <w:rFonts w:hint="default" w:ascii="Times New Roman" w:hAnsi="Times New Roman" w:eastAsia="宋体" w:cs="Times New Roman"/>
                      <w:szCs w:val="21"/>
                    </w:rPr>
                  </w:pPr>
                </w:p>
              </w:tc>
              <w:tc>
                <w:tcPr>
                  <w:tcW w:w="2750" w:type="pct"/>
                  <w:noWrap w:val="0"/>
                  <w:vAlign w:val="center"/>
                </w:tcPr>
                <w:p w14:paraId="63777FA9">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both"/>
                    <w:textAlignment w:val="auto"/>
                    <w:rPr>
                      <w:rFonts w:hint="default" w:ascii="Times New Roman" w:hAnsi="Times New Roman" w:eastAsia="宋体" w:cs="Times New Roman"/>
                      <w:szCs w:val="21"/>
                    </w:rPr>
                  </w:pPr>
                  <w:r>
                    <w:rPr>
                      <w:rFonts w:hint="default" w:ascii="Times New Roman" w:hAnsi="Times New Roman" w:eastAsia="宋体" w:cs="Times New Roman"/>
                      <w:szCs w:val="21"/>
                    </w:rPr>
                    <w:t>3.严格执行国家、河北省和沧州市大气环境改善与</w:t>
                  </w:r>
                  <w:r>
                    <w:rPr>
                      <w:rFonts w:hint="eastAsia" w:ascii="Times New Roman" w:hAnsi="Times New Roman" w:eastAsia="宋体" w:cs="Times New Roman"/>
                      <w:szCs w:val="21"/>
                      <w:lang w:eastAsia="zh-CN"/>
                    </w:rPr>
                    <w:t>“</w:t>
                  </w:r>
                  <w:r>
                    <w:rPr>
                      <w:rFonts w:hint="default" w:ascii="Times New Roman" w:hAnsi="Times New Roman" w:eastAsia="宋体" w:cs="Times New Roman"/>
                      <w:szCs w:val="21"/>
                    </w:rPr>
                    <w:t>碳达峰</w:t>
                  </w:r>
                  <w:r>
                    <w:rPr>
                      <w:rFonts w:hint="eastAsia" w:ascii="Times New Roman" w:hAnsi="Times New Roman" w:eastAsia="宋体" w:cs="Times New Roman"/>
                      <w:szCs w:val="21"/>
                      <w:lang w:eastAsia="zh-CN"/>
                    </w:rPr>
                    <w:t>”</w:t>
                  </w:r>
                  <w:r>
                    <w:rPr>
                      <w:rFonts w:hint="default" w:ascii="Times New Roman" w:hAnsi="Times New Roman" w:eastAsia="宋体" w:cs="Times New Roman"/>
                      <w:szCs w:val="21"/>
                    </w:rPr>
                    <w:t>、</w:t>
                  </w:r>
                  <w:r>
                    <w:rPr>
                      <w:rFonts w:hint="eastAsia" w:ascii="Times New Roman" w:hAnsi="Times New Roman" w:eastAsia="宋体" w:cs="Times New Roman"/>
                      <w:szCs w:val="21"/>
                      <w:lang w:eastAsia="zh-CN"/>
                    </w:rPr>
                    <w:t>“</w:t>
                  </w:r>
                  <w:r>
                    <w:rPr>
                      <w:rFonts w:hint="default" w:ascii="Times New Roman" w:hAnsi="Times New Roman" w:eastAsia="宋体" w:cs="Times New Roman"/>
                      <w:szCs w:val="21"/>
                    </w:rPr>
                    <w:t>碳中和</w:t>
                  </w:r>
                  <w:r>
                    <w:rPr>
                      <w:rFonts w:hint="eastAsia" w:ascii="Times New Roman" w:hAnsi="Times New Roman" w:eastAsia="宋体" w:cs="Times New Roman"/>
                      <w:szCs w:val="21"/>
                      <w:lang w:eastAsia="zh-CN"/>
                    </w:rPr>
                    <w:t>”</w:t>
                  </w:r>
                  <w:r>
                    <w:rPr>
                      <w:rFonts w:hint="default" w:ascii="Times New Roman" w:hAnsi="Times New Roman" w:eastAsia="宋体" w:cs="Times New Roman"/>
                      <w:szCs w:val="21"/>
                    </w:rPr>
                    <w:t>工作要求，推进</w:t>
                  </w:r>
                  <w:r>
                    <w:rPr>
                      <w:rFonts w:hint="eastAsia" w:ascii="Times New Roman" w:hAnsi="Times New Roman" w:eastAsia="宋体" w:cs="Times New Roman"/>
                      <w:szCs w:val="21"/>
                      <w:lang w:eastAsia="zh-CN"/>
                    </w:rPr>
                    <w:t>“</w:t>
                  </w:r>
                  <w:r>
                    <w:rPr>
                      <w:rFonts w:hint="default" w:ascii="Times New Roman" w:hAnsi="Times New Roman" w:eastAsia="宋体" w:cs="Times New Roman"/>
                      <w:szCs w:val="21"/>
                    </w:rPr>
                    <w:t>节能削煤</w:t>
                  </w:r>
                  <w:r>
                    <w:rPr>
                      <w:rFonts w:hint="eastAsia" w:ascii="Times New Roman" w:hAnsi="Times New Roman" w:eastAsia="宋体" w:cs="Times New Roman"/>
                      <w:szCs w:val="21"/>
                      <w:lang w:eastAsia="zh-CN"/>
                    </w:rPr>
                    <w:t>”</w:t>
                  </w:r>
                  <w:r>
                    <w:rPr>
                      <w:rFonts w:hint="default" w:ascii="Times New Roman" w:hAnsi="Times New Roman" w:eastAsia="宋体" w:cs="Times New Roman"/>
                      <w:szCs w:val="21"/>
                    </w:rPr>
                    <w:t>工作，将全市能耗总量和煤炭消费总量降低目标分解下达到各县（市、区），严格节能审查制度，强化节能标准、能耗限额、总量目标等消费约束。积极发展可再生能源，在具备条件的地方，鼓励发展地热、风电、光伏和生物质能源项目建设，不断优化气源，加强天然气供应能力和储气能力建设，逐步形成以天然气、电力等能源为主的清洁型能源结构。</w:t>
                  </w:r>
                </w:p>
              </w:tc>
              <w:tc>
                <w:tcPr>
                  <w:tcW w:w="898" w:type="pct"/>
                  <w:noWrap w:val="0"/>
                  <w:vAlign w:val="center"/>
                </w:tcPr>
                <w:p w14:paraId="2EAC738B">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both"/>
                    <w:textAlignment w:val="auto"/>
                    <w:rPr>
                      <w:rFonts w:hint="eastAsia" w:ascii="Times New Roman" w:hAnsi="Times New Roman" w:eastAsia="宋体" w:cs="Times New Roman"/>
                      <w:szCs w:val="21"/>
                      <w:lang w:eastAsia="zh-CN"/>
                    </w:rPr>
                  </w:pPr>
                  <w:r>
                    <w:rPr>
                      <w:rFonts w:hint="eastAsia" w:ascii="Times New Roman" w:hAnsi="Times New Roman" w:eastAsia="宋体" w:cs="Times New Roman"/>
                      <w:szCs w:val="21"/>
                      <w:lang w:eastAsia="zh-CN"/>
                    </w:rPr>
                    <w:t>本项目不涉及煤、天然气的使用，生产用热采用电</w:t>
                  </w:r>
                  <w:r>
                    <w:rPr>
                      <w:rFonts w:hint="eastAsia" w:cs="Times New Roman"/>
                      <w:szCs w:val="21"/>
                      <w:lang w:eastAsia="zh-CN"/>
                    </w:rPr>
                    <w:t>。</w:t>
                  </w:r>
                </w:p>
              </w:tc>
              <w:tc>
                <w:tcPr>
                  <w:tcW w:w="555" w:type="pct"/>
                  <w:vMerge w:val="continue"/>
                  <w:noWrap w:val="0"/>
                  <w:vAlign w:val="center"/>
                </w:tcPr>
                <w:p w14:paraId="71C32071">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both"/>
                    <w:textAlignment w:val="auto"/>
                    <w:rPr>
                      <w:rFonts w:hint="default" w:ascii="Times New Roman" w:hAnsi="Times New Roman" w:eastAsia="宋体" w:cs="Times New Roman"/>
                      <w:szCs w:val="21"/>
                    </w:rPr>
                  </w:pPr>
                </w:p>
              </w:tc>
            </w:tr>
            <w:tr w14:paraId="103974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pct"/>
                  <w:vMerge w:val="restart"/>
                  <w:noWrap w:val="0"/>
                  <w:vAlign w:val="center"/>
                </w:tcPr>
                <w:p w14:paraId="36CFF620">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szCs w:val="21"/>
                    </w:rPr>
                  </w:pPr>
                  <w:r>
                    <w:rPr>
                      <w:rFonts w:hint="default" w:ascii="Times New Roman" w:hAnsi="Times New Roman" w:eastAsia="宋体" w:cs="Times New Roman"/>
                      <w:szCs w:val="21"/>
                    </w:rPr>
                    <w:t>沿海率先发展区；雄安新区出海口、清洁能源供应基地、制造业协作基地、科技成果研发转化基地</w:t>
                  </w:r>
                </w:p>
              </w:tc>
              <w:tc>
                <w:tcPr>
                  <w:tcW w:w="2750" w:type="pct"/>
                  <w:noWrap w:val="0"/>
                  <w:vAlign w:val="center"/>
                </w:tcPr>
                <w:p w14:paraId="261A3F13">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both"/>
                    <w:textAlignment w:val="auto"/>
                    <w:rPr>
                      <w:rFonts w:hint="default" w:ascii="Times New Roman" w:hAnsi="Times New Roman" w:eastAsia="宋体" w:cs="Times New Roman"/>
                      <w:szCs w:val="21"/>
                    </w:rPr>
                  </w:pPr>
                  <w:r>
                    <w:rPr>
                      <w:rFonts w:hint="default" w:ascii="Times New Roman" w:hAnsi="Times New Roman" w:eastAsia="宋体" w:cs="Times New Roman"/>
                      <w:szCs w:val="21"/>
                    </w:rPr>
                    <w:t>1.对当前部分传统优势产业（石化、管道、冶金、汽车、装备等）进行提质增效，培育和发展新兴产业（以生物医药、电子信息、再制造、新能源、新材料、激光为代表），以新兴产业发展，推动沧州产业结构优化调整。</w:t>
                  </w:r>
                </w:p>
              </w:tc>
              <w:tc>
                <w:tcPr>
                  <w:tcW w:w="898" w:type="pct"/>
                  <w:noWrap w:val="0"/>
                  <w:vAlign w:val="center"/>
                </w:tcPr>
                <w:p w14:paraId="404F0336">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both"/>
                    <w:textAlignment w:val="auto"/>
                    <w:rPr>
                      <w:rFonts w:hint="eastAsia" w:ascii="Times New Roman" w:hAnsi="Times New Roman" w:eastAsia="宋体" w:cs="Times New Roman"/>
                      <w:szCs w:val="21"/>
                      <w:lang w:eastAsia="zh-CN"/>
                    </w:rPr>
                  </w:pPr>
                  <w:r>
                    <w:rPr>
                      <w:rFonts w:hint="eastAsia" w:ascii="Times New Roman" w:hAnsi="Times New Roman" w:eastAsia="宋体" w:cs="Times New Roman"/>
                      <w:szCs w:val="21"/>
                      <w:lang w:eastAsia="zh-CN"/>
                    </w:rPr>
                    <w:t>本</w:t>
                  </w:r>
                  <w:r>
                    <w:rPr>
                      <w:rFonts w:hint="default" w:ascii="Times New Roman" w:hAnsi="Times New Roman" w:eastAsia="宋体" w:cs="Times New Roman"/>
                      <w:szCs w:val="21"/>
                    </w:rPr>
                    <w:t>项目</w:t>
                  </w:r>
                  <w:r>
                    <w:rPr>
                      <w:rFonts w:hint="eastAsia" w:ascii="Times New Roman" w:hAnsi="Times New Roman" w:eastAsia="宋体" w:cs="Times New Roman"/>
                      <w:szCs w:val="21"/>
                      <w:lang w:eastAsia="zh-CN"/>
                    </w:rPr>
                    <w:t>属于</w:t>
                  </w:r>
                  <w:r>
                    <w:rPr>
                      <w:rFonts w:hint="eastAsia" w:cs="黑体"/>
                      <w:position w:val="2"/>
                      <w:sz w:val="21"/>
                      <w:szCs w:val="21"/>
                      <w:lang w:val="en-US" w:eastAsia="zh-CN"/>
                    </w:rPr>
                    <w:t>塑料零件及其他塑料制品制造行业</w:t>
                  </w:r>
                  <w:r>
                    <w:rPr>
                      <w:rFonts w:hint="eastAsia" w:ascii="Times New Roman" w:hAnsi="Times New Roman" w:eastAsia="宋体" w:cs="黑体"/>
                      <w:position w:val="2"/>
                      <w:sz w:val="21"/>
                      <w:szCs w:val="21"/>
                    </w:rPr>
                    <w:t>，</w:t>
                  </w:r>
                  <w:r>
                    <w:rPr>
                      <w:rFonts w:hint="eastAsia" w:ascii="Times New Roman" w:hAnsi="Times New Roman" w:eastAsia="宋体" w:cs="黑体"/>
                      <w:position w:val="2"/>
                      <w:sz w:val="21"/>
                      <w:szCs w:val="21"/>
                      <w:lang w:eastAsia="zh-CN"/>
                    </w:rPr>
                    <w:t>生产中药包装袋，属于医药配套产业</w:t>
                  </w:r>
                  <w:r>
                    <w:rPr>
                      <w:rFonts w:hint="eastAsia" w:ascii="Times New Roman" w:hAnsi="Times New Roman" w:eastAsia="宋体" w:cs="Times New Roman"/>
                      <w:szCs w:val="21"/>
                      <w:lang w:eastAsia="zh-CN"/>
                    </w:rPr>
                    <w:t>，</w:t>
                  </w:r>
                  <w:r>
                    <w:rPr>
                      <w:rFonts w:hint="default" w:ascii="Times New Roman" w:hAnsi="Times New Roman" w:eastAsia="宋体" w:cs="Times New Roman"/>
                      <w:szCs w:val="21"/>
                    </w:rPr>
                    <w:t>本着高质高效的原则建设</w:t>
                  </w:r>
                  <w:r>
                    <w:rPr>
                      <w:rFonts w:hint="eastAsia" w:cs="Times New Roman"/>
                      <w:szCs w:val="21"/>
                      <w:lang w:eastAsia="zh-CN"/>
                    </w:rPr>
                    <w:t>。</w:t>
                  </w:r>
                </w:p>
              </w:tc>
              <w:tc>
                <w:tcPr>
                  <w:tcW w:w="555" w:type="pct"/>
                  <w:noWrap w:val="0"/>
                  <w:vAlign w:val="center"/>
                </w:tcPr>
                <w:p w14:paraId="277EC8AF">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szCs w:val="21"/>
                    </w:rPr>
                  </w:pPr>
                  <w:r>
                    <w:rPr>
                      <w:rFonts w:hint="default" w:ascii="Times New Roman" w:hAnsi="Times New Roman" w:eastAsia="宋体" w:cs="Times New Roman"/>
                      <w:szCs w:val="21"/>
                    </w:rPr>
                    <w:t>符合</w:t>
                  </w:r>
                </w:p>
              </w:tc>
            </w:tr>
            <w:tr w14:paraId="69920F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pct"/>
                  <w:vMerge w:val="continue"/>
                  <w:noWrap w:val="0"/>
                  <w:vAlign w:val="center"/>
                </w:tcPr>
                <w:p w14:paraId="177DE0D8">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szCs w:val="21"/>
                    </w:rPr>
                  </w:pPr>
                </w:p>
              </w:tc>
              <w:tc>
                <w:tcPr>
                  <w:tcW w:w="2750" w:type="pct"/>
                  <w:noWrap w:val="0"/>
                  <w:vAlign w:val="center"/>
                </w:tcPr>
                <w:p w14:paraId="13611D5B">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both"/>
                    <w:textAlignment w:val="auto"/>
                    <w:rPr>
                      <w:rFonts w:hint="default" w:ascii="Times New Roman" w:hAnsi="Times New Roman" w:eastAsia="宋体" w:cs="Times New Roman"/>
                      <w:szCs w:val="21"/>
                    </w:rPr>
                  </w:pPr>
                  <w:r>
                    <w:rPr>
                      <w:rFonts w:hint="default" w:ascii="Times New Roman" w:hAnsi="Times New Roman" w:eastAsia="宋体" w:cs="Times New Roman"/>
                      <w:szCs w:val="21"/>
                    </w:rPr>
                    <w:t>2.在全市范畴内统筹各类园区发展，构建特色产业集群的产业空间布局结构。</w:t>
                  </w:r>
                </w:p>
              </w:tc>
              <w:tc>
                <w:tcPr>
                  <w:tcW w:w="898" w:type="pct"/>
                  <w:noWrap w:val="0"/>
                  <w:vAlign w:val="center"/>
                </w:tcPr>
                <w:p w14:paraId="45B824FF">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szCs w:val="21"/>
                    </w:rPr>
                  </w:pPr>
                  <w:r>
                    <w:rPr>
                      <w:rFonts w:hint="default" w:ascii="Times New Roman" w:hAnsi="Times New Roman" w:eastAsia="宋体" w:cs="Times New Roman"/>
                      <w:szCs w:val="21"/>
                    </w:rPr>
                    <w:t>不涉及</w:t>
                  </w:r>
                </w:p>
              </w:tc>
              <w:tc>
                <w:tcPr>
                  <w:tcW w:w="555" w:type="pct"/>
                  <w:noWrap w:val="0"/>
                  <w:vAlign w:val="center"/>
                </w:tcPr>
                <w:p w14:paraId="52962216">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szCs w:val="21"/>
                    </w:rPr>
                  </w:pPr>
                  <w:r>
                    <w:rPr>
                      <w:rFonts w:hint="default" w:ascii="Times New Roman" w:hAnsi="Times New Roman" w:eastAsia="宋体" w:cs="Times New Roman"/>
                      <w:color w:val="000000"/>
                      <w:szCs w:val="21"/>
                    </w:rPr>
                    <w:t>符合</w:t>
                  </w:r>
                </w:p>
              </w:tc>
            </w:tr>
          </w:tbl>
          <w:p w14:paraId="2D503BD7">
            <w:pPr>
              <w:keepNext w:val="0"/>
              <w:keepLines w:val="0"/>
              <w:pageBreakBefore w:val="0"/>
              <w:widowControl w:val="0"/>
              <w:suppressLineNumbers w:val="0"/>
              <w:suppressAutoHyphens/>
              <w:kinsoku/>
              <w:wordWrap/>
              <w:overflowPunct/>
              <w:topLinePunct w:val="0"/>
              <w:autoSpaceDE/>
              <w:autoSpaceDN/>
              <w:bidi w:val="0"/>
              <w:adjustRightInd/>
              <w:snapToGrid/>
              <w:spacing w:before="157" w:beforeLines="50" w:beforeAutospacing="0" w:after="0" w:afterAutospacing="0" w:line="360" w:lineRule="auto"/>
              <w:ind w:left="0" w:leftChars="0" w:right="0" w:firstLine="480" w:firstLineChars="200"/>
              <w:jc w:val="both"/>
              <w:textAlignment w:val="auto"/>
              <w:rPr>
                <w:rFonts w:hint="default"/>
                <w:color w:val="auto"/>
                <w:sz w:val="24"/>
                <w:highlight w:val="none"/>
                <w:lang w:eastAsia="zh-CN"/>
              </w:rPr>
            </w:pPr>
            <w:r>
              <w:rPr>
                <w:rFonts w:hint="default"/>
                <w:color w:val="auto"/>
                <w:sz w:val="24"/>
                <w:highlight w:val="none"/>
                <w:lang w:eastAsia="zh-CN"/>
              </w:rPr>
              <w:t>根据上表，本项目满足沧州生态环境准入清单综合管控要求。</w:t>
            </w:r>
          </w:p>
          <w:p w14:paraId="6EC10DC4">
            <w:pPr>
              <w:pStyle w:val="16"/>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Autospacing="0"/>
              <w:ind w:left="0" w:right="0"/>
              <w:jc w:val="center"/>
              <w:textAlignment w:val="auto"/>
              <w:rPr>
                <w:rFonts w:hint="eastAsia" w:eastAsia="宋体"/>
                <w:lang w:eastAsia="zh-CN"/>
              </w:rPr>
            </w:pPr>
            <w:r>
              <w:rPr>
                <w:rFonts w:hint="eastAsia" w:ascii="宋体" w:hAnsi="宋体" w:eastAsia="宋体" w:cs="宋体"/>
                <w:b/>
                <w:bCs/>
                <w:sz w:val="21"/>
                <w:szCs w:val="21"/>
                <w:lang w:eastAsia="zh-CN"/>
              </w:rPr>
              <w:t>项目与“全市大气环境总体管控要求”符合性分析一览表</w:t>
            </w:r>
          </w:p>
          <w:tbl>
            <w:tblPr>
              <w:tblStyle w:val="38"/>
              <w:tblW w:w="76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40"/>
              <w:gridCol w:w="4289"/>
              <w:gridCol w:w="1977"/>
              <w:gridCol w:w="503"/>
            </w:tblGrid>
            <w:tr w14:paraId="4B1687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51" w:type="pct"/>
                  <w:noWrap w:val="0"/>
                  <w:vAlign w:val="center"/>
                </w:tcPr>
                <w:p w14:paraId="2A000E03">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管控类别</w:t>
                  </w:r>
                </w:p>
              </w:tc>
              <w:tc>
                <w:tcPr>
                  <w:tcW w:w="2818" w:type="pct"/>
                  <w:noWrap w:val="0"/>
                  <w:vAlign w:val="center"/>
                </w:tcPr>
                <w:p w14:paraId="79A6EEFC">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管控要求</w:t>
                  </w:r>
                </w:p>
              </w:tc>
              <w:tc>
                <w:tcPr>
                  <w:tcW w:w="1299" w:type="pct"/>
                  <w:noWrap w:val="0"/>
                  <w:vAlign w:val="center"/>
                </w:tcPr>
                <w:p w14:paraId="6251932C">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本项目情况</w:t>
                  </w:r>
                </w:p>
              </w:tc>
              <w:tc>
                <w:tcPr>
                  <w:tcW w:w="330" w:type="pct"/>
                  <w:noWrap w:val="0"/>
                  <w:vAlign w:val="center"/>
                </w:tcPr>
                <w:p w14:paraId="2D7F19CD">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符合性</w:t>
                  </w:r>
                </w:p>
              </w:tc>
            </w:tr>
            <w:tr w14:paraId="1EB39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51" w:type="pct"/>
                  <w:noWrap w:val="0"/>
                  <w:vAlign w:val="center"/>
                </w:tcPr>
                <w:p w14:paraId="0B100A64">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环境目标</w:t>
                  </w:r>
                </w:p>
              </w:tc>
              <w:tc>
                <w:tcPr>
                  <w:tcW w:w="2818" w:type="pct"/>
                  <w:noWrap w:val="0"/>
                  <w:vAlign w:val="center"/>
                </w:tcPr>
                <w:p w14:paraId="7E65DC88">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到2025年，细颗粒物浓度（PM</w:t>
                  </w:r>
                  <w:r>
                    <w:rPr>
                      <w:rFonts w:hint="default" w:ascii="Times New Roman" w:hAnsi="Times New Roman" w:eastAsia="宋体" w:cs="Times New Roman"/>
                      <w:sz w:val="21"/>
                      <w:szCs w:val="21"/>
                      <w:vertAlign w:val="subscript"/>
                    </w:rPr>
                    <w:t>2.5</w:t>
                  </w:r>
                  <w:r>
                    <w:rPr>
                      <w:rFonts w:hint="default" w:ascii="Times New Roman" w:hAnsi="Times New Roman" w:eastAsia="宋体" w:cs="Times New Roman"/>
                      <w:sz w:val="21"/>
                      <w:szCs w:val="21"/>
                    </w:rPr>
                    <w:t>）达到37μg/m</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sz w:val="21"/>
                      <w:szCs w:val="21"/>
                    </w:rPr>
                    <w:t>，空气质量优良天数比率达到75%，2035年实现全市PM</w:t>
                  </w:r>
                  <w:r>
                    <w:rPr>
                      <w:rFonts w:hint="default" w:ascii="Times New Roman" w:hAnsi="Times New Roman" w:eastAsia="宋体" w:cs="Times New Roman"/>
                      <w:sz w:val="21"/>
                      <w:szCs w:val="21"/>
                      <w:vertAlign w:val="subscript"/>
                    </w:rPr>
                    <w:t>2.5</w:t>
                  </w:r>
                  <w:r>
                    <w:rPr>
                      <w:rFonts w:hint="default" w:ascii="Times New Roman" w:hAnsi="Times New Roman" w:eastAsia="宋体" w:cs="Times New Roman"/>
                      <w:sz w:val="21"/>
                      <w:szCs w:val="21"/>
                    </w:rPr>
                    <w:t>年均浓度达到国家空气质量二级标准，O</w:t>
                  </w:r>
                  <w:r>
                    <w:rPr>
                      <w:rFonts w:hint="default" w:ascii="Times New Roman" w:hAnsi="Times New Roman" w:eastAsia="宋体" w:cs="Times New Roman"/>
                      <w:sz w:val="21"/>
                      <w:szCs w:val="21"/>
                      <w:vertAlign w:val="subscript"/>
                    </w:rPr>
                    <w:t>3</w:t>
                  </w:r>
                  <w:r>
                    <w:rPr>
                      <w:rFonts w:hint="default" w:ascii="Times New Roman" w:hAnsi="Times New Roman" w:eastAsia="宋体" w:cs="Times New Roman"/>
                      <w:sz w:val="21"/>
                      <w:szCs w:val="21"/>
                    </w:rPr>
                    <w:t>污染得到控制。</w:t>
                  </w:r>
                </w:p>
              </w:tc>
              <w:tc>
                <w:tcPr>
                  <w:tcW w:w="1299" w:type="pct"/>
                  <w:noWrap w:val="0"/>
                  <w:vAlign w:val="center"/>
                </w:tcPr>
                <w:p w14:paraId="6F887B0D">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本项目运营期废气均达标排放。</w:t>
                  </w:r>
                </w:p>
              </w:tc>
              <w:tc>
                <w:tcPr>
                  <w:tcW w:w="330" w:type="pct"/>
                  <w:noWrap w:val="0"/>
                  <w:vAlign w:val="center"/>
                </w:tcPr>
                <w:p w14:paraId="392ED82D">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7796CC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51" w:type="pct"/>
                  <w:vMerge w:val="restart"/>
                  <w:noWrap w:val="0"/>
                  <w:vAlign w:val="center"/>
                </w:tcPr>
                <w:p w14:paraId="252E03E4">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空间布局约束</w:t>
                  </w:r>
                </w:p>
              </w:tc>
              <w:tc>
                <w:tcPr>
                  <w:tcW w:w="2818" w:type="pct"/>
                  <w:noWrap w:val="0"/>
                  <w:vAlign w:val="center"/>
                </w:tcPr>
                <w:p w14:paraId="06E26D56">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1.禁止建设生产和使用高VOCs含量的溶剂型涂料、油墨、胶粘剂等项目。</w:t>
                  </w:r>
                </w:p>
              </w:tc>
              <w:tc>
                <w:tcPr>
                  <w:tcW w:w="1299" w:type="pct"/>
                  <w:noWrap w:val="0"/>
                  <w:vAlign w:val="center"/>
                </w:tcPr>
                <w:p w14:paraId="34FA2882">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eastAsia" w:ascii="Times New Roman" w:hAnsi="Times New Roman" w:eastAsia="宋体" w:cs="Times New Roman"/>
                      <w:color w:val="auto"/>
                      <w:sz w:val="21"/>
                      <w:szCs w:val="21"/>
                      <w:lang w:eastAsia="zh-CN"/>
                    </w:rPr>
                    <w:t>本项目使用的水性油墨、胶粘剂VOCs含量较低。</w:t>
                  </w:r>
                  <w:r>
                    <w:rPr>
                      <w:rFonts w:hint="eastAsia" w:ascii="Times New Roman" w:hAnsi="Times New Roman" w:cs="Times New Roman"/>
                      <w:lang w:eastAsia="zh-CN"/>
                    </w:rPr>
                    <w:t>根据上海华测品标检测技术有限公司出具的监测报告（报告编号：</w:t>
                  </w:r>
                  <w:r>
                    <w:rPr>
                      <w:rFonts w:hint="eastAsia" w:ascii="Times New Roman" w:hAnsi="Times New Roman" w:cs="Times New Roman"/>
                      <w:lang w:val="en-US" w:eastAsia="zh-CN"/>
                    </w:rPr>
                    <w:t>A2210241655101001C）水性油墨VOC</w:t>
                  </w:r>
                  <w:r>
                    <w:rPr>
                      <w:rFonts w:hint="eastAsia" w:ascii="Times New Roman" w:hAnsi="Times New Roman" w:cs="Times New Roman"/>
                      <w:sz w:val="21"/>
                      <w:vertAlign w:val="subscript"/>
                      <w:lang w:val="en-US" w:eastAsia="zh-CN"/>
                    </w:rPr>
                    <w:t>S</w:t>
                  </w:r>
                  <w:r>
                    <w:rPr>
                      <w:rFonts w:hint="eastAsia" w:ascii="Times New Roman" w:hAnsi="Times New Roman" w:cs="Times New Roman"/>
                      <w:lang w:val="en-US" w:eastAsia="zh-CN"/>
                    </w:rPr>
                    <w:t>含量为1.2%</w:t>
                  </w:r>
                  <w:r>
                    <w:rPr>
                      <w:rFonts w:hint="eastAsia" w:cs="Times New Roman"/>
                      <w:kern w:val="0"/>
                      <w:szCs w:val="21"/>
                      <w:lang w:val="en-US" w:eastAsia="zh-CN" w:bidi="en-US"/>
                    </w:rPr>
                    <w:t>，</w:t>
                  </w:r>
                  <w:r>
                    <w:rPr>
                      <w:rFonts w:hint="eastAsia"/>
                      <w:lang w:val="en-US" w:eastAsia="zh-CN"/>
                    </w:rPr>
                    <w:t>符合《油墨中可挥发性有机化合物（VOC</w:t>
                  </w:r>
                  <w:r>
                    <w:rPr>
                      <w:rFonts w:hint="eastAsia"/>
                      <w:vertAlign w:val="subscript"/>
                      <w:lang w:val="en-US" w:eastAsia="zh-CN"/>
                    </w:rPr>
                    <w:t>S</w:t>
                  </w:r>
                  <w:r>
                    <w:rPr>
                      <w:rFonts w:hint="eastAsia"/>
                      <w:lang w:val="en-US" w:eastAsia="zh-CN"/>
                    </w:rPr>
                    <w:t>）含量的限制》（GB38507-2020）中水性油墨-凹印油墨-非吸收性承印物的VOC</w:t>
                  </w:r>
                  <w:r>
                    <w:rPr>
                      <w:rFonts w:hint="eastAsia"/>
                      <w:vertAlign w:val="subscript"/>
                      <w:lang w:val="en-US" w:eastAsia="zh-CN"/>
                    </w:rPr>
                    <w:t>S</w:t>
                  </w:r>
                  <w:r>
                    <w:rPr>
                      <w:rFonts w:hint="eastAsia"/>
                      <w:lang w:val="en-US" w:eastAsia="zh-CN"/>
                    </w:rPr>
                    <w:t>含量限值，不属于高VOC</w:t>
                  </w:r>
                  <w:r>
                    <w:rPr>
                      <w:rFonts w:hint="eastAsia"/>
                      <w:vertAlign w:val="subscript"/>
                      <w:lang w:val="en-US" w:eastAsia="zh-CN"/>
                    </w:rPr>
                    <w:t>S</w:t>
                  </w:r>
                  <w:r>
                    <w:rPr>
                      <w:rFonts w:hint="eastAsia"/>
                      <w:lang w:val="en-US" w:eastAsia="zh-CN"/>
                    </w:rPr>
                    <w:t>含量水性油墨</w:t>
                  </w:r>
                  <w:r>
                    <w:rPr>
                      <w:rFonts w:hint="eastAsia" w:ascii="Times New Roman" w:hAnsi="Times New Roman" w:cs="Times New Roman"/>
                      <w:color w:val="auto"/>
                      <w:lang w:val="en-US" w:eastAsia="zh-CN"/>
                    </w:rPr>
                    <w:t>。</w:t>
                  </w:r>
                  <w:r>
                    <w:rPr>
                      <w:rFonts w:hint="eastAsia" w:cs="Times New Roman"/>
                      <w:lang w:val="en-US" w:eastAsia="zh-CN"/>
                    </w:rPr>
                    <w:t>本项目使用环保型无溶剂胶粘剂。</w:t>
                  </w:r>
                </w:p>
              </w:tc>
              <w:tc>
                <w:tcPr>
                  <w:tcW w:w="330" w:type="pct"/>
                  <w:noWrap w:val="0"/>
                  <w:vAlign w:val="center"/>
                </w:tcPr>
                <w:p w14:paraId="6069AAF3">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6BEC51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51" w:type="pct"/>
                  <w:vMerge w:val="continue"/>
                  <w:noWrap w:val="0"/>
                  <w:vAlign w:val="center"/>
                </w:tcPr>
                <w:p w14:paraId="04AD40CC">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2818" w:type="pct"/>
                  <w:noWrap w:val="0"/>
                  <w:vAlign w:val="center"/>
                </w:tcPr>
                <w:p w14:paraId="62DB8CAB">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划定高排放车辆控制区。石黄高速沧州西严格实施禁止黄牌照货车驶出、驶入措施，禁止黄牌照货车由京沪沧州北、廊沧西花园、姚官屯、开发区、石黄沧州东等高速驶入中心城区。中心城区及县城建成区范围内，全面禁止拖拉机和未达到国五排放标准的渣土车通行。</w:t>
                  </w:r>
                </w:p>
              </w:tc>
              <w:tc>
                <w:tcPr>
                  <w:tcW w:w="1299" w:type="pct"/>
                  <w:noWrap w:val="0"/>
                  <w:vAlign w:val="center"/>
                </w:tcPr>
                <w:p w14:paraId="4044BFE0">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不涉及</w:t>
                  </w:r>
                </w:p>
              </w:tc>
              <w:tc>
                <w:tcPr>
                  <w:tcW w:w="330" w:type="pct"/>
                  <w:noWrap w:val="0"/>
                  <w:vAlign w:val="center"/>
                </w:tcPr>
                <w:p w14:paraId="6C648B22">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700FA9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51" w:type="pct"/>
                  <w:vMerge w:val="continue"/>
                  <w:noWrap w:val="0"/>
                  <w:vAlign w:val="center"/>
                </w:tcPr>
                <w:p w14:paraId="187821B1">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2818" w:type="pct"/>
                  <w:noWrap w:val="0"/>
                  <w:vAlign w:val="center"/>
                </w:tcPr>
                <w:p w14:paraId="4DF66907">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3.中心城区高速合围区不再新增二类以上涉气工业企业，原有园区内已审批的不得扩建、扩产。</w:t>
                  </w:r>
                </w:p>
              </w:tc>
              <w:tc>
                <w:tcPr>
                  <w:tcW w:w="1299" w:type="pct"/>
                  <w:noWrap w:val="0"/>
                  <w:vAlign w:val="center"/>
                </w:tcPr>
                <w:p w14:paraId="2046B8A0">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项目位于</w:t>
                  </w:r>
                  <w:r>
                    <w:rPr>
                      <w:rFonts w:hint="default" w:ascii="Times New Roman" w:hAnsi="Times New Roman" w:eastAsia="宋体" w:cs="Times New Roman"/>
                      <w:kern w:val="0"/>
                      <w:sz w:val="21"/>
                      <w:szCs w:val="21"/>
                      <w:lang w:bidi="en-US"/>
                    </w:rPr>
                    <w:t>沧州临港经济技术开发区西区</w:t>
                  </w:r>
                  <w:r>
                    <w:rPr>
                      <w:rFonts w:hint="default" w:ascii="Times New Roman" w:hAnsi="Times New Roman" w:eastAsia="宋体" w:cs="Times New Roman"/>
                      <w:sz w:val="21"/>
                      <w:szCs w:val="21"/>
                    </w:rPr>
                    <w:t>，不属于中心城区高速合围区。</w:t>
                  </w:r>
                </w:p>
              </w:tc>
              <w:tc>
                <w:tcPr>
                  <w:tcW w:w="330" w:type="pct"/>
                  <w:noWrap w:val="0"/>
                  <w:vAlign w:val="center"/>
                </w:tcPr>
                <w:p w14:paraId="0FE6C865">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756C7B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51" w:type="pct"/>
                  <w:vMerge w:val="continue"/>
                  <w:noWrap w:val="0"/>
                  <w:vAlign w:val="center"/>
                </w:tcPr>
                <w:p w14:paraId="1F137E25">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2818" w:type="pct"/>
                  <w:noWrap w:val="0"/>
                  <w:vAlign w:val="center"/>
                </w:tcPr>
                <w:p w14:paraId="5B3CE531">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4.全市域全时段禁燃禁放。</w:t>
                  </w:r>
                </w:p>
              </w:tc>
              <w:tc>
                <w:tcPr>
                  <w:tcW w:w="1299" w:type="pct"/>
                  <w:noWrap w:val="0"/>
                  <w:vAlign w:val="center"/>
                </w:tcPr>
                <w:p w14:paraId="2B52CC02">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不涉及</w:t>
                  </w:r>
                </w:p>
              </w:tc>
              <w:tc>
                <w:tcPr>
                  <w:tcW w:w="330" w:type="pct"/>
                  <w:noWrap w:val="0"/>
                  <w:vAlign w:val="center"/>
                </w:tcPr>
                <w:p w14:paraId="20676B5D">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6BFFC6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51" w:type="pct"/>
                  <w:vMerge w:val="continue"/>
                  <w:noWrap w:val="0"/>
                  <w:vAlign w:val="center"/>
                </w:tcPr>
                <w:p w14:paraId="48337CCF">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2818" w:type="pct"/>
                  <w:noWrap w:val="0"/>
                  <w:vAlign w:val="center"/>
                </w:tcPr>
                <w:p w14:paraId="696812F0">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县级以下一律不再建设新的园区，造纸、焦化、氮肥、有色金属、印染、副食品加工、原料药制造、皮革、农药、电镀、钢铁、水泥、石灰、平板玻璃、石化、化工等高污染工业项目必须入园进区，其他工业项目原则上也不在园区外布局。</w:t>
                  </w:r>
                </w:p>
              </w:tc>
              <w:tc>
                <w:tcPr>
                  <w:tcW w:w="1299" w:type="pct"/>
                  <w:noWrap w:val="0"/>
                  <w:vAlign w:val="center"/>
                </w:tcPr>
                <w:p w14:paraId="08BA546F">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本项目</w:t>
                  </w:r>
                  <w:r>
                    <w:rPr>
                      <w:rFonts w:hint="default" w:ascii="Times New Roman" w:hAnsi="Times New Roman" w:eastAsia="宋体" w:cs="Times New Roman"/>
                      <w:kern w:val="0"/>
                      <w:sz w:val="21"/>
                      <w:szCs w:val="21"/>
                      <w:lang w:bidi="en-US"/>
                    </w:rPr>
                    <w:t>为</w:t>
                  </w:r>
                  <w:r>
                    <w:rPr>
                      <w:rFonts w:hint="eastAsia" w:cs="Times New Roman"/>
                      <w:sz w:val="21"/>
                      <w:szCs w:val="21"/>
                      <w:lang w:val="en-US" w:eastAsia="zh-CN"/>
                    </w:rPr>
                    <w:t>塑料零件及其他塑料制品制造行业</w:t>
                  </w:r>
                  <w:r>
                    <w:rPr>
                      <w:rFonts w:hint="eastAsia" w:ascii="Times New Roman" w:hAnsi="Times New Roman" w:eastAsia="宋体" w:cs="Times New Roman"/>
                      <w:sz w:val="21"/>
                      <w:szCs w:val="21"/>
                    </w:rPr>
                    <w:t>，</w:t>
                  </w:r>
                  <w:r>
                    <w:rPr>
                      <w:rFonts w:hint="eastAsia" w:ascii="Times New Roman" w:hAnsi="Times New Roman" w:eastAsia="宋体" w:cs="Times New Roman"/>
                      <w:sz w:val="21"/>
                      <w:szCs w:val="21"/>
                      <w:lang w:eastAsia="zh-CN"/>
                    </w:rPr>
                    <w:t>生产中药包装袋，属于医药配套产业</w:t>
                  </w:r>
                  <w:r>
                    <w:rPr>
                      <w:rFonts w:hint="default" w:ascii="Times New Roman" w:hAnsi="Times New Roman" w:eastAsia="宋体" w:cs="Times New Roman"/>
                      <w:sz w:val="21"/>
                      <w:szCs w:val="21"/>
                    </w:rPr>
                    <w:t>，不属于前述高污染项目，且本项目位于</w:t>
                  </w:r>
                  <w:r>
                    <w:rPr>
                      <w:rFonts w:hint="default" w:ascii="Times New Roman" w:hAnsi="Times New Roman" w:eastAsia="宋体" w:cs="Times New Roman"/>
                      <w:kern w:val="0"/>
                      <w:sz w:val="21"/>
                      <w:szCs w:val="21"/>
                      <w:lang w:bidi="en-US"/>
                    </w:rPr>
                    <w:t>沧州临港经济技术开发区西区</w:t>
                  </w:r>
                  <w:r>
                    <w:rPr>
                      <w:rFonts w:hint="eastAsia" w:cs="Times New Roman"/>
                      <w:kern w:val="0"/>
                      <w:sz w:val="21"/>
                      <w:szCs w:val="21"/>
                      <w:lang w:eastAsia="zh-CN" w:bidi="en-US"/>
                    </w:rPr>
                    <w:t>内</w:t>
                  </w:r>
                  <w:r>
                    <w:rPr>
                      <w:rFonts w:hint="default" w:ascii="Times New Roman" w:hAnsi="Times New Roman" w:eastAsia="宋体" w:cs="Times New Roman"/>
                      <w:sz w:val="21"/>
                      <w:szCs w:val="21"/>
                    </w:rPr>
                    <w:t>。</w:t>
                  </w:r>
                </w:p>
              </w:tc>
              <w:tc>
                <w:tcPr>
                  <w:tcW w:w="330" w:type="pct"/>
                  <w:noWrap w:val="0"/>
                  <w:vAlign w:val="center"/>
                </w:tcPr>
                <w:p w14:paraId="1DF2BFF6">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058B3D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51" w:type="pct"/>
                  <w:vMerge w:val="continue"/>
                  <w:noWrap w:val="0"/>
                  <w:vAlign w:val="center"/>
                </w:tcPr>
                <w:p w14:paraId="1F8A4935">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2818" w:type="pct"/>
                  <w:noWrap w:val="0"/>
                  <w:vAlign w:val="center"/>
                </w:tcPr>
                <w:p w14:paraId="524E523D">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以钢铁、水泥、平板玻璃、焦化、化工、制药等行业为重点，加快城市建成区重点污染工业企业搬迁改造或关闭退出；其他不适宜在主城区发展的工业企业，根据实际纳入退城搬迁范围。制定重污染企业搬迁改造实施方案，明确企业就地改造、退城入园、转型转产或者关闭退出的搬迁改造方式；2025年底前，完成城市建成区、县区建成区、重点流域重污染企业和危险化学品企业的搬迁改造或关闭退出；已明确的退城企业，要严格按照时间表搬迁，逾期不退城的依法予以关停。</w:t>
                  </w:r>
                </w:p>
              </w:tc>
              <w:tc>
                <w:tcPr>
                  <w:tcW w:w="1299" w:type="pct"/>
                  <w:noWrap w:val="0"/>
                  <w:vAlign w:val="center"/>
                </w:tcPr>
                <w:p w14:paraId="0CAFAA2E">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本项目</w:t>
                  </w:r>
                  <w:r>
                    <w:rPr>
                      <w:rFonts w:hint="default" w:ascii="Times New Roman" w:hAnsi="Times New Roman" w:eastAsia="宋体" w:cs="Times New Roman"/>
                      <w:kern w:val="0"/>
                      <w:sz w:val="21"/>
                      <w:szCs w:val="21"/>
                      <w:lang w:bidi="en-US"/>
                    </w:rPr>
                    <w:t>为</w:t>
                  </w:r>
                  <w:r>
                    <w:rPr>
                      <w:rFonts w:hint="eastAsia" w:cs="Times New Roman"/>
                      <w:sz w:val="21"/>
                      <w:szCs w:val="21"/>
                      <w:lang w:val="en-US" w:eastAsia="zh-CN"/>
                    </w:rPr>
                    <w:t>塑料零件及其他塑料制品制造行业</w:t>
                  </w:r>
                  <w:r>
                    <w:rPr>
                      <w:rFonts w:hint="eastAsia" w:ascii="Times New Roman" w:hAnsi="Times New Roman" w:eastAsia="宋体" w:cs="Times New Roman"/>
                      <w:sz w:val="21"/>
                      <w:szCs w:val="21"/>
                    </w:rPr>
                    <w:t>，</w:t>
                  </w:r>
                  <w:r>
                    <w:rPr>
                      <w:rFonts w:hint="eastAsia" w:ascii="Times New Roman" w:hAnsi="Times New Roman" w:eastAsia="宋体" w:cs="Times New Roman"/>
                      <w:sz w:val="21"/>
                      <w:szCs w:val="21"/>
                      <w:lang w:eastAsia="zh-CN"/>
                    </w:rPr>
                    <w:t>生产中药包装袋，属于医药配套产业</w:t>
                  </w:r>
                  <w:r>
                    <w:rPr>
                      <w:rFonts w:hint="default" w:ascii="Times New Roman" w:hAnsi="Times New Roman" w:eastAsia="宋体" w:cs="Times New Roman"/>
                      <w:sz w:val="21"/>
                      <w:szCs w:val="21"/>
                    </w:rPr>
                    <w:t>，项目位于</w:t>
                  </w:r>
                  <w:r>
                    <w:rPr>
                      <w:rFonts w:hint="default" w:ascii="Times New Roman" w:hAnsi="Times New Roman" w:eastAsia="宋体" w:cs="Times New Roman"/>
                      <w:kern w:val="0"/>
                      <w:sz w:val="21"/>
                      <w:szCs w:val="21"/>
                      <w:lang w:bidi="en-US"/>
                    </w:rPr>
                    <w:t>沧州临港经济技术开发区西区</w:t>
                  </w:r>
                  <w:r>
                    <w:rPr>
                      <w:rFonts w:hint="default" w:ascii="Times New Roman" w:hAnsi="Times New Roman" w:eastAsia="宋体" w:cs="Times New Roman"/>
                      <w:sz w:val="21"/>
                      <w:szCs w:val="21"/>
                    </w:rPr>
                    <w:t>，不属于高污染工业，不属于钢铁、水泥、平板玻璃、焦化、化工、制药等行业，不涉及搬迁。</w:t>
                  </w:r>
                </w:p>
              </w:tc>
              <w:tc>
                <w:tcPr>
                  <w:tcW w:w="330" w:type="pct"/>
                  <w:noWrap w:val="0"/>
                  <w:vAlign w:val="center"/>
                </w:tcPr>
                <w:p w14:paraId="03C364D8">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2C291D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51" w:type="pct"/>
                  <w:vMerge w:val="continue"/>
                  <w:noWrap w:val="0"/>
                  <w:vAlign w:val="center"/>
                </w:tcPr>
                <w:p w14:paraId="304E868A">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2818" w:type="pct"/>
                  <w:noWrap w:val="0"/>
                  <w:vAlign w:val="center"/>
                </w:tcPr>
                <w:p w14:paraId="179A3C8A">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禁燃区内不得新建燃烧煤炭、重油、渣油等高污染燃料的设施；现有燃烧高污染燃料的设施，应当限期改用清洁能源；未改用清洁能源替代的高污染燃料设施，应当配套建设先进工艺的脱硫、脱硝、除尘装置或者采取其他措施，控制二氧化硫、氮氧化物和烟尘等排放；仍未达到大气污染物排放标准的，应当停止使用。禁燃区内禁止原煤散烧。</w:t>
                  </w:r>
                </w:p>
              </w:tc>
              <w:tc>
                <w:tcPr>
                  <w:tcW w:w="1299" w:type="pct"/>
                  <w:noWrap w:val="0"/>
                  <w:vAlign w:val="center"/>
                </w:tcPr>
                <w:p w14:paraId="454FA6D8">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不涉及</w:t>
                  </w:r>
                </w:p>
              </w:tc>
              <w:tc>
                <w:tcPr>
                  <w:tcW w:w="330" w:type="pct"/>
                  <w:noWrap w:val="0"/>
                  <w:vAlign w:val="center"/>
                </w:tcPr>
                <w:p w14:paraId="27C81376">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7BD208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51" w:type="pct"/>
                  <w:vMerge w:val="continue"/>
                  <w:noWrap w:val="0"/>
                  <w:vAlign w:val="center"/>
                </w:tcPr>
                <w:p w14:paraId="5E158551">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2818" w:type="pct"/>
                  <w:noWrap w:val="0"/>
                  <w:vAlign w:val="center"/>
                </w:tcPr>
                <w:p w14:paraId="24342176">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8.环境空气6项因子（二氧化硫、二氧化氮、一氧化碳、臭氧、PM</w:t>
                  </w:r>
                  <w:r>
                    <w:rPr>
                      <w:rFonts w:hint="default" w:ascii="Times New Roman" w:hAnsi="Times New Roman" w:eastAsia="宋体" w:cs="Times New Roman"/>
                      <w:sz w:val="21"/>
                      <w:szCs w:val="21"/>
                      <w:vertAlign w:val="subscript"/>
                    </w:rPr>
                    <w:t>2.5</w:t>
                  </w:r>
                  <w:r>
                    <w:rPr>
                      <w:rFonts w:hint="default" w:ascii="Times New Roman" w:hAnsi="Times New Roman" w:eastAsia="宋体" w:cs="Times New Roman"/>
                      <w:sz w:val="21"/>
                      <w:szCs w:val="21"/>
                    </w:rPr>
                    <w:t>、PM</w:t>
                  </w:r>
                  <w:r>
                    <w:rPr>
                      <w:rFonts w:hint="default" w:ascii="Times New Roman" w:hAnsi="Times New Roman" w:eastAsia="宋体" w:cs="Times New Roman"/>
                      <w:sz w:val="21"/>
                      <w:szCs w:val="21"/>
                      <w:vertAlign w:val="subscript"/>
                    </w:rPr>
                    <w:t>10</w:t>
                  </w:r>
                  <w:r>
                    <w:rPr>
                      <w:rFonts w:hint="default" w:ascii="Times New Roman" w:hAnsi="Times New Roman" w:eastAsia="宋体" w:cs="Times New Roman"/>
                      <w:sz w:val="21"/>
                      <w:szCs w:val="21"/>
                    </w:rPr>
                    <w:t>）年均浓度未达到国家二级标准的县（市、区）（含渤海新区、开发区、高新区，下同）不得新增区域污染物排放量，建设项目新增主要污染物排放量均需要削减规划期内2倍的污染物排放量。钢铁、焦化、水泥、玻璃、陶瓷行业建设项目总量指标原则上从本行业削减替代（钢焦一体化企业钢铁、焦化总量指标可互相替代），本行业减排量不足的，至少70%总量指标从本行业削减替代，30%总量指标从其他工业企业削减替代。钢铁、焦化、水泥、玻璃、陶瓷行业超低排放改造减排量的30%可以用于建设项目新增总量指标，其他70%用于大气环境质量改善，不得用于新增污染物排放量替代。企业以新代老和搬迁改造过程中关停设备减排量可以用于新建项目总量指标替代，但仍需执行减二增一政策。达到深度治理标准的燃煤电厂建设项目总量指标实施</w:t>
                  </w:r>
                  <w:r>
                    <w:rPr>
                      <w:rFonts w:hint="eastAsia" w:ascii="Times New Roman" w:hAnsi="Times New Roman" w:eastAsia="宋体" w:cs="Times New Roman"/>
                      <w:sz w:val="21"/>
                      <w:szCs w:val="21"/>
                      <w:lang w:val="en-US" w:eastAsia="zh-CN"/>
                    </w:rPr>
                    <w:t>“</w:t>
                  </w:r>
                  <w:r>
                    <w:rPr>
                      <w:rFonts w:hint="default" w:ascii="Times New Roman" w:hAnsi="Times New Roman" w:eastAsia="宋体" w:cs="Times New Roman"/>
                      <w:sz w:val="21"/>
                      <w:szCs w:val="21"/>
                    </w:rPr>
                    <w:t>减一增一</w:t>
                  </w:r>
                  <w:r>
                    <w:rPr>
                      <w:rFonts w:hint="eastAsia" w:ascii="Times New Roman" w:hAnsi="Times New Roman" w:eastAsia="宋体" w:cs="Times New Roman"/>
                      <w:sz w:val="21"/>
                      <w:szCs w:val="21"/>
                      <w:lang w:eastAsia="zh-CN"/>
                    </w:rPr>
                    <w:t>”</w:t>
                  </w:r>
                  <w:r>
                    <w:rPr>
                      <w:rFonts w:hint="default" w:ascii="Times New Roman" w:hAnsi="Times New Roman" w:eastAsia="宋体" w:cs="Times New Roman"/>
                      <w:sz w:val="21"/>
                      <w:szCs w:val="21"/>
                    </w:rPr>
                    <w:t>。</w:t>
                  </w:r>
                </w:p>
              </w:tc>
              <w:tc>
                <w:tcPr>
                  <w:tcW w:w="1299" w:type="pct"/>
                  <w:noWrap w:val="0"/>
                  <w:vAlign w:val="center"/>
                </w:tcPr>
                <w:p w14:paraId="0FFD0D3B">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本项目不属于钢铁、焦化、水泥、玻璃、陶瓷行业，不涉及主要污染物排放。</w:t>
                  </w:r>
                </w:p>
              </w:tc>
              <w:tc>
                <w:tcPr>
                  <w:tcW w:w="330" w:type="pct"/>
                  <w:noWrap w:val="0"/>
                  <w:vAlign w:val="center"/>
                </w:tcPr>
                <w:p w14:paraId="59570ACD">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43E81D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51" w:type="pct"/>
                  <w:vMerge w:val="continue"/>
                  <w:noWrap w:val="0"/>
                  <w:vAlign w:val="center"/>
                </w:tcPr>
                <w:p w14:paraId="752053CD">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2818" w:type="pct"/>
                  <w:noWrap w:val="0"/>
                  <w:vAlign w:val="center"/>
                </w:tcPr>
                <w:p w14:paraId="1577394A">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9.加快推进企业搬迁入园。以省级以上经济（技术）开发区、高新技术产业开发区为主要平台，推动涉气产业集群内企业实施搬迁入园，加快推动石化等重化工行业向沿海临港地区适度集聚，推动建材行业向资源富集地聚集，推动化工生产企业向化工园区转移。不具备入园条件的就地改造提升。</w:t>
                  </w:r>
                </w:p>
              </w:tc>
              <w:tc>
                <w:tcPr>
                  <w:tcW w:w="1299" w:type="pct"/>
                  <w:noWrap w:val="0"/>
                  <w:vAlign w:val="center"/>
                </w:tcPr>
                <w:p w14:paraId="29160262">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本项目位于</w:t>
                  </w:r>
                  <w:r>
                    <w:rPr>
                      <w:rFonts w:hint="default" w:ascii="Times New Roman" w:hAnsi="Times New Roman" w:eastAsia="宋体" w:cs="Times New Roman"/>
                      <w:kern w:val="0"/>
                      <w:sz w:val="21"/>
                      <w:szCs w:val="21"/>
                      <w:lang w:bidi="en-US"/>
                    </w:rPr>
                    <w:t>沧州临港经济技术开发区西区</w:t>
                  </w:r>
                  <w:r>
                    <w:rPr>
                      <w:rFonts w:hint="eastAsia" w:ascii="Times New Roman" w:hAnsi="Times New Roman" w:eastAsia="宋体" w:cs="Times New Roman"/>
                      <w:kern w:val="0"/>
                      <w:sz w:val="21"/>
                      <w:szCs w:val="21"/>
                      <w:lang w:eastAsia="zh-CN" w:bidi="en-US"/>
                    </w:rPr>
                    <w:t>内</w:t>
                  </w:r>
                  <w:r>
                    <w:rPr>
                      <w:rFonts w:hint="default" w:ascii="Times New Roman" w:hAnsi="Times New Roman" w:eastAsia="宋体" w:cs="Times New Roman"/>
                      <w:sz w:val="21"/>
                      <w:szCs w:val="21"/>
                    </w:rPr>
                    <w:t>。</w:t>
                  </w:r>
                </w:p>
              </w:tc>
              <w:tc>
                <w:tcPr>
                  <w:tcW w:w="330" w:type="pct"/>
                  <w:noWrap w:val="0"/>
                  <w:vAlign w:val="center"/>
                </w:tcPr>
                <w:p w14:paraId="6941D424">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4EC17B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51" w:type="pct"/>
                  <w:vMerge w:val="restart"/>
                  <w:noWrap w:val="0"/>
                  <w:vAlign w:val="center"/>
                </w:tcPr>
                <w:p w14:paraId="1D0C8C91">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污染物排</w:t>
                  </w:r>
                </w:p>
                <w:p w14:paraId="2B99787C">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放管控</w:t>
                  </w:r>
                </w:p>
              </w:tc>
              <w:tc>
                <w:tcPr>
                  <w:tcW w:w="2818" w:type="pct"/>
                  <w:noWrap w:val="0"/>
                  <w:vAlign w:val="center"/>
                </w:tcPr>
                <w:p w14:paraId="7C7A2C76">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大宗货物年货运量150万吨以上企业及新建的电力等大型工矿企业、物流园区，铁路专用线接入比例达到80%以上。具有铁路专用线的大型工矿企业和新建物流园区，大宗货物铁路运输比例达到80%以上。沿海主要港口利用疏港铁路、水路、封闭式皮带廊道、新能源汽车运输大宗货物的比例力争达到80%。</w:t>
                  </w:r>
                </w:p>
              </w:tc>
              <w:tc>
                <w:tcPr>
                  <w:tcW w:w="1299" w:type="pct"/>
                  <w:noWrap w:val="0"/>
                  <w:vAlign w:val="center"/>
                </w:tcPr>
                <w:p w14:paraId="00484110">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本项目货物均采用汽车运输</w:t>
                  </w:r>
                  <w:r>
                    <w:rPr>
                      <w:rFonts w:hint="eastAsia" w:cs="Times New Roman"/>
                      <w:sz w:val="21"/>
                      <w:szCs w:val="21"/>
                      <w:lang w:eastAsia="zh-CN"/>
                    </w:rPr>
                    <w:t>，且年货运量小于</w:t>
                  </w:r>
                  <w:r>
                    <w:rPr>
                      <w:rFonts w:hint="eastAsia" w:cs="Times New Roman"/>
                      <w:sz w:val="21"/>
                      <w:szCs w:val="21"/>
                      <w:lang w:val="en-US" w:eastAsia="zh-CN"/>
                    </w:rPr>
                    <w:t>150万吨</w:t>
                  </w:r>
                  <w:r>
                    <w:rPr>
                      <w:rFonts w:hint="default" w:ascii="Times New Roman" w:hAnsi="Times New Roman" w:eastAsia="宋体" w:cs="Times New Roman"/>
                      <w:sz w:val="21"/>
                      <w:szCs w:val="21"/>
                    </w:rPr>
                    <w:t>。</w:t>
                  </w:r>
                </w:p>
              </w:tc>
              <w:tc>
                <w:tcPr>
                  <w:tcW w:w="330" w:type="pct"/>
                  <w:noWrap w:val="0"/>
                  <w:vAlign w:val="center"/>
                </w:tcPr>
                <w:p w14:paraId="5EE76B9B">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54D2C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13" w:hRule="atLeast"/>
                <w:jc w:val="center"/>
              </w:trPr>
              <w:tc>
                <w:tcPr>
                  <w:tcW w:w="551" w:type="pct"/>
                  <w:vMerge w:val="continue"/>
                  <w:noWrap w:val="0"/>
                  <w:vAlign w:val="center"/>
                </w:tcPr>
                <w:p w14:paraId="4F8FCE3C">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2818" w:type="pct"/>
                  <w:noWrap w:val="0"/>
                  <w:vAlign w:val="center"/>
                </w:tcPr>
                <w:p w14:paraId="1941FEE8">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对于国家或地方排放标准中已规定大气污染物特别排放限值的行业以及锅炉，新受理环评的建设项目执行大气污染物特别排放限值；火电、钢铁、石化、炼焦、化工、有色（不含氧化铝）、水泥行业现有企业以及在用锅炉执行二氧化硫、氮氧化物、颗粒物和挥发性有机物特别排放限值；目前国家排放标准中未规定大气污染物特别排放限值的行业，待相应排放标准制修订或修改后，全市现有企业一律执行二氧化硫、氮氧化物、颗粒物和挥发性有机物特别排放限值。已发布超低排放标准的，按照标准要求执行超低排放标准。</w:t>
                  </w:r>
                </w:p>
              </w:tc>
              <w:tc>
                <w:tcPr>
                  <w:tcW w:w="1299" w:type="pct"/>
                  <w:noWrap w:val="0"/>
                  <w:vAlign w:val="center"/>
                </w:tcPr>
                <w:p w14:paraId="643D51F3">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本项目废气严格执行相应排放标准要求。</w:t>
                  </w:r>
                </w:p>
              </w:tc>
              <w:tc>
                <w:tcPr>
                  <w:tcW w:w="330" w:type="pct"/>
                  <w:noWrap w:val="0"/>
                  <w:vAlign w:val="center"/>
                </w:tcPr>
                <w:p w14:paraId="60277626">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06CD4C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51" w:type="pct"/>
                  <w:vMerge w:val="continue"/>
                  <w:noWrap w:val="0"/>
                  <w:vAlign w:val="center"/>
                </w:tcPr>
                <w:p w14:paraId="6DDAD85A">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2818" w:type="pct"/>
                  <w:noWrap w:val="0"/>
                  <w:vAlign w:val="center"/>
                </w:tcPr>
                <w:p w14:paraId="7BF1CF9A">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提高黄骅港岸电使用比率，加快淘汰港口作业老旧燃油机械和作业车辆。新增或更换的岸吊、场吊、吊车、叉车、牵引车和作业车辆主要采用新能源或清洁能源汽车。加强船舶排放控制区管理，进入排放控制区的船舶按照要求使用低硫燃油。进入我市沿海水域的船舶使用硫含量不大于0.5%（质量分数）燃油，对使用硫含量不大于0.1%（质量分数）燃油的船舶，实行优先进港、优先装卸、优先停靠离泊。</w:t>
                  </w:r>
                </w:p>
              </w:tc>
              <w:tc>
                <w:tcPr>
                  <w:tcW w:w="1299" w:type="pct"/>
                  <w:noWrap w:val="0"/>
                  <w:vAlign w:val="center"/>
                </w:tcPr>
                <w:p w14:paraId="20A3B7BA">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本项目运输车辆均采用新能源或清洁能源汽车。</w:t>
                  </w:r>
                </w:p>
              </w:tc>
              <w:tc>
                <w:tcPr>
                  <w:tcW w:w="330" w:type="pct"/>
                  <w:noWrap w:val="0"/>
                  <w:vAlign w:val="center"/>
                </w:tcPr>
                <w:p w14:paraId="3EBF5EF5">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09408B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51" w:type="pct"/>
                  <w:vMerge w:val="continue"/>
                  <w:noWrap w:val="0"/>
                  <w:vAlign w:val="center"/>
                </w:tcPr>
                <w:p w14:paraId="76D4E86B">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2818" w:type="pct"/>
                  <w:noWrap w:val="0"/>
                  <w:vAlign w:val="center"/>
                </w:tcPr>
                <w:p w14:paraId="0A681A0A">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市、县平均降尘量不高于8吨／平方公里·月。加强道路水洗机扫，市区道路机械化清扫率达到95%以上，县级道路机械化清扫率达到85%以上。深化建筑施工扬尘专项整治，严格执行《河北省建筑施工扬尘防治标准》。新开工的建筑项目必须安装视频监控系统及PM</w:t>
                  </w:r>
                  <w:r>
                    <w:rPr>
                      <w:rFonts w:hint="default" w:ascii="Times New Roman" w:hAnsi="Times New Roman" w:eastAsia="宋体" w:cs="Times New Roman"/>
                      <w:sz w:val="21"/>
                      <w:szCs w:val="21"/>
                      <w:vertAlign w:val="subscript"/>
                    </w:rPr>
                    <w:t>10</w:t>
                  </w:r>
                  <w:r>
                    <w:rPr>
                      <w:rFonts w:hint="default" w:ascii="Times New Roman" w:hAnsi="Times New Roman" w:eastAsia="宋体" w:cs="Times New Roman"/>
                      <w:sz w:val="21"/>
                      <w:szCs w:val="21"/>
                    </w:rPr>
                    <w:t>在线监测系统后方可开工。工地施工道路、塔吊等部位合理安装喷淋、喷雾等降尘装置，苫盖所用抑尘网密度标准应不小于2000目。中心城区高速合围区和县城建成区内，位于主要路段的施工现场围挡高度不低于2.5米，位于一般路段的，高度不低于1.8米，并在围挡底端设置不低于0.2米的防溢座。加强拆迁施工扬尘污染防治，作业面应当采取洒水、喷雾等防尘措施，及时清理废弃物，对裸露场地进行覆盖，裸置时间超过三个月的，应当采取绿化、铺装等防尘措施。各县（市、区）制定农村建设工程施工扬尘污染防治方案，乡镇、街道（村）加强引导监管。</w:t>
                  </w:r>
                </w:p>
              </w:tc>
              <w:tc>
                <w:tcPr>
                  <w:tcW w:w="1299" w:type="pct"/>
                  <w:noWrap w:val="0"/>
                  <w:vAlign w:val="center"/>
                </w:tcPr>
                <w:p w14:paraId="4BD9832E">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本项目利用现有厂区建设，施工期严格执行《河北省建筑施工扬尘防治标准》</w:t>
                  </w:r>
                  <w:r>
                    <w:rPr>
                      <w:rFonts w:hint="default" w:ascii="Times New Roman" w:hAnsi="Times New Roman" w:eastAsia="宋体" w:cs="Times New Roman"/>
                      <w:kern w:val="0"/>
                      <w:sz w:val="21"/>
                      <w:szCs w:val="21"/>
                    </w:rPr>
                    <w:t>。</w:t>
                  </w:r>
                </w:p>
              </w:tc>
              <w:tc>
                <w:tcPr>
                  <w:tcW w:w="330" w:type="pct"/>
                  <w:noWrap w:val="0"/>
                  <w:vAlign w:val="center"/>
                </w:tcPr>
                <w:p w14:paraId="235D62BE">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1B4DC4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51" w:type="pct"/>
                  <w:vMerge w:val="continue"/>
                  <w:noWrap w:val="0"/>
                  <w:vAlign w:val="center"/>
                </w:tcPr>
                <w:p w14:paraId="2A839340">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2818" w:type="pct"/>
                  <w:noWrap w:val="0"/>
                  <w:vAlign w:val="center"/>
                </w:tcPr>
                <w:p w14:paraId="5FDFE68F">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5.提高餐饮服务单位油烟排放标准，中心城区敏感区餐饮单位以及中心城区建成区和县城建成区大中型餐饮单位（大型指6个灶头以上，中型指3-6个灶头），油烟最高允许排放浓度为1.0mg/m</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sz w:val="21"/>
                      <w:szCs w:val="21"/>
                    </w:rPr>
                    <w:t>，颗粒物最高允许排放浓度为5.0mg/m</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sz w:val="21"/>
                      <w:szCs w:val="21"/>
                    </w:rPr>
                    <w:t>，非甲烷总烃最高允许排放浓度为10.0mg/m</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sz w:val="21"/>
                      <w:szCs w:val="21"/>
                    </w:rPr>
                    <w:t>。</w:t>
                  </w:r>
                </w:p>
              </w:tc>
              <w:tc>
                <w:tcPr>
                  <w:tcW w:w="1299" w:type="pct"/>
                  <w:noWrap w:val="0"/>
                  <w:vAlign w:val="center"/>
                </w:tcPr>
                <w:p w14:paraId="08232E13">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本项目</w:t>
                  </w:r>
                  <w:r>
                    <w:rPr>
                      <w:rFonts w:hint="eastAsia" w:ascii="Times New Roman" w:hAnsi="Times New Roman" w:eastAsia="宋体" w:cs="Times New Roman"/>
                      <w:sz w:val="21"/>
                      <w:szCs w:val="21"/>
                      <w:lang w:eastAsia="zh-CN"/>
                    </w:rPr>
                    <w:t>不属于餐饮服务单位</w:t>
                  </w:r>
                  <w:r>
                    <w:rPr>
                      <w:rFonts w:hint="default" w:ascii="Times New Roman" w:hAnsi="Times New Roman" w:eastAsia="宋体" w:cs="Times New Roman"/>
                      <w:sz w:val="21"/>
                      <w:szCs w:val="21"/>
                    </w:rPr>
                    <w:t>。</w:t>
                  </w:r>
                </w:p>
              </w:tc>
              <w:tc>
                <w:tcPr>
                  <w:tcW w:w="330" w:type="pct"/>
                  <w:noWrap w:val="0"/>
                  <w:vAlign w:val="center"/>
                </w:tcPr>
                <w:p w14:paraId="1B1406E5">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059645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51" w:type="pct"/>
                  <w:vMerge w:val="continue"/>
                  <w:noWrap w:val="0"/>
                  <w:vAlign w:val="center"/>
                </w:tcPr>
                <w:p w14:paraId="3554448C">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2818" w:type="pct"/>
                  <w:noWrap w:val="0"/>
                  <w:vAlign w:val="center"/>
                </w:tcPr>
                <w:p w14:paraId="26FB4478">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w:t>
                  </w:r>
                  <w:r>
                    <w:rPr>
                      <w:rFonts w:hint="default" w:ascii="Times New Roman" w:hAnsi="Times New Roman" w:eastAsia="宋体" w:cs="Times New Roman"/>
                      <w:color w:val="auto"/>
                      <w:sz w:val="21"/>
                      <w:szCs w:val="21"/>
                      <w:highlight w:val="none"/>
                    </w:rPr>
                    <w:t>建立印刷企业管理清单，按照《印刷工业污染防治可行技术指南》（HJ1089</w:t>
                  </w:r>
                  <w:r>
                    <w:rPr>
                      <w:rFonts w:hint="eastAsia" w:ascii="Times New Roman" w:hAnsi="Times New Roman"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rPr>
                    <w:t>2020）要求，含印刷工序的企业升级采用组合处理工艺，其中凹版印刷及溶剂型凸版印刷原则上要使用燃烧法处理工艺。</w:t>
                  </w:r>
                  <w:r>
                    <w:rPr>
                      <w:rFonts w:hint="default" w:ascii="Times New Roman" w:hAnsi="Times New Roman" w:eastAsia="宋体" w:cs="Times New Roman"/>
                      <w:color w:val="auto"/>
                      <w:sz w:val="21"/>
                      <w:szCs w:val="21"/>
                    </w:rPr>
                    <w:t>全市塑料生产企业中再生塑料制造、塑料人造革制造、合成革制造企业全部由单一处理设备更换为科学有效的组合处理工艺。全市VOCs初始排放浓度大于1500mg/m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的工业企业原则上升级为燃烧法处理有机废气。</w:t>
                  </w:r>
                  <w:r>
                    <w:rPr>
                      <w:rFonts w:hint="default" w:ascii="Times New Roman" w:hAnsi="Times New Roman" w:eastAsia="宋体" w:cs="Times New Roman"/>
                      <w:color w:val="auto"/>
                      <w:sz w:val="21"/>
                      <w:szCs w:val="21"/>
                      <w:highlight w:val="none"/>
                    </w:rPr>
                    <w:t>涉VOCs排放固定污染源处理设施设计风量大于10000立方米/小时的排口，要升级为FID在线监测系统，并与生态环境部门联网。</w:t>
                  </w:r>
                  <w:r>
                    <w:rPr>
                      <w:rFonts w:hint="default" w:ascii="Times New Roman" w:hAnsi="Times New Roman" w:eastAsia="宋体" w:cs="Times New Roman"/>
                      <w:color w:val="auto"/>
                      <w:sz w:val="21"/>
                      <w:szCs w:val="21"/>
                    </w:rPr>
                    <w:t>加强废气收集系统管控，涉VOCs排放企业集气罩设置应符合GB/T16758的规定。加强石化行业循环水管控，四家大型石化企业每半年至少开展一次循环水塔和含VOCs物料换热设备进出口总有机碳（TOC）或可吹扫有机碳（POC）监测工作。中心城区及县城建成区涉喷漆工序的汽修店全部升级为二级VOCs处理设备。开展恶臭异味气体专项治理。</w:t>
                  </w:r>
                </w:p>
              </w:tc>
              <w:tc>
                <w:tcPr>
                  <w:tcW w:w="1299" w:type="pct"/>
                  <w:noWrap w:val="0"/>
                  <w:vAlign w:val="center"/>
                </w:tcPr>
                <w:p w14:paraId="6DDA9B0B">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highlight w:val="none"/>
                    </w:rPr>
                    <w:t>本项目</w:t>
                  </w:r>
                  <w:r>
                    <w:rPr>
                      <w:rFonts w:hint="eastAsia" w:ascii="Times New Roman" w:hAnsi="Times New Roman" w:eastAsia="宋体" w:cs="Times New Roman"/>
                      <w:color w:val="auto"/>
                      <w:sz w:val="21"/>
                      <w:szCs w:val="21"/>
                      <w:highlight w:val="none"/>
                      <w:lang w:eastAsia="zh-CN"/>
                    </w:rPr>
                    <w:t>采取凹版印刷工艺，产生废气</w:t>
                  </w:r>
                  <w:r>
                    <w:rPr>
                      <w:rFonts w:hint="eastAsia" w:cs="Times New Roman"/>
                      <w:color w:val="auto"/>
                      <w:sz w:val="21"/>
                      <w:szCs w:val="21"/>
                      <w:highlight w:val="none"/>
                      <w:lang w:eastAsia="zh-CN"/>
                    </w:rPr>
                    <w:t>采用</w:t>
                  </w:r>
                  <w:r>
                    <w:rPr>
                      <w:rFonts w:hint="eastAsia" w:ascii="Times New Roman" w:hAnsi="Times New Roman" w:eastAsia="宋体" w:cs="Times New Roman"/>
                      <w:color w:val="auto"/>
                      <w:sz w:val="21"/>
                      <w:szCs w:val="21"/>
                      <w:highlight w:val="none"/>
                      <w:lang w:eastAsia="zh-CN"/>
                    </w:rPr>
                    <w:t>二级活性炭吸附处理装置处理</w:t>
                  </w:r>
                  <w:r>
                    <w:rPr>
                      <w:rFonts w:hint="eastAsia" w:cs="Times New Roman"/>
                      <w:color w:val="auto"/>
                      <w:sz w:val="21"/>
                      <w:szCs w:val="21"/>
                      <w:highlight w:val="none"/>
                      <w:lang w:eastAsia="zh-CN"/>
                    </w:rPr>
                    <w:t>，本项目</w:t>
                  </w:r>
                  <w:r>
                    <w:rPr>
                      <w:rFonts w:hint="eastAsia" w:cs="Times New Roman"/>
                      <w:color w:val="auto"/>
                      <w:sz w:val="21"/>
                      <w:szCs w:val="21"/>
                      <w:highlight w:val="none"/>
                      <w:lang w:val="en-US" w:eastAsia="zh-CN"/>
                    </w:rPr>
                    <w:t>采用水性油墨属于非溶剂型油墨，非甲烷总烃产生速率小于2kg/h，</w:t>
                  </w:r>
                  <w:r>
                    <w:rPr>
                      <w:rFonts w:hint="eastAsia" w:cs="Times New Roman"/>
                      <w:color w:val="auto"/>
                      <w:sz w:val="21"/>
                      <w:szCs w:val="21"/>
                      <w:highlight w:val="none"/>
                      <w:lang w:eastAsia="zh-CN"/>
                    </w:rPr>
                    <w:t>活性炭对苯系物、酯类、酮类等非极性有机物吸附能力强（尤其适用于低浓度、大风量废气），项目优选碘值≥800 mg/g的煤质或椰壳活性炭，比表面积大的话性炭，并控制空速（GHSV）：建议0.2~0.5 m/s，接触时间≥1秒，经处理后各污染物均达标排放，处理技术可行</w:t>
                  </w:r>
                  <w:r>
                    <w:rPr>
                      <w:rFonts w:hint="eastAsia" w:ascii="Times New Roman" w:hAnsi="Times New Roman" w:eastAsia="宋体" w:cs="Times New Roman"/>
                      <w:color w:val="auto"/>
                      <w:sz w:val="21"/>
                      <w:szCs w:val="21"/>
                      <w:highlight w:val="none"/>
                      <w:lang w:val="en-US" w:eastAsia="zh-CN"/>
                    </w:rPr>
                    <w:t>。</w:t>
                  </w:r>
                  <w:r>
                    <w:rPr>
                      <w:rFonts w:hint="eastAsia" w:cs="Times New Roman"/>
                      <w:color w:val="auto"/>
                      <w:sz w:val="21"/>
                      <w:szCs w:val="21"/>
                      <w:highlight w:val="none"/>
                      <w:lang w:val="en-US" w:eastAsia="zh-CN"/>
                    </w:rPr>
                    <w:t>本项目不属于</w:t>
                  </w:r>
                  <w:r>
                    <w:rPr>
                      <w:rFonts w:hint="default" w:ascii="Times New Roman" w:hAnsi="Times New Roman" w:eastAsia="宋体" w:cs="Times New Roman"/>
                      <w:color w:val="auto"/>
                      <w:sz w:val="21"/>
                      <w:szCs w:val="21"/>
                      <w:highlight w:val="none"/>
                    </w:rPr>
                    <w:t>再生塑料制造、塑料人造革制造、合成革制造企业</w:t>
                  </w:r>
                  <w:r>
                    <w:rPr>
                      <w:rFonts w:hint="eastAsia" w:cs="Times New Roman"/>
                      <w:color w:val="auto"/>
                      <w:sz w:val="21"/>
                      <w:szCs w:val="21"/>
                      <w:highlight w:val="none"/>
                      <w:lang w:eastAsia="zh-CN"/>
                    </w:rPr>
                    <w:t>。本项目</w:t>
                  </w:r>
                  <w:r>
                    <w:rPr>
                      <w:rFonts w:hint="default" w:ascii="Times New Roman" w:hAnsi="Times New Roman" w:eastAsia="宋体" w:cs="Times New Roman"/>
                      <w:color w:val="auto"/>
                      <w:sz w:val="21"/>
                      <w:szCs w:val="21"/>
                      <w:highlight w:val="none"/>
                    </w:rPr>
                    <w:t>VOCs初始排放浓度</w:t>
                  </w:r>
                  <w:r>
                    <w:rPr>
                      <w:rFonts w:hint="eastAsia" w:cs="Times New Roman"/>
                      <w:color w:val="auto"/>
                      <w:sz w:val="21"/>
                      <w:szCs w:val="21"/>
                      <w:highlight w:val="none"/>
                      <w:lang w:eastAsia="zh-CN"/>
                    </w:rPr>
                    <w:t>均小</w:t>
                  </w:r>
                  <w:r>
                    <w:rPr>
                      <w:rFonts w:hint="default" w:ascii="Times New Roman" w:hAnsi="Times New Roman" w:eastAsia="宋体" w:cs="Times New Roman"/>
                      <w:color w:val="auto"/>
                      <w:sz w:val="21"/>
                      <w:szCs w:val="21"/>
                      <w:highlight w:val="none"/>
                    </w:rPr>
                    <w:t>于1500mg/m</w:t>
                  </w:r>
                  <w:r>
                    <w:rPr>
                      <w:rFonts w:hint="default" w:ascii="Times New Roman" w:hAnsi="Times New Roman" w:eastAsia="宋体" w:cs="Times New Roman"/>
                      <w:color w:val="auto"/>
                      <w:sz w:val="21"/>
                      <w:szCs w:val="21"/>
                      <w:highlight w:val="none"/>
                      <w:vertAlign w:val="superscript"/>
                    </w:rPr>
                    <w:t>3</w:t>
                  </w:r>
                  <w:r>
                    <w:rPr>
                      <w:rFonts w:hint="eastAsia" w:cs="Times New Roman"/>
                      <w:color w:val="auto"/>
                      <w:sz w:val="21"/>
                      <w:szCs w:val="21"/>
                      <w:highlight w:val="none"/>
                      <w:lang w:eastAsia="zh-CN"/>
                    </w:rPr>
                    <w:t>。本项目建议企业将现有</w:t>
                  </w:r>
                  <w:r>
                    <w:rPr>
                      <w:rFonts w:hint="default" w:ascii="Times New Roman" w:hAnsi="Times New Roman" w:eastAsia="宋体" w:cs="Times New Roman"/>
                      <w:color w:val="auto"/>
                      <w:sz w:val="21"/>
                      <w:szCs w:val="21"/>
                      <w:highlight w:val="none"/>
                    </w:rPr>
                    <w:t>设计风量大于10000m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rPr>
                    <w:t>/h的排口升级为FID在线监测系统，并与生态环境部门联网。</w:t>
                  </w:r>
                  <w:r>
                    <w:rPr>
                      <w:rFonts w:hint="eastAsia" w:cs="Times New Roman"/>
                      <w:color w:val="auto"/>
                      <w:sz w:val="21"/>
                      <w:szCs w:val="21"/>
                      <w:highlight w:val="none"/>
                      <w:lang w:eastAsia="zh-CN"/>
                    </w:rPr>
                    <w:t>本项目</w:t>
                  </w:r>
                  <w:r>
                    <w:rPr>
                      <w:rFonts w:hint="default" w:ascii="Times New Roman" w:hAnsi="Times New Roman" w:eastAsia="宋体" w:cs="Times New Roman"/>
                      <w:color w:val="auto"/>
                      <w:sz w:val="21"/>
                      <w:szCs w:val="21"/>
                      <w:highlight w:val="none"/>
                    </w:rPr>
                    <w:t>涉VOCs排放</w:t>
                  </w:r>
                  <w:r>
                    <w:rPr>
                      <w:rFonts w:hint="eastAsia" w:cs="Times New Roman"/>
                      <w:color w:val="auto"/>
                      <w:sz w:val="21"/>
                      <w:szCs w:val="21"/>
                      <w:highlight w:val="none"/>
                      <w:lang w:eastAsia="zh-CN"/>
                    </w:rPr>
                    <w:t>工序集气罩设置符合</w:t>
                  </w:r>
                  <w:r>
                    <w:rPr>
                      <w:rFonts w:hint="default" w:ascii="Times New Roman" w:hAnsi="Times New Roman" w:eastAsia="宋体" w:cs="Times New Roman"/>
                      <w:color w:val="auto"/>
                      <w:sz w:val="21"/>
                      <w:szCs w:val="21"/>
                      <w:highlight w:val="none"/>
                    </w:rPr>
                    <w:t>GB/T16758的规定。</w:t>
                  </w:r>
                  <w:r>
                    <w:rPr>
                      <w:rFonts w:hint="eastAsia" w:cs="Times New Roman"/>
                      <w:color w:val="auto"/>
                      <w:sz w:val="21"/>
                      <w:szCs w:val="21"/>
                      <w:highlight w:val="none"/>
                      <w:lang w:eastAsia="zh-CN"/>
                    </w:rPr>
                    <w:t>本项目不属于</w:t>
                  </w:r>
                  <w:r>
                    <w:rPr>
                      <w:rFonts w:hint="default" w:ascii="Times New Roman" w:hAnsi="Times New Roman" w:eastAsia="宋体" w:cs="Times New Roman"/>
                      <w:color w:val="auto"/>
                      <w:sz w:val="21"/>
                      <w:szCs w:val="21"/>
                      <w:highlight w:val="none"/>
                    </w:rPr>
                    <w:t>石化行业</w:t>
                  </w:r>
                  <w:r>
                    <w:rPr>
                      <w:rFonts w:hint="eastAsia" w:cs="Times New Roman"/>
                      <w:color w:val="auto"/>
                      <w:sz w:val="21"/>
                      <w:szCs w:val="21"/>
                      <w:highlight w:val="none"/>
                      <w:lang w:eastAsia="zh-CN"/>
                    </w:rPr>
                    <w:t>。本项目不涉及喷漆工序。</w:t>
                  </w:r>
                </w:p>
              </w:tc>
              <w:tc>
                <w:tcPr>
                  <w:tcW w:w="330" w:type="pct"/>
                  <w:noWrap w:val="0"/>
                  <w:vAlign w:val="center"/>
                </w:tcPr>
                <w:p w14:paraId="5738109F">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35AD4A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51" w:type="pct"/>
                  <w:vMerge w:val="continue"/>
                  <w:noWrap w:val="0"/>
                  <w:vAlign w:val="center"/>
                </w:tcPr>
                <w:p w14:paraId="6105DCB7">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2818" w:type="pct"/>
                  <w:noWrap w:val="0"/>
                  <w:vAlign w:val="center"/>
                </w:tcPr>
                <w:p w14:paraId="3BEFFF58">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深入实施燃煤锅炉治理，基本淘汰35蒸吨/小时及以下燃煤锅炉、茶炉大灶以及经营性小煤炉。35蒸吨/小时以上燃煤锅炉基本完成超低排放改造，全面达到排放限值和能效标准。推广清洁高效燃煤锅炉。禁止新建35蒸吨/小时及以下燃煤锅炉（有特殊政策的山区县除外）。城市和县城建成区禁止新建35蒸吨/小时及以下生物质锅炉，35蒸吨/小时以上的生物质锅炉要达到超低排放标准。燃气锅炉完成低氮燃烧改造，城市建成区生物质锅炉实施超低排放改造。全部关停整合30万千瓦及以上热电联产电厂供热半径15公里范围内的燃煤锅炉和落后燃煤小热电。</w:t>
                  </w:r>
                </w:p>
              </w:tc>
              <w:tc>
                <w:tcPr>
                  <w:tcW w:w="1299" w:type="pct"/>
                  <w:noWrap w:val="0"/>
                  <w:vAlign w:val="center"/>
                </w:tcPr>
                <w:p w14:paraId="3E17DA79">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不涉及</w:t>
                  </w:r>
                </w:p>
              </w:tc>
              <w:tc>
                <w:tcPr>
                  <w:tcW w:w="330" w:type="pct"/>
                  <w:noWrap w:val="0"/>
                  <w:vAlign w:val="center"/>
                </w:tcPr>
                <w:p w14:paraId="5C4B4795">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000FCB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51" w:type="pct"/>
                  <w:vMerge w:val="continue"/>
                  <w:noWrap w:val="0"/>
                  <w:vAlign w:val="center"/>
                </w:tcPr>
                <w:p w14:paraId="6E5FA693">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2818" w:type="pct"/>
                  <w:noWrap w:val="0"/>
                  <w:vAlign w:val="center"/>
                </w:tcPr>
                <w:p w14:paraId="04543B4B">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8.对保留的工业炉窑开展环保提标改造，配套建设高效脱硫、脱硝、除尘设施，确保稳定达标排放。对照《钢铁工业大气污染物超低排放标准》（DB13/2169-2018），加快推进钢铁行业超低排放改造。平板玻璃行业参照《平板玻璃工业大气污染物超低排放标准》（DB13/2167-2020），水泥行业参照《水泥工业大气污染物超低排放标准》（DB13/2167-2020），积极推进污染治理升级改造。鼓励具备条件的陶瓷企业陶瓷窑、喷雾干燥塔烟气参照基准含氧量18%状态下颗粒物、二氧化硫、氮氧化物排放浓度分别不高于10mg/m</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sz w:val="21"/>
                      <w:szCs w:val="21"/>
                    </w:rPr>
                    <w:t>、30mg/m</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sz w:val="21"/>
                      <w:szCs w:val="21"/>
                    </w:rPr>
                    <w:t>、100mg/m</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sz w:val="21"/>
                      <w:szCs w:val="21"/>
                    </w:rPr>
                    <w:t>标准，开展超低排放改造。平板玻璃、建筑陶瓷企业逐步取消脱硫脱硝烟气旁路或设置备用脱硫脱硝等设施，鼓励水泥企业实施全流程污染深度治理。推进具备条件的焦化企业实施干熄焦改造。在保证生产安全前提下，钢铁烧结（球团）、高炉、转炉、轧钢工序实施车间封闭生产。已实现超低排放企业，对标行业先进，持续推动污染物排放总量降低。</w:t>
                  </w:r>
                </w:p>
              </w:tc>
              <w:tc>
                <w:tcPr>
                  <w:tcW w:w="1299" w:type="pct"/>
                  <w:noWrap w:val="0"/>
                  <w:vAlign w:val="center"/>
                </w:tcPr>
                <w:p w14:paraId="7BB059E9">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jc w:val="center"/>
                    <w:textAlignment w:val="auto"/>
                    <w:rPr>
                      <w:rFonts w:hint="eastAsia" w:ascii="Times New Roman" w:hAnsi="Times New Roman" w:eastAsia="宋体" w:cs="Times New Roman"/>
                      <w:sz w:val="21"/>
                      <w:szCs w:val="21"/>
                      <w:lang w:eastAsia="zh-CN"/>
                    </w:rPr>
                  </w:pPr>
                  <w:r>
                    <w:rPr>
                      <w:rFonts w:hint="default" w:ascii="Times New Roman" w:hAnsi="Times New Roman" w:eastAsia="宋体" w:cs="Times New Roman"/>
                      <w:sz w:val="21"/>
                      <w:szCs w:val="21"/>
                    </w:rPr>
                    <w:t>不涉及</w:t>
                  </w:r>
                </w:p>
              </w:tc>
              <w:tc>
                <w:tcPr>
                  <w:tcW w:w="330" w:type="pct"/>
                  <w:noWrap w:val="0"/>
                  <w:vAlign w:val="center"/>
                </w:tcPr>
                <w:p w14:paraId="266C1764">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5E9362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51" w:type="pct"/>
                  <w:vMerge w:val="continue"/>
                  <w:noWrap w:val="0"/>
                  <w:vAlign w:val="center"/>
                </w:tcPr>
                <w:p w14:paraId="254E4DB6">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2818" w:type="pct"/>
                  <w:noWrap w:val="0"/>
                  <w:vAlign w:val="center"/>
                </w:tcPr>
                <w:p w14:paraId="6154AE50">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9.采取经济补偿、限制使用、加强监管等措施，尽早完成省下达的国三级以下排放标准营运柴油货车淘汰任务。加快淘汰采用稀薄燃烧技术或油改气的老旧燃气车辆。对国家淘汰任务以外具备治理条件的国三排放标准重型柴油货车，加快安装污染控制装置。对具备条件的国四级以上排放标准重型柴油货车安装远程在线监控设备并与生态环境部门联网，对未安装远程在线监控设备的营运车辆，列入重点监管对象。按时完成省下达的新能源车推广任务。依法推进提升中心城区建成区新增或更新的公交、环卫、邮政、出租、通勤、电力、轻型物流配送车和商砼运输车、渣土车等重载车辆使用新能源或清洁能源汽车比例。</w:t>
                  </w:r>
                </w:p>
              </w:tc>
              <w:tc>
                <w:tcPr>
                  <w:tcW w:w="1299" w:type="pct"/>
                  <w:noWrap w:val="0"/>
                  <w:vAlign w:val="center"/>
                </w:tcPr>
                <w:p w14:paraId="06D0ACD7">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本项目运输车辆均采用新能源或清洁能源汽车。</w:t>
                  </w:r>
                </w:p>
              </w:tc>
              <w:tc>
                <w:tcPr>
                  <w:tcW w:w="330" w:type="pct"/>
                  <w:noWrap w:val="0"/>
                  <w:vAlign w:val="center"/>
                </w:tcPr>
                <w:p w14:paraId="44C11B9B">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058408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51" w:type="pct"/>
                  <w:vMerge w:val="continue"/>
                  <w:noWrap w:val="0"/>
                  <w:vAlign w:val="center"/>
                </w:tcPr>
                <w:p w14:paraId="0D1813B9">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2818" w:type="pct"/>
                  <w:noWrap w:val="0"/>
                  <w:vAlign w:val="center"/>
                </w:tcPr>
                <w:p w14:paraId="18C047E7">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10.严格落实国家《北方地区冬季清洁取暖规划（2017-2021年）》和《河北省冬季清洁取暖实施方案》，多渠道拓展气源，完善燃气管网建设和电网升级改造，确保采暖季前完成省下达的农村清洁取暖改造任务。</w:t>
                  </w:r>
                </w:p>
              </w:tc>
              <w:tc>
                <w:tcPr>
                  <w:tcW w:w="1299" w:type="pct"/>
                  <w:noWrap w:val="0"/>
                  <w:vAlign w:val="center"/>
                </w:tcPr>
                <w:p w14:paraId="03A0838E">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本项目</w:t>
                  </w:r>
                  <w:r>
                    <w:rPr>
                      <w:rFonts w:hint="eastAsia" w:ascii="Times New Roman" w:hAnsi="Times New Roman" w:eastAsia="宋体" w:cs="Times New Roman"/>
                      <w:sz w:val="21"/>
                      <w:szCs w:val="21"/>
                      <w:lang w:eastAsia="zh-CN"/>
                    </w:rPr>
                    <w:t>冬季取暖采用电</w:t>
                  </w:r>
                  <w:r>
                    <w:rPr>
                      <w:rFonts w:hint="default" w:ascii="Times New Roman" w:hAnsi="Times New Roman" w:eastAsia="宋体" w:cs="Times New Roman"/>
                      <w:sz w:val="21"/>
                      <w:szCs w:val="21"/>
                    </w:rPr>
                    <w:t>。</w:t>
                  </w:r>
                </w:p>
              </w:tc>
              <w:tc>
                <w:tcPr>
                  <w:tcW w:w="330" w:type="pct"/>
                  <w:noWrap w:val="0"/>
                  <w:vAlign w:val="center"/>
                </w:tcPr>
                <w:p w14:paraId="717B0187">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5F47A0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51" w:type="pct"/>
                  <w:vMerge w:val="continue"/>
                  <w:noWrap w:val="0"/>
                  <w:vAlign w:val="center"/>
                </w:tcPr>
                <w:p w14:paraId="3D78D0AA">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2818" w:type="pct"/>
                  <w:noWrap w:val="0"/>
                  <w:vAlign w:val="center"/>
                </w:tcPr>
                <w:p w14:paraId="7E12CC31">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11.有效减少NOx排放。强化巩固钢铁行业烧结机NOx减排成果，对采取低效脱硝治理工艺的锅炉和炉窑进行升级改造，确保NOx稳定达标。</w:t>
                  </w:r>
                </w:p>
              </w:tc>
              <w:tc>
                <w:tcPr>
                  <w:tcW w:w="1299" w:type="pct"/>
                  <w:noWrap w:val="0"/>
                  <w:vAlign w:val="center"/>
                </w:tcPr>
                <w:p w14:paraId="0F6EFD24">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本项目</w:t>
                  </w:r>
                  <w:r>
                    <w:rPr>
                      <w:rFonts w:hint="eastAsia" w:ascii="Times New Roman" w:hAnsi="Times New Roman" w:eastAsia="宋体" w:cs="Times New Roman"/>
                      <w:sz w:val="21"/>
                      <w:szCs w:val="21"/>
                      <w:lang w:eastAsia="zh-CN"/>
                    </w:rPr>
                    <w:t>不产生</w:t>
                  </w:r>
                  <w:r>
                    <w:rPr>
                      <w:rFonts w:hint="default" w:ascii="Times New Roman" w:hAnsi="Times New Roman" w:eastAsia="宋体" w:cs="Times New Roman"/>
                      <w:sz w:val="21"/>
                      <w:szCs w:val="21"/>
                    </w:rPr>
                    <w:t>NOx。</w:t>
                  </w:r>
                </w:p>
              </w:tc>
              <w:tc>
                <w:tcPr>
                  <w:tcW w:w="330" w:type="pct"/>
                  <w:noWrap w:val="0"/>
                  <w:vAlign w:val="center"/>
                </w:tcPr>
                <w:p w14:paraId="42B346EE">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6D345C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51" w:type="pct"/>
                  <w:vMerge w:val="continue"/>
                  <w:noWrap w:val="0"/>
                  <w:vAlign w:val="center"/>
                </w:tcPr>
                <w:p w14:paraId="14D75BB5">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2818" w:type="pct"/>
                  <w:noWrap w:val="0"/>
                  <w:vAlign w:val="center"/>
                </w:tcPr>
                <w:p w14:paraId="2E52BFB9">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12.落实国家适应气候变化战略，推动减污降碳协同增效。强化重点企业碳排放核查，开展工业、农业温室气体和污染减排协同控制，减少温室气体和污染物排放。加强污水、垃圾等集中处置设施温室气体排放协同控制。</w:t>
                  </w:r>
                </w:p>
              </w:tc>
              <w:tc>
                <w:tcPr>
                  <w:tcW w:w="1299" w:type="pct"/>
                  <w:noWrap w:val="0"/>
                  <w:vAlign w:val="center"/>
                </w:tcPr>
                <w:p w14:paraId="43F07AD6">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不涉及</w:t>
                  </w:r>
                </w:p>
              </w:tc>
              <w:tc>
                <w:tcPr>
                  <w:tcW w:w="330" w:type="pct"/>
                  <w:noWrap w:val="0"/>
                  <w:vAlign w:val="center"/>
                </w:tcPr>
                <w:p w14:paraId="36DDF2E6">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12B58C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51" w:type="pct"/>
                  <w:vMerge w:val="restart"/>
                  <w:noWrap w:val="0"/>
                  <w:vAlign w:val="center"/>
                </w:tcPr>
                <w:p w14:paraId="0EF0A818">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环境风险防控</w:t>
                  </w:r>
                </w:p>
              </w:tc>
              <w:tc>
                <w:tcPr>
                  <w:tcW w:w="2818" w:type="pct"/>
                  <w:noWrap w:val="0"/>
                  <w:vAlign w:val="center"/>
                </w:tcPr>
                <w:p w14:paraId="6B6D9EC9">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1.健全环境风险预测预警体系。加强基础能力建设。强化重污染天气、有毒有害气体等关系公众健康的重点领域风险预警，完善预案备案管理制度。</w:t>
                  </w:r>
                </w:p>
              </w:tc>
              <w:tc>
                <w:tcPr>
                  <w:tcW w:w="1299" w:type="pct"/>
                  <w:noWrap w:val="0"/>
                  <w:vAlign w:val="center"/>
                </w:tcPr>
                <w:p w14:paraId="74D26C37">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本项目建成后，企业应按要求修订突发环境事件应急预案和重污染天气应急预案等</w:t>
                  </w:r>
                  <w:r>
                    <w:rPr>
                      <w:rFonts w:hint="eastAsia" w:cs="Times New Roman"/>
                      <w:sz w:val="21"/>
                      <w:szCs w:val="21"/>
                      <w:lang w:eastAsia="zh-CN"/>
                    </w:rPr>
                    <w:t>，健全</w:t>
                  </w:r>
                  <w:r>
                    <w:rPr>
                      <w:rFonts w:hint="default" w:ascii="Times New Roman" w:hAnsi="Times New Roman" w:eastAsia="宋体" w:cs="Times New Roman"/>
                      <w:sz w:val="21"/>
                      <w:szCs w:val="21"/>
                    </w:rPr>
                    <w:t>相应的环境风险预警体系。</w:t>
                  </w:r>
                </w:p>
              </w:tc>
              <w:tc>
                <w:tcPr>
                  <w:tcW w:w="330" w:type="pct"/>
                  <w:noWrap w:val="0"/>
                  <w:vAlign w:val="center"/>
                </w:tcPr>
                <w:p w14:paraId="404142F6">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4D5E08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51" w:type="pct"/>
                  <w:vMerge w:val="continue"/>
                  <w:noWrap w:val="0"/>
                  <w:vAlign w:val="center"/>
                </w:tcPr>
                <w:p w14:paraId="6B7638F1">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2818" w:type="pct"/>
                  <w:noWrap w:val="0"/>
                  <w:vAlign w:val="center"/>
                </w:tcPr>
                <w:p w14:paraId="25B405D8">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2.规模以上大气污染企业需制定</w:t>
                  </w:r>
                  <w:r>
                    <w:rPr>
                      <w:rFonts w:hint="default" w:ascii="Times New Roman" w:hAnsi="Times New Roman" w:eastAsia="宋体" w:cs="Times New Roman"/>
                      <w:color w:val="auto"/>
                      <w:sz w:val="21"/>
                      <w:szCs w:val="21"/>
                    </w:rPr>
                    <w:t>企业环境风险管理策略。</w:t>
                  </w:r>
                </w:p>
              </w:tc>
              <w:tc>
                <w:tcPr>
                  <w:tcW w:w="1299" w:type="pct"/>
                  <w:noWrap w:val="0"/>
                  <w:vAlign w:val="center"/>
                </w:tcPr>
                <w:p w14:paraId="606A1E20">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eastAsia="zh-CN"/>
                    </w:rPr>
                    <w:t>企业</w:t>
                  </w:r>
                  <w:r>
                    <w:rPr>
                      <w:rFonts w:hint="default" w:ascii="Times New Roman" w:hAnsi="Times New Roman" w:eastAsia="宋体" w:cs="Times New Roman"/>
                      <w:sz w:val="21"/>
                      <w:szCs w:val="21"/>
                    </w:rPr>
                    <w:t>制定应急预案，建立健全安全、环境管理体系。</w:t>
                  </w:r>
                </w:p>
              </w:tc>
              <w:tc>
                <w:tcPr>
                  <w:tcW w:w="330" w:type="pct"/>
                  <w:noWrap w:val="0"/>
                  <w:vAlign w:val="center"/>
                </w:tcPr>
                <w:p w14:paraId="77374136">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6A2ACD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51" w:type="pct"/>
                  <w:vMerge w:val="restart"/>
                  <w:noWrap w:val="0"/>
                  <w:vAlign w:val="center"/>
                </w:tcPr>
                <w:p w14:paraId="193A8E3A">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资源利用效率</w:t>
                  </w:r>
                </w:p>
              </w:tc>
              <w:tc>
                <w:tcPr>
                  <w:tcW w:w="2818" w:type="pct"/>
                  <w:noWrap w:val="0"/>
                  <w:vAlign w:val="center"/>
                </w:tcPr>
                <w:p w14:paraId="0A5651B1">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1.严格控制煤炭消费总量，削减非电力用煤，发展可再生能源。</w:t>
                  </w:r>
                </w:p>
              </w:tc>
              <w:tc>
                <w:tcPr>
                  <w:tcW w:w="1299" w:type="pct"/>
                  <w:noWrap w:val="0"/>
                  <w:vAlign w:val="center"/>
                </w:tcPr>
                <w:p w14:paraId="5EC73D56">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不涉及</w:t>
                  </w:r>
                </w:p>
              </w:tc>
              <w:tc>
                <w:tcPr>
                  <w:tcW w:w="330" w:type="pct"/>
                  <w:noWrap w:val="0"/>
                  <w:vAlign w:val="center"/>
                </w:tcPr>
                <w:p w14:paraId="12FAF3C9">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5A2633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4" w:hRule="atLeast"/>
                <w:jc w:val="center"/>
              </w:trPr>
              <w:tc>
                <w:tcPr>
                  <w:tcW w:w="551" w:type="pct"/>
                  <w:vMerge w:val="continue"/>
                  <w:noWrap w:val="0"/>
                  <w:vAlign w:val="center"/>
                </w:tcPr>
                <w:p w14:paraId="1D41DD53">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2818" w:type="pct"/>
                  <w:noWrap w:val="0"/>
                  <w:vAlign w:val="center"/>
                </w:tcPr>
                <w:p w14:paraId="7841EFE7">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2.秸秆资源利用率达到96%以上。</w:t>
                  </w:r>
                </w:p>
              </w:tc>
              <w:tc>
                <w:tcPr>
                  <w:tcW w:w="1299" w:type="pct"/>
                  <w:noWrap w:val="0"/>
                  <w:vAlign w:val="center"/>
                </w:tcPr>
                <w:p w14:paraId="0CAFF0E4">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不涉及</w:t>
                  </w:r>
                </w:p>
              </w:tc>
              <w:tc>
                <w:tcPr>
                  <w:tcW w:w="330" w:type="pct"/>
                  <w:noWrap w:val="0"/>
                  <w:vAlign w:val="center"/>
                </w:tcPr>
                <w:p w14:paraId="55DA1C42">
                  <w:pPr>
                    <w:pStyle w:val="24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bl>
          <w:p w14:paraId="3ED97DC4">
            <w:pPr>
              <w:keepNext w:val="0"/>
              <w:keepLines w:val="0"/>
              <w:suppressLineNumbers w:val="0"/>
              <w:tabs>
                <w:tab w:val="left" w:pos="86"/>
              </w:tabs>
              <w:spacing w:before="157" w:beforeLines="50" w:beforeAutospacing="0" w:after="0" w:afterAutospacing="0" w:line="360" w:lineRule="auto"/>
              <w:ind w:left="0" w:right="0" w:firstLine="480" w:firstLineChars="200"/>
              <w:jc w:val="both"/>
              <w:rPr>
                <w:rFonts w:hint="eastAsia" w:eastAsia="宋体"/>
                <w:lang w:eastAsia="zh-CN"/>
              </w:rPr>
            </w:pPr>
            <w:r>
              <w:rPr>
                <w:rFonts w:hint="eastAsia"/>
                <w:sz w:val="24"/>
                <w:lang w:eastAsia="zh-CN"/>
              </w:rPr>
              <w:t>根据上表，本项目符合全市大气环境总体管控要求。</w:t>
            </w:r>
          </w:p>
          <w:p w14:paraId="060C39C7">
            <w:pPr>
              <w:keepNext w:val="0"/>
              <w:keepLines w:val="0"/>
              <w:suppressLineNumbers w:val="0"/>
              <w:tabs>
                <w:tab w:val="left" w:pos="86"/>
              </w:tabs>
              <w:spacing w:before="0" w:beforeLines="0" w:beforeAutospacing="0" w:after="0" w:afterAutospacing="0" w:line="240" w:lineRule="auto"/>
              <w:ind w:left="0" w:right="0"/>
              <w:jc w:val="center"/>
              <w:rPr>
                <w:rFonts w:hint="eastAsia" w:ascii="宋体" w:hAnsi="宋体" w:eastAsia="宋体" w:cs="宋体"/>
                <w:b/>
                <w:bCs/>
                <w:sz w:val="21"/>
                <w:szCs w:val="21"/>
                <w:lang w:val="en-US" w:eastAsia="zh-CN"/>
              </w:rPr>
            </w:pPr>
            <w:r>
              <w:rPr>
                <w:rFonts w:hint="eastAsia" w:ascii="宋体" w:hAnsi="宋体" w:eastAsia="宋体" w:cs="宋体"/>
                <w:b/>
                <w:bCs/>
                <w:sz w:val="21"/>
                <w:szCs w:val="21"/>
              </w:rPr>
              <w:t>项目与“全市地表水环境总体管控要求”符合性分析一览表</w:t>
            </w:r>
          </w:p>
          <w:tbl>
            <w:tblPr>
              <w:tblStyle w:val="38"/>
              <w:tblW w:w="7639" w:type="dxa"/>
              <w:jc w:val="center"/>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
            <w:tblGrid>
              <w:gridCol w:w="736"/>
              <w:gridCol w:w="4548"/>
              <w:gridCol w:w="1756"/>
              <w:gridCol w:w="599"/>
            </w:tblGrid>
            <w:tr w14:paraId="5116CCA3">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0" w:type="dxa"/>
                  <w:bottom w:w="0" w:type="dxa"/>
                  <w:right w:w="0" w:type="dxa"/>
                </w:tblCellMar>
              </w:tblPrEx>
              <w:trPr>
                <w:jc w:val="center"/>
              </w:trPr>
              <w:tc>
                <w:tcPr>
                  <w:tcW w:w="481" w:type="pct"/>
                  <w:noWrap w:val="0"/>
                  <w:vAlign w:val="center"/>
                </w:tcPr>
                <w:p w14:paraId="21E92FBE">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管控维度</w:t>
                  </w:r>
                </w:p>
              </w:tc>
              <w:tc>
                <w:tcPr>
                  <w:tcW w:w="2976" w:type="pct"/>
                  <w:noWrap w:val="0"/>
                  <w:vAlign w:val="center"/>
                </w:tcPr>
                <w:p w14:paraId="1A9AC104">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管控要求</w:t>
                  </w:r>
                </w:p>
              </w:tc>
              <w:tc>
                <w:tcPr>
                  <w:tcW w:w="1149" w:type="pct"/>
                  <w:noWrap w:val="0"/>
                  <w:vAlign w:val="center"/>
                </w:tcPr>
                <w:p w14:paraId="650016D9">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本项目情况</w:t>
                  </w:r>
                </w:p>
              </w:tc>
              <w:tc>
                <w:tcPr>
                  <w:tcW w:w="392" w:type="pct"/>
                  <w:noWrap w:val="0"/>
                  <w:vAlign w:val="center"/>
                </w:tcPr>
                <w:p w14:paraId="079CB172">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符合性</w:t>
                  </w:r>
                </w:p>
              </w:tc>
            </w:tr>
            <w:tr w14:paraId="2A09A3AC">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0" w:type="dxa"/>
                  <w:bottom w:w="0" w:type="dxa"/>
                  <w:right w:w="0" w:type="dxa"/>
                </w:tblCellMar>
              </w:tblPrEx>
              <w:trPr>
                <w:jc w:val="center"/>
              </w:trPr>
              <w:tc>
                <w:tcPr>
                  <w:tcW w:w="481" w:type="pct"/>
                  <w:noWrap w:val="0"/>
                  <w:vAlign w:val="center"/>
                </w:tcPr>
                <w:p w14:paraId="55D1543C">
                  <w:pPr>
                    <w:pStyle w:val="248"/>
                    <w:keepNext w:val="0"/>
                    <w:keepLines w:val="0"/>
                    <w:pageBreakBefore w:val="0"/>
                    <w:widowControl w:val="0"/>
                    <w:suppressLineNumbers w:val="0"/>
                    <w:kinsoku/>
                    <w:wordWrap/>
                    <w:overflowPunct/>
                    <w:topLinePunct w:val="0"/>
                    <w:autoSpaceDE/>
                    <w:autoSpaceDN/>
                    <w:bidi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防控目标</w:t>
                  </w:r>
                </w:p>
              </w:tc>
              <w:tc>
                <w:tcPr>
                  <w:tcW w:w="2976" w:type="pct"/>
                  <w:noWrap w:val="0"/>
                  <w:vAlign w:val="center"/>
                </w:tcPr>
                <w:p w14:paraId="4298D3E2">
                  <w:pPr>
                    <w:pStyle w:val="248"/>
                    <w:keepNext w:val="0"/>
                    <w:keepLines w:val="0"/>
                    <w:pageBreakBefore w:val="0"/>
                    <w:widowControl w:val="0"/>
                    <w:suppressLineNumbers w:val="0"/>
                    <w:kinsoku/>
                    <w:wordWrap/>
                    <w:overflowPunct/>
                    <w:topLinePunct w:val="0"/>
                    <w:autoSpaceDE/>
                    <w:autoSpaceDN/>
                    <w:bidi w:val="0"/>
                    <w:snapToGrid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2025年，地表水国考断面达到或好于Ⅲ类水体比例满足国家、省任务目标要求，地表水国考断面劣Ⅴ类水体全部消除。</w:t>
                  </w:r>
                </w:p>
              </w:tc>
              <w:tc>
                <w:tcPr>
                  <w:tcW w:w="1149" w:type="pct"/>
                  <w:noWrap w:val="0"/>
                  <w:vAlign w:val="center"/>
                </w:tcPr>
                <w:p w14:paraId="64E9F4E3">
                  <w:pPr>
                    <w:pStyle w:val="248"/>
                    <w:keepNext w:val="0"/>
                    <w:keepLines w:val="0"/>
                    <w:pageBreakBefore w:val="0"/>
                    <w:widowControl w:val="0"/>
                    <w:suppressLineNumbers w:val="0"/>
                    <w:kinsoku/>
                    <w:wordWrap/>
                    <w:overflowPunct/>
                    <w:topLinePunct w:val="0"/>
                    <w:autoSpaceDE/>
                    <w:autoSpaceDN/>
                    <w:bidi w:val="0"/>
                    <w:snapToGrid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bCs/>
                      <w:sz w:val="21"/>
                      <w:szCs w:val="21"/>
                    </w:rPr>
                  </w:pPr>
                  <w:r>
                    <w:rPr>
                      <w:rFonts w:hint="default" w:ascii="Times New Roman" w:hAnsi="Times New Roman" w:eastAsia="宋体" w:cs="Times New Roman"/>
                      <w:sz w:val="21"/>
                      <w:szCs w:val="21"/>
                    </w:rPr>
                    <w:t>项目</w:t>
                  </w:r>
                  <w:r>
                    <w:rPr>
                      <w:rFonts w:hint="eastAsia" w:cs="Times New Roman"/>
                      <w:sz w:val="21"/>
                      <w:szCs w:val="21"/>
                      <w:lang w:eastAsia="zh-CN"/>
                    </w:rPr>
                    <w:t>水性油墨配制</w:t>
                  </w:r>
                  <w:r>
                    <w:rPr>
                      <w:rFonts w:hint="eastAsia" w:ascii="Times New Roman" w:hAnsi="Times New Roman" w:cs="Times New Roman"/>
                      <w:sz w:val="21"/>
                      <w:szCs w:val="21"/>
                      <w:lang w:eastAsia="zh-CN"/>
                    </w:rPr>
                    <w:t>纯水全部挥发，不外排；无新增生活污水</w:t>
                  </w:r>
                  <w:r>
                    <w:rPr>
                      <w:rFonts w:hint="default" w:ascii="Times New Roman" w:hAnsi="Times New Roman" w:eastAsia="宋体" w:cs="Times New Roman"/>
                      <w:sz w:val="21"/>
                      <w:szCs w:val="21"/>
                    </w:rPr>
                    <w:t>。</w:t>
                  </w:r>
                </w:p>
              </w:tc>
              <w:tc>
                <w:tcPr>
                  <w:tcW w:w="392" w:type="pct"/>
                  <w:noWrap w:val="0"/>
                  <w:vAlign w:val="center"/>
                </w:tcPr>
                <w:p w14:paraId="67912D6D">
                  <w:pPr>
                    <w:pStyle w:val="248"/>
                    <w:keepNext w:val="0"/>
                    <w:keepLines w:val="0"/>
                    <w:pageBreakBefore w:val="0"/>
                    <w:widowControl w:val="0"/>
                    <w:suppressLineNumbers w:val="0"/>
                    <w:kinsoku/>
                    <w:wordWrap/>
                    <w:overflowPunct/>
                    <w:topLinePunct w:val="0"/>
                    <w:autoSpaceDE/>
                    <w:autoSpaceDN/>
                    <w:bidi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4F8A4BAD">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0" w:type="dxa"/>
                  <w:bottom w:w="0" w:type="dxa"/>
                  <w:right w:w="0" w:type="dxa"/>
                </w:tblCellMar>
              </w:tblPrEx>
              <w:trPr>
                <w:jc w:val="center"/>
              </w:trPr>
              <w:tc>
                <w:tcPr>
                  <w:tcW w:w="481" w:type="pct"/>
                  <w:vMerge w:val="restart"/>
                  <w:noWrap w:val="0"/>
                  <w:vAlign w:val="center"/>
                </w:tcPr>
                <w:p w14:paraId="5F2E7F35">
                  <w:pPr>
                    <w:pStyle w:val="248"/>
                    <w:keepNext w:val="0"/>
                    <w:keepLines w:val="0"/>
                    <w:pageBreakBefore w:val="0"/>
                    <w:widowControl w:val="0"/>
                    <w:suppressLineNumbers w:val="0"/>
                    <w:kinsoku/>
                    <w:wordWrap/>
                    <w:overflowPunct/>
                    <w:topLinePunct w:val="0"/>
                    <w:autoSpaceDE/>
                    <w:autoSpaceDN/>
                    <w:bidi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空间布局约束</w:t>
                  </w:r>
                </w:p>
              </w:tc>
              <w:tc>
                <w:tcPr>
                  <w:tcW w:w="2976" w:type="pct"/>
                  <w:noWrap w:val="0"/>
                  <w:vAlign w:val="center"/>
                </w:tcPr>
                <w:p w14:paraId="6FB8D271">
                  <w:pPr>
                    <w:pStyle w:val="248"/>
                    <w:keepNext w:val="0"/>
                    <w:keepLines w:val="0"/>
                    <w:pageBreakBefore w:val="0"/>
                    <w:widowControl w:val="0"/>
                    <w:suppressLineNumbers w:val="0"/>
                    <w:kinsoku/>
                    <w:wordWrap/>
                    <w:overflowPunct/>
                    <w:topLinePunct w:val="0"/>
                    <w:autoSpaceDE/>
                    <w:autoSpaceDN/>
                    <w:bidi w:val="0"/>
                    <w:snapToGrid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全省八大水系流经我市干流沿岸、重要饮用水水源地补给区严格控制化学原料和化学制品制造、医药制造、制革、造纸、焦化、化学纤维制造、石油化工、纺织印染等项目环境风险，合理布局生产装置及危险化学品仓储等设施。</w:t>
                  </w:r>
                </w:p>
              </w:tc>
              <w:tc>
                <w:tcPr>
                  <w:tcW w:w="1149" w:type="pct"/>
                  <w:noWrap w:val="0"/>
                  <w:vAlign w:val="center"/>
                </w:tcPr>
                <w:p w14:paraId="75BE109C">
                  <w:pPr>
                    <w:pStyle w:val="248"/>
                    <w:keepNext w:val="0"/>
                    <w:keepLines w:val="0"/>
                    <w:pageBreakBefore w:val="0"/>
                    <w:widowControl w:val="0"/>
                    <w:suppressLineNumbers w:val="0"/>
                    <w:kinsoku/>
                    <w:wordWrap/>
                    <w:overflowPunct/>
                    <w:topLinePunct w:val="0"/>
                    <w:autoSpaceDE/>
                    <w:autoSpaceDN/>
                    <w:bidi w:val="0"/>
                    <w:snapToGrid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本项目</w:t>
                  </w:r>
                  <w:r>
                    <w:rPr>
                      <w:rFonts w:hint="default" w:ascii="Times New Roman" w:hAnsi="Times New Roman" w:eastAsia="宋体" w:cs="Times New Roman"/>
                      <w:kern w:val="0"/>
                      <w:sz w:val="21"/>
                      <w:szCs w:val="21"/>
                      <w:lang w:bidi="en-US"/>
                    </w:rPr>
                    <w:t>为</w:t>
                  </w:r>
                  <w:r>
                    <w:rPr>
                      <w:rFonts w:hint="eastAsia" w:cs="Times New Roman"/>
                      <w:sz w:val="21"/>
                      <w:szCs w:val="21"/>
                      <w:lang w:val="en-US" w:eastAsia="zh-CN"/>
                    </w:rPr>
                    <w:t>塑料零件及其他塑料制品制造行业</w:t>
                  </w:r>
                  <w:r>
                    <w:rPr>
                      <w:rFonts w:hint="eastAsia" w:ascii="Times New Roman" w:hAnsi="Times New Roman" w:eastAsia="宋体" w:cs="Times New Roman"/>
                      <w:sz w:val="21"/>
                      <w:szCs w:val="21"/>
                    </w:rPr>
                    <w:t>，</w:t>
                  </w:r>
                  <w:r>
                    <w:rPr>
                      <w:rFonts w:hint="default" w:ascii="Times New Roman" w:hAnsi="Times New Roman" w:eastAsia="宋体" w:cs="Times New Roman"/>
                      <w:sz w:val="21"/>
                      <w:szCs w:val="21"/>
                    </w:rPr>
                    <w:t>位于</w:t>
                  </w:r>
                  <w:r>
                    <w:rPr>
                      <w:rFonts w:hint="default" w:ascii="Times New Roman" w:hAnsi="Times New Roman" w:eastAsia="宋体" w:cs="Times New Roman"/>
                      <w:kern w:val="0"/>
                      <w:sz w:val="21"/>
                      <w:szCs w:val="21"/>
                      <w:lang w:bidi="en-US"/>
                    </w:rPr>
                    <w:t>沧州临港经济技术开发区西区</w:t>
                  </w:r>
                  <w:r>
                    <w:rPr>
                      <w:rFonts w:hint="default" w:ascii="Times New Roman" w:hAnsi="Times New Roman" w:eastAsia="宋体" w:cs="Times New Roman"/>
                      <w:sz w:val="21"/>
                      <w:szCs w:val="21"/>
                    </w:rPr>
                    <w:t>，用地为工业用地。</w:t>
                  </w:r>
                </w:p>
              </w:tc>
              <w:tc>
                <w:tcPr>
                  <w:tcW w:w="392" w:type="pct"/>
                  <w:noWrap w:val="0"/>
                  <w:vAlign w:val="center"/>
                </w:tcPr>
                <w:p w14:paraId="7FAFFC70">
                  <w:pPr>
                    <w:pStyle w:val="248"/>
                    <w:keepNext w:val="0"/>
                    <w:keepLines w:val="0"/>
                    <w:pageBreakBefore w:val="0"/>
                    <w:widowControl w:val="0"/>
                    <w:suppressLineNumbers w:val="0"/>
                    <w:kinsoku/>
                    <w:wordWrap/>
                    <w:overflowPunct/>
                    <w:topLinePunct w:val="0"/>
                    <w:autoSpaceDE/>
                    <w:autoSpaceDN/>
                    <w:bidi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011A9F67">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0" w:type="dxa"/>
                  <w:bottom w:w="0" w:type="dxa"/>
                  <w:right w:w="0" w:type="dxa"/>
                </w:tblCellMar>
              </w:tblPrEx>
              <w:trPr>
                <w:jc w:val="center"/>
              </w:trPr>
              <w:tc>
                <w:tcPr>
                  <w:tcW w:w="481" w:type="pct"/>
                  <w:vMerge w:val="continue"/>
                  <w:noWrap w:val="0"/>
                  <w:vAlign w:val="center"/>
                </w:tcPr>
                <w:p w14:paraId="5C12E446">
                  <w:pPr>
                    <w:pStyle w:val="248"/>
                    <w:keepNext w:val="0"/>
                    <w:keepLines w:val="0"/>
                    <w:pageBreakBefore w:val="0"/>
                    <w:widowControl w:val="0"/>
                    <w:suppressLineNumbers w:val="0"/>
                    <w:kinsoku/>
                    <w:wordWrap/>
                    <w:overflowPunct/>
                    <w:topLinePunct w:val="0"/>
                    <w:autoSpaceDE/>
                    <w:autoSpaceDN/>
                    <w:bidi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2976" w:type="pct"/>
                  <w:noWrap w:val="0"/>
                  <w:vAlign w:val="center"/>
                </w:tcPr>
                <w:p w14:paraId="2ED154B6">
                  <w:pPr>
                    <w:pStyle w:val="248"/>
                    <w:keepNext w:val="0"/>
                    <w:keepLines w:val="0"/>
                    <w:pageBreakBefore w:val="0"/>
                    <w:widowControl w:val="0"/>
                    <w:suppressLineNumbers w:val="0"/>
                    <w:kinsoku/>
                    <w:wordWrap/>
                    <w:overflowPunct/>
                    <w:topLinePunct w:val="0"/>
                    <w:autoSpaceDE/>
                    <w:autoSpaceDN/>
                    <w:bidi w:val="0"/>
                    <w:snapToGrid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2.大清河、子牙河和黑龙港河及运东流域地下水超采区限制高耗水行业准入。</w:t>
                  </w:r>
                </w:p>
              </w:tc>
              <w:tc>
                <w:tcPr>
                  <w:tcW w:w="1149" w:type="pct"/>
                  <w:noWrap w:val="0"/>
                  <w:vAlign w:val="center"/>
                </w:tcPr>
                <w:p w14:paraId="73B84837">
                  <w:pPr>
                    <w:pStyle w:val="248"/>
                    <w:keepNext w:val="0"/>
                    <w:keepLines w:val="0"/>
                    <w:pageBreakBefore w:val="0"/>
                    <w:widowControl w:val="0"/>
                    <w:suppressLineNumbers w:val="0"/>
                    <w:kinsoku/>
                    <w:wordWrap/>
                    <w:overflowPunct/>
                    <w:topLinePunct w:val="0"/>
                    <w:autoSpaceDE/>
                    <w:autoSpaceDN/>
                    <w:bidi w:val="0"/>
                    <w:snapToGrid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本项目不开采地下水，不属于高耗水行业。</w:t>
                  </w:r>
                </w:p>
              </w:tc>
              <w:tc>
                <w:tcPr>
                  <w:tcW w:w="392" w:type="pct"/>
                  <w:noWrap w:val="0"/>
                  <w:vAlign w:val="center"/>
                </w:tcPr>
                <w:p w14:paraId="79B3E251">
                  <w:pPr>
                    <w:pStyle w:val="248"/>
                    <w:keepNext w:val="0"/>
                    <w:keepLines w:val="0"/>
                    <w:pageBreakBefore w:val="0"/>
                    <w:widowControl w:val="0"/>
                    <w:suppressLineNumbers w:val="0"/>
                    <w:kinsoku/>
                    <w:wordWrap/>
                    <w:overflowPunct/>
                    <w:topLinePunct w:val="0"/>
                    <w:autoSpaceDE/>
                    <w:autoSpaceDN/>
                    <w:bidi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3930ADE8">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0" w:type="dxa"/>
                  <w:bottom w:w="0" w:type="dxa"/>
                  <w:right w:w="0" w:type="dxa"/>
                </w:tblCellMar>
              </w:tblPrEx>
              <w:trPr>
                <w:jc w:val="center"/>
              </w:trPr>
              <w:tc>
                <w:tcPr>
                  <w:tcW w:w="481" w:type="pct"/>
                  <w:vMerge w:val="continue"/>
                  <w:noWrap w:val="0"/>
                  <w:vAlign w:val="center"/>
                </w:tcPr>
                <w:p w14:paraId="43B2C7DB">
                  <w:pPr>
                    <w:pStyle w:val="248"/>
                    <w:keepNext w:val="0"/>
                    <w:keepLines w:val="0"/>
                    <w:pageBreakBefore w:val="0"/>
                    <w:widowControl w:val="0"/>
                    <w:suppressLineNumbers w:val="0"/>
                    <w:kinsoku/>
                    <w:wordWrap/>
                    <w:overflowPunct/>
                    <w:topLinePunct w:val="0"/>
                    <w:autoSpaceDE/>
                    <w:autoSpaceDN/>
                    <w:bidi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2976" w:type="pct"/>
                  <w:noWrap w:val="0"/>
                  <w:vAlign w:val="center"/>
                </w:tcPr>
                <w:p w14:paraId="5E36AE69">
                  <w:pPr>
                    <w:pStyle w:val="248"/>
                    <w:keepNext w:val="0"/>
                    <w:keepLines w:val="0"/>
                    <w:pageBreakBefore w:val="0"/>
                    <w:widowControl w:val="0"/>
                    <w:suppressLineNumbers w:val="0"/>
                    <w:kinsoku/>
                    <w:wordWrap/>
                    <w:overflowPunct/>
                    <w:topLinePunct w:val="0"/>
                    <w:autoSpaceDE/>
                    <w:autoSpaceDN/>
                    <w:bidi w:val="0"/>
                    <w:snapToGrid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3.新建企业原则上均应建在工业集聚区。对城市建成区内重污染企业、不符合安全防护距离和卫生防护距离的危化企业实施有序搬迁改造或依法关闭。</w:t>
                  </w:r>
                </w:p>
              </w:tc>
              <w:tc>
                <w:tcPr>
                  <w:tcW w:w="1149" w:type="pct"/>
                  <w:noWrap w:val="0"/>
                  <w:vAlign w:val="center"/>
                </w:tcPr>
                <w:p w14:paraId="43648A52">
                  <w:pPr>
                    <w:pStyle w:val="248"/>
                    <w:keepNext w:val="0"/>
                    <w:keepLines w:val="0"/>
                    <w:pageBreakBefore w:val="0"/>
                    <w:widowControl w:val="0"/>
                    <w:suppressLineNumbers w:val="0"/>
                    <w:kinsoku/>
                    <w:wordWrap/>
                    <w:overflowPunct/>
                    <w:topLinePunct w:val="0"/>
                    <w:autoSpaceDE/>
                    <w:autoSpaceDN/>
                    <w:bidi w:val="0"/>
                    <w:snapToGrid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本项目</w:t>
                  </w:r>
                  <w:r>
                    <w:rPr>
                      <w:rFonts w:hint="eastAsia" w:ascii="Times New Roman" w:hAnsi="Times New Roman" w:eastAsia="宋体" w:cs="Times New Roman"/>
                      <w:sz w:val="21"/>
                      <w:szCs w:val="21"/>
                      <w:lang w:eastAsia="zh-CN"/>
                    </w:rPr>
                    <w:t>不属于新建企业，不属于重污染企业</w:t>
                  </w:r>
                  <w:r>
                    <w:rPr>
                      <w:rFonts w:hint="eastAsia" w:ascii="Times New Roman" w:hAnsi="Times New Roman" w:eastAsia="宋体" w:cs="Times New Roman"/>
                      <w:kern w:val="0"/>
                      <w:sz w:val="21"/>
                      <w:szCs w:val="21"/>
                      <w:lang w:eastAsia="zh-CN" w:bidi="en-US"/>
                    </w:rPr>
                    <w:t>，符合</w:t>
                  </w:r>
                  <w:r>
                    <w:rPr>
                      <w:rFonts w:hint="default" w:ascii="Times New Roman" w:hAnsi="Times New Roman" w:eastAsia="宋体" w:cs="Times New Roman"/>
                      <w:sz w:val="21"/>
                      <w:szCs w:val="21"/>
                    </w:rPr>
                    <w:t>安全防护距离和卫生防护距离</w:t>
                  </w:r>
                  <w:r>
                    <w:rPr>
                      <w:rFonts w:hint="eastAsia" w:ascii="Times New Roman" w:hAnsi="Times New Roman" w:eastAsia="宋体" w:cs="Times New Roman"/>
                      <w:sz w:val="21"/>
                      <w:szCs w:val="21"/>
                      <w:lang w:eastAsia="zh-CN"/>
                    </w:rPr>
                    <w:t>，不</w:t>
                  </w:r>
                  <w:r>
                    <w:rPr>
                      <w:rFonts w:hint="eastAsia" w:cs="Times New Roman"/>
                      <w:sz w:val="21"/>
                      <w:szCs w:val="21"/>
                      <w:lang w:eastAsia="zh-CN"/>
                    </w:rPr>
                    <w:t>涉及</w:t>
                  </w:r>
                  <w:r>
                    <w:rPr>
                      <w:rFonts w:hint="eastAsia" w:ascii="Times New Roman" w:hAnsi="Times New Roman" w:eastAsia="宋体" w:cs="Times New Roman"/>
                      <w:sz w:val="21"/>
                      <w:szCs w:val="21"/>
                      <w:lang w:eastAsia="zh-CN"/>
                    </w:rPr>
                    <w:t>搬迁改造或关闭</w:t>
                  </w:r>
                  <w:r>
                    <w:rPr>
                      <w:rFonts w:hint="default" w:ascii="Times New Roman" w:hAnsi="Times New Roman" w:eastAsia="宋体" w:cs="Times New Roman"/>
                      <w:sz w:val="21"/>
                      <w:szCs w:val="21"/>
                    </w:rPr>
                    <w:t>。</w:t>
                  </w:r>
                </w:p>
              </w:tc>
              <w:tc>
                <w:tcPr>
                  <w:tcW w:w="392" w:type="pct"/>
                  <w:noWrap w:val="0"/>
                  <w:vAlign w:val="center"/>
                </w:tcPr>
                <w:p w14:paraId="3A66D831">
                  <w:pPr>
                    <w:pStyle w:val="248"/>
                    <w:keepNext w:val="0"/>
                    <w:keepLines w:val="0"/>
                    <w:pageBreakBefore w:val="0"/>
                    <w:widowControl w:val="0"/>
                    <w:suppressLineNumbers w:val="0"/>
                    <w:kinsoku/>
                    <w:wordWrap/>
                    <w:overflowPunct/>
                    <w:topLinePunct w:val="0"/>
                    <w:autoSpaceDE/>
                    <w:autoSpaceDN/>
                    <w:bidi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160F4F20">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0" w:type="dxa"/>
                  <w:bottom w:w="0" w:type="dxa"/>
                  <w:right w:w="0" w:type="dxa"/>
                </w:tblCellMar>
              </w:tblPrEx>
              <w:trPr>
                <w:jc w:val="center"/>
              </w:trPr>
              <w:tc>
                <w:tcPr>
                  <w:tcW w:w="481" w:type="pct"/>
                  <w:vMerge w:val="continue"/>
                  <w:noWrap w:val="0"/>
                  <w:vAlign w:val="center"/>
                </w:tcPr>
                <w:p w14:paraId="305A74A3">
                  <w:pPr>
                    <w:pStyle w:val="248"/>
                    <w:keepNext w:val="0"/>
                    <w:keepLines w:val="0"/>
                    <w:pageBreakBefore w:val="0"/>
                    <w:widowControl w:val="0"/>
                    <w:suppressLineNumbers w:val="0"/>
                    <w:kinsoku/>
                    <w:wordWrap/>
                    <w:overflowPunct/>
                    <w:topLinePunct w:val="0"/>
                    <w:autoSpaceDE/>
                    <w:autoSpaceDN/>
                    <w:bidi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2976" w:type="pct"/>
                  <w:noWrap w:val="0"/>
                  <w:vAlign w:val="center"/>
                </w:tcPr>
                <w:p w14:paraId="0002EF78">
                  <w:pPr>
                    <w:pStyle w:val="248"/>
                    <w:keepNext w:val="0"/>
                    <w:keepLines w:val="0"/>
                    <w:pageBreakBefore w:val="0"/>
                    <w:widowControl w:val="0"/>
                    <w:suppressLineNumbers w:val="0"/>
                    <w:kinsoku/>
                    <w:wordWrap/>
                    <w:overflowPunct/>
                    <w:topLinePunct w:val="0"/>
                    <w:autoSpaceDE/>
                    <w:autoSpaceDN/>
                    <w:bidi w:val="0"/>
                    <w:snapToGrid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4.产能过剩产业由各县（市、区）实行新增产能等量替代、涉水主要污染物同行业倍量替代。</w:t>
                  </w:r>
                </w:p>
              </w:tc>
              <w:tc>
                <w:tcPr>
                  <w:tcW w:w="1149" w:type="pct"/>
                  <w:noWrap w:val="0"/>
                  <w:vAlign w:val="center"/>
                </w:tcPr>
                <w:p w14:paraId="217EEBD0">
                  <w:pPr>
                    <w:pStyle w:val="248"/>
                    <w:keepNext w:val="0"/>
                    <w:keepLines w:val="0"/>
                    <w:pageBreakBefore w:val="0"/>
                    <w:widowControl w:val="0"/>
                    <w:suppressLineNumbers w:val="0"/>
                    <w:kinsoku/>
                    <w:wordWrap/>
                    <w:overflowPunct/>
                    <w:topLinePunct w:val="0"/>
                    <w:autoSpaceDE/>
                    <w:autoSpaceDN/>
                    <w:bidi w:val="0"/>
                    <w:snapToGrid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本项目为</w:t>
                  </w:r>
                  <w:r>
                    <w:rPr>
                      <w:rFonts w:hint="eastAsia" w:cs="Times New Roman"/>
                      <w:sz w:val="21"/>
                      <w:szCs w:val="21"/>
                      <w:lang w:val="en-US" w:eastAsia="zh-CN"/>
                    </w:rPr>
                    <w:t>塑料零件及其他塑料制品制造行业</w:t>
                  </w:r>
                  <w:r>
                    <w:rPr>
                      <w:rFonts w:hint="eastAsia" w:ascii="Times New Roman" w:hAnsi="Times New Roman" w:eastAsia="宋体" w:cs="Times New Roman"/>
                      <w:sz w:val="21"/>
                      <w:szCs w:val="21"/>
                    </w:rPr>
                    <w:t>，</w:t>
                  </w:r>
                  <w:r>
                    <w:rPr>
                      <w:rFonts w:hint="eastAsia" w:ascii="Times New Roman" w:hAnsi="Times New Roman" w:eastAsia="宋体" w:cs="Times New Roman"/>
                      <w:sz w:val="21"/>
                      <w:szCs w:val="21"/>
                      <w:lang w:eastAsia="zh-CN"/>
                    </w:rPr>
                    <w:t>生产中药包装袋，</w:t>
                  </w:r>
                  <w:r>
                    <w:rPr>
                      <w:rFonts w:hint="default" w:ascii="Times New Roman" w:hAnsi="Times New Roman" w:eastAsia="宋体" w:cs="Times New Roman"/>
                      <w:sz w:val="21"/>
                      <w:szCs w:val="21"/>
                    </w:rPr>
                    <w:t>不属于产能过剩行业。</w:t>
                  </w:r>
                </w:p>
              </w:tc>
              <w:tc>
                <w:tcPr>
                  <w:tcW w:w="392" w:type="pct"/>
                  <w:noWrap w:val="0"/>
                  <w:vAlign w:val="center"/>
                </w:tcPr>
                <w:p w14:paraId="29699CFB">
                  <w:pPr>
                    <w:pStyle w:val="248"/>
                    <w:keepNext w:val="0"/>
                    <w:keepLines w:val="0"/>
                    <w:pageBreakBefore w:val="0"/>
                    <w:widowControl w:val="0"/>
                    <w:suppressLineNumbers w:val="0"/>
                    <w:kinsoku/>
                    <w:wordWrap/>
                    <w:overflowPunct/>
                    <w:topLinePunct w:val="0"/>
                    <w:autoSpaceDE/>
                    <w:autoSpaceDN/>
                    <w:bidi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31757220">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0" w:type="dxa"/>
                  <w:bottom w:w="0" w:type="dxa"/>
                  <w:right w:w="0" w:type="dxa"/>
                </w:tblCellMar>
              </w:tblPrEx>
              <w:trPr>
                <w:jc w:val="center"/>
              </w:trPr>
              <w:tc>
                <w:tcPr>
                  <w:tcW w:w="481" w:type="pct"/>
                  <w:vMerge w:val="continue"/>
                  <w:noWrap w:val="0"/>
                  <w:vAlign w:val="center"/>
                </w:tcPr>
                <w:p w14:paraId="21EAFBBF">
                  <w:pPr>
                    <w:pStyle w:val="248"/>
                    <w:keepNext w:val="0"/>
                    <w:keepLines w:val="0"/>
                    <w:pageBreakBefore w:val="0"/>
                    <w:widowControl w:val="0"/>
                    <w:suppressLineNumbers w:val="0"/>
                    <w:kinsoku/>
                    <w:wordWrap/>
                    <w:overflowPunct/>
                    <w:topLinePunct w:val="0"/>
                    <w:autoSpaceDE/>
                    <w:autoSpaceDN/>
                    <w:bidi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2976" w:type="pct"/>
                  <w:noWrap w:val="0"/>
                  <w:vAlign w:val="center"/>
                </w:tcPr>
                <w:p w14:paraId="6DE1CC24">
                  <w:pPr>
                    <w:pStyle w:val="248"/>
                    <w:keepNext w:val="0"/>
                    <w:keepLines w:val="0"/>
                    <w:pageBreakBefore w:val="0"/>
                    <w:widowControl w:val="0"/>
                    <w:suppressLineNumbers w:val="0"/>
                    <w:kinsoku/>
                    <w:wordWrap/>
                    <w:overflowPunct/>
                    <w:topLinePunct w:val="0"/>
                    <w:autoSpaceDE/>
                    <w:autoSpaceDN/>
                    <w:bidi w:val="0"/>
                    <w:snapToGrid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5.新建</w:t>
                  </w:r>
                  <w:r>
                    <w:rPr>
                      <w:rFonts w:hint="eastAsia" w:ascii="Times New Roman" w:hAnsi="Times New Roman" w:eastAsia="宋体" w:cs="Times New Roman"/>
                      <w:sz w:val="21"/>
                      <w:szCs w:val="21"/>
                      <w:lang w:eastAsia="zh-CN"/>
                    </w:rPr>
                    <w:t>“</w:t>
                  </w:r>
                  <w:r>
                    <w:rPr>
                      <w:rFonts w:hint="default" w:ascii="Times New Roman" w:hAnsi="Times New Roman" w:eastAsia="宋体" w:cs="Times New Roman"/>
                      <w:sz w:val="21"/>
                      <w:szCs w:val="21"/>
                    </w:rPr>
                    <w:t>十大</w:t>
                  </w:r>
                  <w:r>
                    <w:rPr>
                      <w:rFonts w:hint="eastAsia" w:ascii="Times New Roman" w:hAnsi="Times New Roman" w:eastAsia="宋体" w:cs="Times New Roman"/>
                      <w:sz w:val="21"/>
                      <w:szCs w:val="21"/>
                      <w:lang w:eastAsia="zh-CN"/>
                    </w:rPr>
                    <w:t>”</w:t>
                  </w:r>
                  <w:r>
                    <w:rPr>
                      <w:rFonts w:hint="default" w:ascii="Times New Roman" w:hAnsi="Times New Roman" w:eastAsia="宋体" w:cs="Times New Roman"/>
                      <w:sz w:val="21"/>
                      <w:szCs w:val="21"/>
                    </w:rPr>
                    <w:t>重点行业等重污染工业项目必须入园进区。</w:t>
                  </w:r>
                </w:p>
              </w:tc>
              <w:tc>
                <w:tcPr>
                  <w:tcW w:w="1149" w:type="pct"/>
                  <w:noWrap w:val="0"/>
                  <w:vAlign w:val="center"/>
                </w:tcPr>
                <w:p w14:paraId="47761BAD">
                  <w:pPr>
                    <w:pStyle w:val="248"/>
                    <w:keepNext w:val="0"/>
                    <w:keepLines w:val="0"/>
                    <w:pageBreakBefore w:val="0"/>
                    <w:widowControl w:val="0"/>
                    <w:suppressLineNumbers w:val="0"/>
                    <w:kinsoku/>
                    <w:wordWrap/>
                    <w:overflowPunct/>
                    <w:topLinePunct w:val="0"/>
                    <w:autoSpaceDE/>
                    <w:autoSpaceDN/>
                    <w:bidi w:val="0"/>
                    <w:snapToGrid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本项目不属于</w:t>
                  </w:r>
                  <w:r>
                    <w:rPr>
                      <w:rFonts w:hint="eastAsia" w:ascii="Times New Roman" w:hAnsi="Times New Roman" w:eastAsia="宋体" w:cs="Times New Roman"/>
                      <w:sz w:val="21"/>
                      <w:szCs w:val="21"/>
                      <w:lang w:eastAsia="zh-CN"/>
                    </w:rPr>
                    <w:t>“</w:t>
                  </w:r>
                  <w:r>
                    <w:rPr>
                      <w:rFonts w:hint="default" w:ascii="Times New Roman" w:hAnsi="Times New Roman" w:eastAsia="宋体" w:cs="Times New Roman"/>
                      <w:sz w:val="21"/>
                      <w:szCs w:val="21"/>
                    </w:rPr>
                    <w:t>十大</w:t>
                  </w:r>
                  <w:r>
                    <w:rPr>
                      <w:rFonts w:hint="eastAsia" w:ascii="Times New Roman" w:hAnsi="Times New Roman" w:eastAsia="宋体" w:cs="Times New Roman"/>
                      <w:sz w:val="21"/>
                      <w:szCs w:val="21"/>
                      <w:lang w:eastAsia="zh-CN"/>
                    </w:rPr>
                    <w:t>”</w:t>
                  </w:r>
                  <w:r>
                    <w:rPr>
                      <w:rFonts w:hint="default" w:ascii="Times New Roman" w:hAnsi="Times New Roman" w:eastAsia="宋体" w:cs="Times New Roman"/>
                      <w:sz w:val="21"/>
                      <w:szCs w:val="21"/>
                    </w:rPr>
                    <w:t>重点行业等重污染工业项目，本项目位于</w:t>
                  </w:r>
                  <w:r>
                    <w:rPr>
                      <w:rFonts w:hint="default" w:ascii="Times New Roman" w:hAnsi="Times New Roman" w:eastAsia="宋体" w:cs="Times New Roman"/>
                      <w:kern w:val="0"/>
                      <w:sz w:val="21"/>
                      <w:szCs w:val="21"/>
                      <w:lang w:bidi="en-US"/>
                    </w:rPr>
                    <w:t>沧州临港经济技术开发区西区</w:t>
                  </w:r>
                  <w:r>
                    <w:rPr>
                      <w:rFonts w:hint="default" w:ascii="Times New Roman" w:hAnsi="Times New Roman" w:eastAsia="宋体" w:cs="Times New Roman"/>
                      <w:sz w:val="21"/>
                      <w:szCs w:val="21"/>
                    </w:rPr>
                    <w:t>。</w:t>
                  </w:r>
                </w:p>
              </w:tc>
              <w:tc>
                <w:tcPr>
                  <w:tcW w:w="392" w:type="pct"/>
                  <w:noWrap w:val="0"/>
                  <w:vAlign w:val="center"/>
                </w:tcPr>
                <w:p w14:paraId="3CE1DD69">
                  <w:pPr>
                    <w:pStyle w:val="248"/>
                    <w:keepNext w:val="0"/>
                    <w:keepLines w:val="0"/>
                    <w:pageBreakBefore w:val="0"/>
                    <w:widowControl w:val="0"/>
                    <w:suppressLineNumbers w:val="0"/>
                    <w:kinsoku/>
                    <w:wordWrap/>
                    <w:overflowPunct/>
                    <w:topLinePunct w:val="0"/>
                    <w:autoSpaceDE/>
                    <w:autoSpaceDN/>
                    <w:bidi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3A82FC46">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0" w:type="dxa"/>
                  <w:bottom w:w="0" w:type="dxa"/>
                  <w:right w:w="0" w:type="dxa"/>
                </w:tblCellMar>
              </w:tblPrEx>
              <w:trPr>
                <w:jc w:val="center"/>
              </w:trPr>
              <w:tc>
                <w:tcPr>
                  <w:tcW w:w="481" w:type="pct"/>
                  <w:vMerge w:val="restart"/>
                  <w:noWrap w:val="0"/>
                  <w:vAlign w:val="center"/>
                </w:tcPr>
                <w:p w14:paraId="40B92F29">
                  <w:pPr>
                    <w:pStyle w:val="248"/>
                    <w:keepNext w:val="0"/>
                    <w:keepLines w:val="0"/>
                    <w:pageBreakBefore w:val="0"/>
                    <w:widowControl w:val="0"/>
                    <w:suppressLineNumbers w:val="0"/>
                    <w:kinsoku/>
                    <w:wordWrap/>
                    <w:overflowPunct/>
                    <w:topLinePunct w:val="0"/>
                    <w:autoSpaceDE/>
                    <w:autoSpaceDN/>
                    <w:bidi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污染物排放管控</w:t>
                  </w:r>
                </w:p>
              </w:tc>
              <w:tc>
                <w:tcPr>
                  <w:tcW w:w="2976" w:type="pct"/>
                  <w:noWrap w:val="0"/>
                  <w:vAlign w:val="center"/>
                </w:tcPr>
                <w:p w14:paraId="5188995A">
                  <w:pPr>
                    <w:pStyle w:val="248"/>
                    <w:keepNext w:val="0"/>
                    <w:keepLines w:val="0"/>
                    <w:pageBreakBefore w:val="0"/>
                    <w:widowControl w:val="0"/>
                    <w:suppressLineNumbers w:val="0"/>
                    <w:kinsoku/>
                    <w:wordWrap/>
                    <w:overflowPunct/>
                    <w:topLinePunct w:val="0"/>
                    <w:autoSpaceDE/>
                    <w:autoSpaceDN/>
                    <w:bidi w:val="0"/>
                    <w:snapToGrid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1.将总氮、总磷作为日常监管指标。新建、改建、扩建涉及总氮排放的建设项目，实施总氮排放总量指标减量替代。</w:t>
                  </w:r>
                </w:p>
              </w:tc>
              <w:tc>
                <w:tcPr>
                  <w:tcW w:w="1149" w:type="pct"/>
                  <w:noWrap w:val="0"/>
                  <w:vAlign w:val="center"/>
                </w:tcPr>
                <w:p w14:paraId="74FE7420">
                  <w:pPr>
                    <w:pStyle w:val="248"/>
                    <w:keepNext w:val="0"/>
                    <w:keepLines w:val="0"/>
                    <w:pageBreakBefore w:val="0"/>
                    <w:widowControl w:val="0"/>
                    <w:suppressLineNumbers w:val="0"/>
                    <w:kinsoku/>
                    <w:wordWrap/>
                    <w:overflowPunct/>
                    <w:topLinePunct w:val="0"/>
                    <w:autoSpaceDE/>
                    <w:autoSpaceDN/>
                    <w:bidi w:val="0"/>
                    <w:snapToGrid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本项目不涉及</w:t>
                  </w:r>
                  <w:r>
                    <w:rPr>
                      <w:rFonts w:hint="eastAsia" w:ascii="Times New Roman" w:hAnsi="Times New Roman" w:eastAsia="宋体" w:cs="Times New Roman"/>
                      <w:sz w:val="21"/>
                      <w:szCs w:val="21"/>
                      <w:lang w:eastAsia="zh-CN"/>
                    </w:rPr>
                    <w:t>总氮、总磷排放</w:t>
                  </w:r>
                  <w:r>
                    <w:rPr>
                      <w:rFonts w:hint="default" w:ascii="Times New Roman" w:hAnsi="Times New Roman" w:eastAsia="宋体" w:cs="Times New Roman"/>
                      <w:sz w:val="21"/>
                      <w:szCs w:val="21"/>
                    </w:rPr>
                    <w:t>。</w:t>
                  </w:r>
                </w:p>
              </w:tc>
              <w:tc>
                <w:tcPr>
                  <w:tcW w:w="392" w:type="pct"/>
                  <w:noWrap w:val="0"/>
                  <w:vAlign w:val="center"/>
                </w:tcPr>
                <w:p w14:paraId="2F17AFA2">
                  <w:pPr>
                    <w:pStyle w:val="248"/>
                    <w:keepNext w:val="0"/>
                    <w:keepLines w:val="0"/>
                    <w:pageBreakBefore w:val="0"/>
                    <w:widowControl w:val="0"/>
                    <w:suppressLineNumbers w:val="0"/>
                    <w:kinsoku/>
                    <w:wordWrap/>
                    <w:overflowPunct/>
                    <w:topLinePunct w:val="0"/>
                    <w:autoSpaceDE/>
                    <w:autoSpaceDN/>
                    <w:bidi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7BD316C4">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0" w:type="dxa"/>
                  <w:bottom w:w="0" w:type="dxa"/>
                  <w:right w:w="0" w:type="dxa"/>
                </w:tblCellMar>
              </w:tblPrEx>
              <w:trPr>
                <w:jc w:val="center"/>
              </w:trPr>
              <w:tc>
                <w:tcPr>
                  <w:tcW w:w="481" w:type="pct"/>
                  <w:vMerge w:val="continue"/>
                  <w:noWrap w:val="0"/>
                  <w:vAlign w:val="center"/>
                </w:tcPr>
                <w:p w14:paraId="754AE143">
                  <w:pPr>
                    <w:pStyle w:val="248"/>
                    <w:keepNext w:val="0"/>
                    <w:keepLines w:val="0"/>
                    <w:pageBreakBefore w:val="0"/>
                    <w:widowControl w:val="0"/>
                    <w:suppressLineNumbers w:val="0"/>
                    <w:kinsoku/>
                    <w:wordWrap/>
                    <w:overflowPunct/>
                    <w:topLinePunct w:val="0"/>
                    <w:autoSpaceDE/>
                    <w:autoSpaceDN/>
                    <w:bidi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2976" w:type="pct"/>
                  <w:noWrap w:val="0"/>
                  <w:vAlign w:val="center"/>
                </w:tcPr>
                <w:p w14:paraId="09A5A3AA">
                  <w:pPr>
                    <w:pStyle w:val="248"/>
                    <w:keepNext w:val="0"/>
                    <w:keepLines w:val="0"/>
                    <w:pageBreakBefore w:val="0"/>
                    <w:widowControl w:val="0"/>
                    <w:suppressLineNumbers w:val="0"/>
                    <w:kinsoku/>
                    <w:wordWrap/>
                    <w:overflowPunct/>
                    <w:topLinePunct w:val="0"/>
                    <w:autoSpaceDE/>
                    <w:autoSpaceDN/>
                    <w:bidi w:val="0"/>
                    <w:snapToGrid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2.直排环境的新（改、扩）建排污单位水污染物排放限值严格执行国家、省相关标准，同时参考《沧州市消除Ⅴ类河流及水质保障攻坚行动方案》中附件2的排放限值执行。</w:t>
                  </w:r>
                </w:p>
              </w:tc>
              <w:tc>
                <w:tcPr>
                  <w:tcW w:w="1149" w:type="pct"/>
                  <w:noWrap w:val="0"/>
                  <w:vAlign w:val="center"/>
                </w:tcPr>
                <w:p w14:paraId="2EAE1AC0">
                  <w:pPr>
                    <w:pStyle w:val="248"/>
                    <w:keepNext w:val="0"/>
                    <w:keepLines w:val="0"/>
                    <w:pageBreakBefore w:val="0"/>
                    <w:widowControl w:val="0"/>
                    <w:suppressLineNumbers w:val="0"/>
                    <w:kinsoku/>
                    <w:wordWrap/>
                    <w:overflowPunct/>
                    <w:topLinePunct w:val="0"/>
                    <w:autoSpaceDE/>
                    <w:autoSpaceDN/>
                    <w:bidi w:val="0"/>
                    <w:snapToGrid w:val="0"/>
                    <w:spacing w:before="157" w:beforeLines="50" w:beforeAutospacing="0" w:after="157" w:afterLines="50" w:afterAutospacing="0"/>
                    <w:ind w:left="105" w:leftChars="50" w:right="105" w:rightChars="5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不涉及</w:t>
                  </w:r>
                </w:p>
              </w:tc>
              <w:tc>
                <w:tcPr>
                  <w:tcW w:w="392" w:type="pct"/>
                  <w:noWrap w:val="0"/>
                  <w:vAlign w:val="center"/>
                </w:tcPr>
                <w:p w14:paraId="34EF8AA8">
                  <w:pPr>
                    <w:pStyle w:val="248"/>
                    <w:keepNext w:val="0"/>
                    <w:keepLines w:val="0"/>
                    <w:pageBreakBefore w:val="0"/>
                    <w:widowControl w:val="0"/>
                    <w:suppressLineNumbers w:val="0"/>
                    <w:kinsoku/>
                    <w:wordWrap/>
                    <w:overflowPunct/>
                    <w:topLinePunct w:val="0"/>
                    <w:autoSpaceDE/>
                    <w:autoSpaceDN/>
                    <w:bidi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2BB78493">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0" w:type="dxa"/>
                  <w:bottom w:w="0" w:type="dxa"/>
                  <w:right w:w="0" w:type="dxa"/>
                </w:tblCellMar>
              </w:tblPrEx>
              <w:trPr>
                <w:jc w:val="center"/>
              </w:trPr>
              <w:tc>
                <w:tcPr>
                  <w:tcW w:w="481" w:type="pct"/>
                  <w:vMerge w:val="continue"/>
                  <w:noWrap w:val="0"/>
                  <w:vAlign w:val="center"/>
                </w:tcPr>
                <w:p w14:paraId="1B687F68">
                  <w:pPr>
                    <w:pStyle w:val="248"/>
                    <w:keepNext w:val="0"/>
                    <w:keepLines w:val="0"/>
                    <w:pageBreakBefore w:val="0"/>
                    <w:widowControl w:val="0"/>
                    <w:suppressLineNumbers w:val="0"/>
                    <w:kinsoku/>
                    <w:wordWrap/>
                    <w:overflowPunct/>
                    <w:topLinePunct w:val="0"/>
                    <w:autoSpaceDE/>
                    <w:autoSpaceDN/>
                    <w:bidi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2976" w:type="pct"/>
                  <w:noWrap w:val="0"/>
                  <w:vAlign w:val="center"/>
                </w:tcPr>
                <w:p w14:paraId="177660A6">
                  <w:pPr>
                    <w:pStyle w:val="248"/>
                    <w:keepNext w:val="0"/>
                    <w:keepLines w:val="0"/>
                    <w:pageBreakBefore w:val="0"/>
                    <w:widowControl w:val="0"/>
                    <w:suppressLineNumbers w:val="0"/>
                    <w:kinsoku/>
                    <w:wordWrap/>
                    <w:overflowPunct/>
                    <w:topLinePunct w:val="0"/>
                    <w:autoSpaceDE/>
                    <w:autoSpaceDN/>
                    <w:bidi w:val="0"/>
                    <w:snapToGrid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加强城镇基础设施建设，县（市、区）建成区加快实施城市污水处理厂配套管网建设及雨污分流工程，推进小城镇污水处理工程建设、改造。重点围绕城中村、老旧城区、城乡结合部、建制镇等开展污水管网覆盖情况排查及建设，实施老旧破损管网改造修复。到2025年，基本消除城市建成区污水管网空白区，实现建制镇以上污水处理设施全覆盖，城市和县城污泥无害化处理率达到97%以上。到2025年，再生水循环利用率达到40%以上。</w:t>
                  </w:r>
                </w:p>
              </w:tc>
              <w:tc>
                <w:tcPr>
                  <w:tcW w:w="1149" w:type="pct"/>
                  <w:noWrap w:val="0"/>
                  <w:vAlign w:val="center"/>
                </w:tcPr>
                <w:p w14:paraId="545FD068">
                  <w:pPr>
                    <w:pStyle w:val="248"/>
                    <w:keepNext w:val="0"/>
                    <w:keepLines w:val="0"/>
                    <w:pageBreakBefore w:val="0"/>
                    <w:widowControl w:val="0"/>
                    <w:suppressLineNumbers w:val="0"/>
                    <w:kinsoku/>
                    <w:wordWrap/>
                    <w:overflowPunct/>
                    <w:topLinePunct w:val="0"/>
                    <w:autoSpaceDE/>
                    <w:autoSpaceDN/>
                    <w:bidi w:val="0"/>
                    <w:snapToGrid w:val="0"/>
                    <w:spacing w:before="157" w:beforeLines="50" w:beforeAutospacing="0" w:after="157" w:afterLines="50" w:afterAutospacing="0"/>
                    <w:ind w:left="105" w:leftChars="50" w:right="105" w:rightChars="5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不涉及</w:t>
                  </w:r>
                </w:p>
              </w:tc>
              <w:tc>
                <w:tcPr>
                  <w:tcW w:w="392" w:type="pct"/>
                  <w:noWrap w:val="0"/>
                  <w:vAlign w:val="center"/>
                </w:tcPr>
                <w:p w14:paraId="3F5FCB3C">
                  <w:pPr>
                    <w:pStyle w:val="248"/>
                    <w:keepNext w:val="0"/>
                    <w:keepLines w:val="0"/>
                    <w:pageBreakBefore w:val="0"/>
                    <w:widowControl w:val="0"/>
                    <w:suppressLineNumbers w:val="0"/>
                    <w:kinsoku/>
                    <w:wordWrap/>
                    <w:overflowPunct/>
                    <w:topLinePunct w:val="0"/>
                    <w:autoSpaceDE/>
                    <w:autoSpaceDN/>
                    <w:bidi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7ABB0002">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0" w:type="dxa"/>
                  <w:bottom w:w="0" w:type="dxa"/>
                  <w:right w:w="0" w:type="dxa"/>
                </w:tblCellMar>
              </w:tblPrEx>
              <w:trPr>
                <w:jc w:val="center"/>
              </w:trPr>
              <w:tc>
                <w:tcPr>
                  <w:tcW w:w="481" w:type="pct"/>
                  <w:vMerge w:val="continue"/>
                  <w:noWrap w:val="0"/>
                  <w:vAlign w:val="center"/>
                </w:tcPr>
                <w:p w14:paraId="5F21AB58">
                  <w:pPr>
                    <w:pStyle w:val="248"/>
                    <w:keepNext w:val="0"/>
                    <w:keepLines w:val="0"/>
                    <w:pageBreakBefore w:val="0"/>
                    <w:widowControl w:val="0"/>
                    <w:suppressLineNumbers w:val="0"/>
                    <w:kinsoku/>
                    <w:wordWrap/>
                    <w:overflowPunct/>
                    <w:topLinePunct w:val="0"/>
                    <w:autoSpaceDE/>
                    <w:autoSpaceDN/>
                    <w:bidi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2976" w:type="pct"/>
                  <w:noWrap w:val="0"/>
                  <w:vAlign w:val="center"/>
                </w:tcPr>
                <w:p w14:paraId="1889D748">
                  <w:pPr>
                    <w:pStyle w:val="248"/>
                    <w:keepNext w:val="0"/>
                    <w:keepLines w:val="0"/>
                    <w:pageBreakBefore w:val="0"/>
                    <w:widowControl w:val="0"/>
                    <w:suppressLineNumbers w:val="0"/>
                    <w:kinsoku/>
                    <w:wordWrap/>
                    <w:overflowPunct/>
                    <w:topLinePunct w:val="0"/>
                    <w:autoSpaceDE/>
                    <w:autoSpaceDN/>
                    <w:bidi w:val="0"/>
                    <w:snapToGrid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4.严禁洗车污水、餐饮泔水、施工泥浆水等通过雨水口进入管网后直排入河。</w:t>
                  </w:r>
                </w:p>
              </w:tc>
              <w:tc>
                <w:tcPr>
                  <w:tcW w:w="1149" w:type="pct"/>
                  <w:noWrap w:val="0"/>
                  <w:vAlign w:val="center"/>
                </w:tcPr>
                <w:p w14:paraId="37445C90">
                  <w:pPr>
                    <w:pStyle w:val="248"/>
                    <w:keepNext w:val="0"/>
                    <w:keepLines w:val="0"/>
                    <w:pageBreakBefore w:val="0"/>
                    <w:widowControl w:val="0"/>
                    <w:suppressLineNumbers w:val="0"/>
                    <w:kinsoku/>
                    <w:wordWrap/>
                    <w:overflowPunct/>
                    <w:topLinePunct w:val="0"/>
                    <w:autoSpaceDE/>
                    <w:autoSpaceDN/>
                    <w:bidi w:val="0"/>
                    <w:snapToGrid w:val="0"/>
                    <w:spacing w:before="157" w:beforeLines="50" w:beforeAutospacing="0" w:after="157" w:afterLines="50" w:afterAutospacing="0"/>
                    <w:ind w:left="105" w:leftChars="50" w:right="105" w:rightChars="5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不涉及</w:t>
                  </w:r>
                </w:p>
              </w:tc>
              <w:tc>
                <w:tcPr>
                  <w:tcW w:w="392" w:type="pct"/>
                  <w:noWrap w:val="0"/>
                  <w:vAlign w:val="center"/>
                </w:tcPr>
                <w:p w14:paraId="30DCB2B5">
                  <w:pPr>
                    <w:pStyle w:val="248"/>
                    <w:keepNext w:val="0"/>
                    <w:keepLines w:val="0"/>
                    <w:pageBreakBefore w:val="0"/>
                    <w:widowControl w:val="0"/>
                    <w:suppressLineNumbers w:val="0"/>
                    <w:kinsoku/>
                    <w:wordWrap/>
                    <w:overflowPunct/>
                    <w:topLinePunct w:val="0"/>
                    <w:autoSpaceDE/>
                    <w:autoSpaceDN/>
                    <w:bidi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6DBEBA89">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0" w:type="dxa"/>
                  <w:bottom w:w="0" w:type="dxa"/>
                  <w:right w:w="0" w:type="dxa"/>
                </w:tblCellMar>
              </w:tblPrEx>
              <w:trPr>
                <w:jc w:val="center"/>
              </w:trPr>
              <w:tc>
                <w:tcPr>
                  <w:tcW w:w="481" w:type="pct"/>
                  <w:vMerge w:val="continue"/>
                  <w:noWrap w:val="0"/>
                  <w:vAlign w:val="center"/>
                </w:tcPr>
                <w:p w14:paraId="25FCBD7B">
                  <w:pPr>
                    <w:pStyle w:val="248"/>
                    <w:keepNext w:val="0"/>
                    <w:keepLines w:val="0"/>
                    <w:pageBreakBefore w:val="0"/>
                    <w:widowControl w:val="0"/>
                    <w:suppressLineNumbers w:val="0"/>
                    <w:kinsoku/>
                    <w:wordWrap/>
                    <w:overflowPunct/>
                    <w:topLinePunct w:val="0"/>
                    <w:autoSpaceDE/>
                    <w:autoSpaceDN/>
                    <w:bidi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2976" w:type="pct"/>
                  <w:noWrap w:val="0"/>
                  <w:vAlign w:val="center"/>
                </w:tcPr>
                <w:p w14:paraId="1C6AB6F8">
                  <w:pPr>
                    <w:pStyle w:val="248"/>
                    <w:keepNext w:val="0"/>
                    <w:keepLines w:val="0"/>
                    <w:pageBreakBefore w:val="0"/>
                    <w:widowControl w:val="0"/>
                    <w:suppressLineNumbers w:val="0"/>
                    <w:kinsoku/>
                    <w:wordWrap/>
                    <w:overflowPunct/>
                    <w:topLinePunct w:val="0"/>
                    <w:autoSpaceDE/>
                    <w:autoSpaceDN/>
                    <w:bidi w:val="0"/>
                    <w:snapToGrid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5.禁止在二类环境功能区新设排污口，水质超标海域禁止新设增加相应污染物排放的排污口。提高涉海项目准入门槛。实施总氮排放总量控制。全市入海河流基本消灭劣V类水体。</w:t>
                  </w:r>
                </w:p>
              </w:tc>
              <w:tc>
                <w:tcPr>
                  <w:tcW w:w="1149" w:type="pct"/>
                  <w:noWrap w:val="0"/>
                  <w:vAlign w:val="center"/>
                </w:tcPr>
                <w:p w14:paraId="5110197A">
                  <w:pPr>
                    <w:pStyle w:val="248"/>
                    <w:keepNext w:val="0"/>
                    <w:keepLines w:val="0"/>
                    <w:pageBreakBefore w:val="0"/>
                    <w:widowControl w:val="0"/>
                    <w:suppressLineNumbers w:val="0"/>
                    <w:kinsoku/>
                    <w:wordWrap/>
                    <w:overflowPunct/>
                    <w:topLinePunct w:val="0"/>
                    <w:autoSpaceDE/>
                    <w:autoSpaceDN/>
                    <w:bidi w:val="0"/>
                    <w:snapToGrid w:val="0"/>
                    <w:spacing w:before="157" w:beforeLines="50" w:beforeAutospacing="0" w:after="157" w:afterLines="50" w:afterAutospacing="0"/>
                    <w:ind w:left="105" w:leftChars="50" w:right="105" w:rightChars="5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不涉及</w:t>
                  </w:r>
                </w:p>
              </w:tc>
              <w:tc>
                <w:tcPr>
                  <w:tcW w:w="392" w:type="pct"/>
                  <w:noWrap w:val="0"/>
                  <w:vAlign w:val="center"/>
                </w:tcPr>
                <w:p w14:paraId="2AA054FE">
                  <w:pPr>
                    <w:pStyle w:val="248"/>
                    <w:keepNext w:val="0"/>
                    <w:keepLines w:val="0"/>
                    <w:pageBreakBefore w:val="0"/>
                    <w:widowControl w:val="0"/>
                    <w:suppressLineNumbers w:val="0"/>
                    <w:kinsoku/>
                    <w:wordWrap/>
                    <w:overflowPunct/>
                    <w:topLinePunct w:val="0"/>
                    <w:autoSpaceDE/>
                    <w:autoSpaceDN/>
                    <w:bidi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76C059A1">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0" w:type="dxa"/>
                  <w:bottom w:w="0" w:type="dxa"/>
                  <w:right w:w="0" w:type="dxa"/>
                </w:tblCellMar>
              </w:tblPrEx>
              <w:trPr>
                <w:jc w:val="center"/>
              </w:trPr>
              <w:tc>
                <w:tcPr>
                  <w:tcW w:w="481" w:type="pct"/>
                  <w:vMerge w:val="continue"/>
                  <w:noWrap w:val="0"/>
                  <w:vAlign w:val="center"/>
                </w:tcPr>
                <w:p w14:paraId="3116CA6A">
                  <w:pPr>
                    <w:pStyle w:val="248"/>
                    <w:keepNext w:val="0"/>
                    <w:keepLines w:val="0"/>
                    <w:pageBreakBefore w:val="0"/>
                    <w:widowControl w:val="0"/>
                    <w:suppressLineNumbers w:val="0"/>
                    <w:kinsoku/>
                    <w:wordWrap/>
                    <w:overflowPunct/>
                    <w:topLinePunct w:val="0"/>
                    <w:autoSpaceDE/>
                    <w:autoSpaceDN/>
                    <w:bidi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2976" w:type="pct"/>
                  <w:noWrap w:val="0"/>
                  <w:vAlign w:val="center"/>
                </w:tcPr>
                <w:p w14:paraId="5F72A773">
                  <w:pPr>
                    <w:pStyle w:val="248"/>
                    <w:keepNext w:val="0"/>
                    <w:keepLines w:val="0"/>
                    <w:pageBreakBefore w:val="0"/>
                    <w:widowControl w:val="0"/>
                    <w:suppressLineNumbers w:val="0"/>
                    <w:kinsoku/>
                    <w:wordWrap/>
                    <w:overflowPunct/>
                    <w:topLinePunct w:val="0"/>
                    <w:autoSpaceDE/>
                    <w:autoSpaceDN/>
                    <w:bidi w:val="0"/>
                    <w:snapToGrid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加强总氮排放控制，以2020年国控河流入海断面总氮浓度值为基准，宣惠河入海河口断面总氮浓度按国家要求下降5%，其他国控入海河流河口断面总氮浓度保持负增长。2025年底前，入海河流入海口断面水质稳定达到考核目标要求，力争分批次达到Ⅲ类及以上水质。</w:t>
                  </w:r>
                </w:p>
              </w:tc>
              <w:tc>
                <w:tcPr>
                  <w:tcW w:w="1149" w:type="pct"/>
                  <w:noWrap w:val="0"/>
                  <w:vAlign w:val="center"/>
                </w:tcPr>
                <w:p w14:paraId="1068A1D5">
                  <w:pPr>
                    <w:pStyle w:val="248"/>
                    <w:keepNext w:val="0"/>
                    <w:keepLines w:val="0"/>
                    <w:pageBreakBefore w:val="0"/>
                    <w:widowControl w:val="0"/>
                    <w:suppressLineNumbers w:val="0"/>
                    <w:kinsoku/>
                    <w:wordWrap/>
                    <w:overflowPunct/>
                    <w:topLinePunct w:val="0"/>
                    <w:autoSpaceDE/>
                    <w:autoSpaceDN/>
                    <w:bidi w:val="0"/>
                    <w:snapToGrid w:val="0"/>
                    <w:spacing w:before="157" w:beforeLines="50" w:beforeAutospacing="0" w:after="157" w:afterLines="50" w:afterAutospacing="0"/>
                    <w:ind w:left="105" w:leftChars="50" w:right="105" w:rightChars="50"/>
                    <w:jc w:val="both"/>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项目</w:t>
                  </w:r>
                  <w:r>
                    <w:rPr>
                      <w:rFonts w:hint="default" w:ascii="Times New Roman" w:hAnsi="Times New Roman" w:eastAsia="宋体" w:cs="Times New Roman"/>
                      <w:sz w:val="21"/>
                      <w:szCs w:val="21"/>
                    </w:rPr>
                    <w:t>不涉及</w:t>
                  </w:r>
                  <w:r>
                    <w:rPr>
                      <w:rFonts w:hint="eastAsia" w:ascii="Times New Roman" w:hAnsi="Times New Roman" w:eastAsia="宋体" w:cs="Times New Roman"/>
                      <w:sz w:val="21"/>
                      <w:szCs w:val="21"/>
                      <w:lang w:eastAsia="zh-CN"/>
                    </w:rPr>
                    <w:t>总氮排放。</w:t>
                  </w:r>
                </w:p>
              </w:tc>
              <w:tc>
                <w:tcPr>
                  <w:tcW w:w="392" w:type="pct"/>
                  <w:noWrap w:val="0"/>
                  <w:vAlign w:val="center"/>
                </w:tcPr>
                <w:p w14:paraId="1332E5BC">
                  <w:pPr>
                    <w:pStyle w:val="248"/>
                    <w:keepNext w:val="0"/>
                    <w:keepLines w:val="0"/>
                    <w:pageBreakBefore w:val="0"/>
                    <w:widowControl w:val="0"/>
                    <w:suppressLineNumbers w:val="0"/>
                    <w:kinsoku/>
                    <w:wordWrap/>
                    <w:overflowPunct/>
                    <w:topLinePunct w:val="0"/>
                    <w:autoSpaceDE/>
                    <w:autoSpaceDN/>
                    <w:bidi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676D9446">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0" w:type="dxa"/>
                  <w:bottom w:w="0" w:type="dxa"/>
                  <w:right w:w="0" w:type="dxa"/>
                </w:tblCellMar>
              </w:tblPrEx>
              <w:trPr>
                <w:trHeight w:val="1186" w:hRule="atLeast"/>
                <w:jc w:val="center"/>
              </w:trPr>
              <w:tc>
                <w:tcPr>
                  <w:tcW w:w="481" w:type="pct"/>
                  <w:vMerge w:val="continue"/>
                  <w:noWrap w:val="0"/>
                  <w:vAlign w:val="center"/>
                </w:tcPr>
                <w:p w14:paraId="575ED008">
                  <w:pPr>
                    <w:pStyle w:val="248"/>
                    <w:keepNext w:val="0"/>
                    <w:keepLines w:val="0"/>
                    <w:pageBreakBefore w:val="0"/>
                    <w:widowControl w:val="0"/>
                    <w:suppressLineNumbers w:val="0"/>
                    <w:kinsoku/>
                    <w:wordWrap/>
                    <w:overflowPunct/>
                    <w:topLinePunct w:val="0"/>
                    <w:autoSpaceDE/>
                    <w:autoSpaceDN/>
                    <w:bidi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2976" w:type="pct"/>
                  <w:noWrap w:val="0"/>
                  <w:vAlign w:val="center"/>
                </w:tcPr>
                <w:p w14:paraId="637359F5">
                  <w:pPr>
                    <w:pStyle w:val="248"/>
                    <w:keepNext w:val="0"/>
                    <w:keepLines w:val="0"/>
                    <w:pageBreakBefore w:val="0"/>
                    <w:widowControl w:val="0"/>
                    <w:suppressLineNumbers w:val="0"/>
                    <w:kinsoku/>
                    <w:wordWrap/>
                    <w:overflowPunct/>
                    <w:topLinePunct w:val="0"/>
                    <w:autoSpaceDE/>
                    <w:autoSpaceDN/>
                    <w:bidi w:val="0"/>
                    <w:snapToGrid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7.对集中式饮用水源保护区内、南水北调二级保护区内、有明确水功能的河流两侧1000米、湖库周边1000米范围内的（733个）</w:t>
                  </w:r>
                  <w:r>
                    <w:rPr>
                      <w:rFonts w:hint="eastAsia" w:ascii="Times New Roman" w:hAnsi="Times New Roman" w:eastAsia="宋体" w:cs="Times New Roman"/>
                      <w:sz w:val="21"/>
                      <w:szCs w:val="21"/>
                      <w:lang w:eastAsia="zh-CN"/>
                    </w:rPr>
                    <w:t>“</w:t>
                  </w:r>
                  <w:r>
                    <w:rPr>
                      <w:rFonts w:hint="default" w:ascii="Times New Roman" w:hAnsi="Times New Roman" w:eastAsia="宋体" w:cs="Times New Roman"/>
                      <w:sz w:val="21"/>
                      <w:szCs w:val="21"/>
                    </w:rPr>
                    <w:t>傍水</w:t>
                  </w:r>
                  <w:r>
                    <w:rPr>
                      <w:rFonts w:hint="eastAsia" w:ascii="Times New Roman" w:hAnsi="Times New Roman" w:eastAsia="宋体" w:cs="Times New Roman"/>
                      <w:sz w:val="21"/>
                      <w:szCs w:val="21"/>
                      <w:lang w:eastAsia="zh-CN"/>
                    </w:rPr>
                    <w:t>”</w:t>
                  </w:r>
                  <w:r>
                    <w:rPr>
                      <w:rFonts w:hint="default" w:ascii="Times New Roman" w:hAnsi="Times New Roman" w:eastAsia="宋体" w:cs="Times New Roman"/>
                      <w:sz w:val="21"/>
                      <w:szCs w:val="21"/>
                    </w:rPr>
                    <w:t>农村开展综合环境整治行动计划，全市所有</w:t>
                  </w:r>
                  <w:r>
                    <w:rPr>
                      <w:rFonts w:hint="eastAsia" w:ascii="Times New Roman" w:hAnsi="Times New Roman" w:eastAsia="宋体" w:cs="Times New Roman"/>
                      <w:sz w:val="21"/>
                      <w:szCs w:val="21"/>
                      <w:lang w:eastAsia="zh-CN"/>
                    </w:rPr>
                    <w:t>“</w:t>
                  </w:r>
                  <w:r>
                    <w:rPr>
                      <w:rFonts w:hint="default" w:ascii="Times New Roman" w:hAnsi="Times New Roman" w:eastAsia="宋体" w:cs="Times New Roman"/>
                      <w:sz w:val="21"/>
                      <w:szCs w:val="21"/>
                    </w:rPr>
                    <w:t>傍水</w:t>
                  </w:r>
                  <w:r>
                    <w:rPr>
                      <w:rFonts w:hint="eastAsia" w:ascii="Times New Roman" w:hAnsi="Times New Roman" w:eastAsia="宋体" w:cs="Times New Roman"/>
                      <w:sz w:val="21"/>
                      <w:szCs w:val="21"/>
                      <w:lang w:eastAsia="zh-CN"/>
                    </w:rPr>
                    <w:t>”</w:t>
                  </w:r>
                  <w:r>
                    <w:rPr>
                      <w:rFonts w:hint="default" w:ascii="Times New Roman" w:hAnsi="Times New Roman" w:eastAsia="宋体" w:cs="Times New Roman"/>
                      <w:sz w:val="21"/>
                      <w:szCs w:val="21"/>
                    </w:rPr>
                    <w:t>建制村逐步完成环境综合整治。</w:t>
                  </w:r>
                </w:p>
              </w:tc>
              <w:tc>
                <w:tcPr>
                  <w:tcW w:w="1149" w:type="pct"/>
                  <w:noWrap w:val="0"/>
                  <w:vAlign w:val="center"/>
                </w:tcPr>
                <w:p w14:paraId="1BD04B0F">
                  <w:pPr>
                    <w:pStyle w:val="248"/>
                    <w:keepNext w:val="0"/>
                    <w:keepLines w:val="0"/>
                    <w:pageBreakBefore w:val="0"/>
                    <w:widowControl w:val="0"/>
                    <w:suppressLineNumbers w:val="0"/>
                    <w:kinsoku/>
                    <w:wordWrap/>
                    <w:overflowPunct/>
                    <w:topLinePunct w:val="0"/>
                    <w:autoSpaceDE/>
                    <w:autoSpaceDN/>
                    <w:bidi w:val="0"/>
                    <w:snapToGrid w:val="0"/>
                    <w:spacing w:before="157" w:beforeLines="50" w:beforeAutospacing="0" w:after="157" w:afterLines="50" w:afterAutospacing="0"/>
                    <w:ind w:left="105" w:leftChars="50" w:right="105" w:rightChars="5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不涉及</w:t>
                  </w:r>
                </w:p>
              </w:tc>
              <w:tc>
                <w:tcPr>
                  <w:tcW w:w="392" w:type="pct"/>
                  <w:noWrap w:val="0"/>
                  <w:vAlign w:val="center"/>
                </w:tcPr>
                <w:p w14:paraId="73009C76">
                  <w:pPr>
                    <w:pStyle w:val="248"/>
                    <w:keepNext w:val="0"/>
                    <w:keepLines w:val="0"/>
                    <w:pageBreakBefore w:val="0"/>
                    <w:widowControl w:val="0"/>
                    <w:suppressLineNumbers w:val="0"/>
                    <w:kinsoku/>
                    <w:wordWrap/>
                    <w:overflowPunct/>
                    <w:topLinePunct w:val="0"/>
                    <w:autoSpaceDE/>
                    <w:autoSpaceDN/>
                    <w:bidi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15C3377D">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0" w:type="dxa"/>
                  <w:bottom w:w="0" w:type="dxa"/>
                  <w:right w:w="0" w:type="dxa"/>
                </w:tblCellMar>
              </w:tblPrEx>
              <w:trPr>
                <w:jc w:val="center"/>
              </w:trPr>
              <w:tc>
                <w:tcPr>
                  <w:tcW w:w="481" w:type="pct"/>
                  <w:vMerge w:val="continue"/>
                  <w:noWrap w:val="0"/>
                  <w:vAlign w:val="center"/>
                </w:tcPr>
                <w:p w14:paraId="37A8B1A6">
                  <w:pPr>
                    <w:pStyle w:val="248"/>
                    <w:keepNext w:val="0"/>
                    <w:keepLines w:val="0"/>
                    <w:pageBreakBefore w:val="0"/>
                    <w:widowControl w:val="0"/>
                    <w:suppressLineNumbers w:val="0"/>
                    <w:kinsoku/>
                    <w:wordWrap/>
                    <w:overflowPunct/>
                    <w:topLinePunct w:val="0"/>
                    <w:autoSpaceDE/>
                    <w:autoSpaceDN/>
                    <w:bidi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2976" w:type="pct"/>
                  <w:noWrap w:val="0"/>
                  <w:vAlign w:val="center"/>
                </w:tcPr>
                <w:p w14:paraId="4FEDD2D5">
                  <w:pPr>
                    <w:pStyle w:val="248"/>
                    <w:keepNext w:val="0"/>
                    <w:keepLines w:val="0"/>
                    <w:pageBreakBefore w:val="0"/>
                    <w:widowControl w:val="0"/>
                    <w:suppressLineNumbers w:val="0"/>
                    <w:kinsoku/>
                    <w:wordWrap/>
                    <w:overflowPunct/>
                    <w:topLinePunct w:val="0"/>
                    <w:autoSpaceDE/>
                    <w:autoSpaceDN/>
                    <w:bidi w:val="0"/>
                    <w:snapToGrid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8.集中式饮用水源保护区及功能为Ⅰ—Ⅲ类的河流，引黄济沧、南水北调等环境敏感区严禁农田退水直接排入地表水体。</w:t>
                  </w:r>
                </w:p>
              </w:tc>
              <w:tc>
                <w:tcPr>
                  <w:tcW w:w="1149" w:type="pct"/>
                  <w:noWrap w:val="0"/>
                  <w:vAlign w:val="center"/>
                </w:tcPr>
                <w:p w14:paraId="01BB48CC">
                  <w:pPr>
                    <w:pStyle w:val="248"/>
                    <w:keepNext w:val="0"/>
                    <w:keepLines w:val="0"/>
                    <w:pageBreakBefore w:val="0"/>
                    <w:widowControl w:val="0"/>
                    <w:suppressLineNumbers w:val="0"/>
                    <w:kinsoku/>
                    <w:wordWrap/>
                    <w:overflowPunct/>
                    <w:topLinePunct w:val="0"/>
                    <w:autoSpaceDE/>
                    <w:autoSpaceDN/>
                    <w:bidi w:val="0"/>
                    <w:snapToGrid w:val="0"/>
                    <w:spacing w:before="157" w:beforeLines="50" w:beforeAutospacing="0" w:after="157" w:afterLines="50" w:afterAutospacing="0"/>
                    <w:ind w:left="105" w:leftChars="50" w:right="105" w:rightChars="5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不涉及</w:t>
                  </w:r>
                </w:p>
              </w:tc>
              <w:tc>
                <w:tcPr>
                  <w:tcW w:w="392" w:type="pct"/>
                  <w:noWrap w:val="0"/>
                  <w:vAlign w:val="center"/>
                </w:tcPr>
                <w:p w14:paraId="7818437D">
                  <w:pPr>
                    <w:pStyle w:val="248"/>
                    <w:keepNext w:val="0"/>
                    <w:keepLines w:val="0"/>
                    <w:pageBreakBefore w:val="0"/>
                    <w:widowControl w:val="0"/>
                    <w:suppressLineNumbers w:val="0"/>
                    <w:kinsoku/>
                    <w:wordWrap/>
                    <w:overflowPunct/>
                    <w:topLinePunct w:val="0"/>
                    <w:autoSpaceDE/>
                    <w:autoSpaceDN/>
                    <w:bidi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12668784">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0" w:type="dxa"/>
                  <w:bottom w:w="0" w:type="dxa"/>
                  <w:right w:w="0" w:type="dxa"/>
                </w:tblCellMar>
              </w:tblPrEx>
              <w:trPr>
                <w:jc w:val="center"/>
              </w:trPr>
              <w:tc>
                <w:tcPr>
                  <w:tcW w:w="481" w:type="pct"/>
                  <w:vMerge w:val="continue"/>
                  <w:noWrap w:val="0"/>
                  <w:vAlign w:val="center"/>
                </w:tcPr>
                <w:p w14:paraId="5147EE34">
                  <w:pPr>
                    <w:pStyle w:val="248"/>
                    <w:keepNext w:val="0"/>
                    <w:keepLines w:val="0"/>
                    <w:pageBreakBefore w:val="0"/>
                    <w:widowControl w:val="0"/>
                    <w:suppressLineNumbers w:val="0"/>
                    <w:kinsoku/>
                    <w:wordWrap/>
                    <w:overflowPunct/>
                    <w:topLinePunct w:val="0"/>
                    <w:autoSpaceDE/>
                    <w:autoSpaceDN/>
                    <w:bidi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2976" w:type="pct"/>
                  <w:noWrap w:val="0"/>
                  <w:vAlign w:val="center"/>
                </w:tcPr>
                <w:p w14:paraId="54B7CA26">
                  <w:pPr>
                    <w:pStyle w:val="248"/>
                    <w:keepNext w:val="0"/>
                    <w:keepLines w:val="0"/>
                    <w:pageBreakBefore w:val="0"/>
                    <w:widowControl w:val="0"/>
                    <w:suppressLineNumbers w:val="0"/>
                    <w:kinsoku/>
                    <w:wordWrap/>
                    <w:overflowPunct/>
                    <w:topLinePunct w:val="0"/>
                    <w:autoSpaceDE/>
                    <w:autoSpaceDN/>
                    <w:bidi w:val="0"/>
                    <w:snapToGrid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9.加强港口建设与运营期污染防治，实施废弃物达标排放，严格控制船只倾倒、排污活动，有效防范危险品泄漏、溢油等风险事故的发生，降低对海洋生态环境的影响。</w:t>
                  </w:r>
                </w:p>
              </w:tc>
              <w:tc>
                <w:tcPr>
                  <w:tcW w:w="1149" w:type="pct"/>
                  <w:noWrap w:val="0"/>
                  <w:vAlign w:val="center"/>
                </w:tcPr>
                <w:p w14:paraId="36E5F322">
                  <w:pPr>
                    <w:keepNext w:val="0"/>
                    <w:keepLines w:val="0"/>
                    <w:pageBreakBefore w:val="0"/>
                    <w:widowControl w:val="0"/>
                    <w:suppressLineNumbers w:val="0"/>
                    <w:kinsoku/>
                    <w:wordWrap/>
                    <w:overflowPunct/>
                    <w:topLinePunct w:val="0"/>
                    <w:autoSpaceDE/>
                    <w:autoSpaceDN/>
                    <w:bidi w:val="0"/>
                    <w:snapToGrid w:val="0"/>
                    <w:spacing w:before="157" w:beforeLines="50" w:beforeAutospacing="0" w:after="157" w:afterLines="50" w:afterAutospacing="0"/>
                    <w:ind w:left="105" w:leftChars="50" w:right="105" w:rightChars="5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不涉及</w:t>
                  </w:r>
                </w:p>
              </w:tc>
              <w:tc>
                <w:tcPr>
                  <w:tcW w:w="392" w:type="pct"/>
                  <w:noWrap w:val="0"/>
                  <w:vAlign w:val="center"/>
                </w:tcPr>
                <w:p w14:paraId="13CB0D7B">
                  <w:pPr>
                    <w:pStyle w:val="248"/>
                    <w:keepNext w:val="0"/>
                    <w:keepLines w:val="0"/>
                    <w:pageBreakBefore w:val="0"/>
                    <w:widowControl w:val="0"/>
                    <w:suppressLineNumbers w:val="0"/>
                    <w:kinsoku/>
                    <w:wordWrap/>
                    <w:overflowPunct/>
                    <w:topLinePunct w:val="0"/>
                    <w:autoSpaceDE/>
                    <w:autoSpaceDN/>
                    <w:bidi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5A751500">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0" w:type="dxa"/>
                  <w:bottom w:w="0" w:type="dxa"/>
                  <w:right w:w="0" w:type="dxa"/>
                </w:tblCellMar>
              </w:tblPrEx>
              <w:trPr>
                <w:jc w:val="center"/>
              </w:trPr>
              <w:tc>
                <w:tcPr>
                  <w:tcW w:w="481" w:type="pct"/>
                  <w:vMerge w:val="continue"/>
                  <w:noWrap w:val="0"/>
                  <w:vAlign w:val="center"/>
                </w:tcPr>
                <w:p w14:paraId="300D2159">
                  <w:pPr>
                    <w:pStyle w:val="248"/>
                    <w:keepNext w:val="0"/>
                    <w:keepLines w:val="0"/>
                    <w:pageBreakBefore w:val="0"/>
                    <w:widowControl w:val="0"/>
                    <w:suppressLineNumbers w:val="0"/>
                    <w:kinsoku/>
                    <w:wordWrap/>
                    <w:overflowPunct/>
                    <w:topLinePunct w:val="0"/>
                    <w:autoSpaceDE/>
                    <w:autoSpaceDN/>
                    <w:bidi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2976" w:type="pct"/>
                  <w:noWrap w:val="0"/>
                  <w:vAlign w:val="center"/>
                </w:tcPr>
                <w:p w14:paraId="58BC0E35">
                  <w:pPr>
                    <w:pStyle w:val="248"/>
                    <w:keepNext w:val="0"/>
                    <w:keepLines w:val="0"/>
                    <w:pageBreakBefore w:val="0"/>
                    <w:widowControl w:val="0"/>
                    <w:suppressLineNumbers w:val="0"/>
                    <w:kinsoku/>
                    <w:wordWrap/>
                    <w:overflowPunct/>
                    <w:topLinePunct w:val="0"/>
                    <w:autoSpaceDE/>
                    <w:autoSpaceDN/>
                    <w:bidi w:val="0"/>
                    <w:snapToGrid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10.依据海域环境容量调控养殖密度和规模，防治海水养殖污染，整治修复养殖环境，引导传统养殖业向高效低排、标准化与生态化方向发展。</w:t>
                  </w:r>
                </w:p>
              </w:tc>
              <w:tc>
                <w:tcPr>
                  <w:tcW w:w="1149" w:type="pct"/>
                  <w:noWrap w:val="0"/>
                  <w:vAlign w:val="center"/>
                </w:tcPr>
                <w:p w14:paraId="55D0068C">
                  <w:pPr>
                    <w:keepNext w:val="0"/>
                    <w:keepLines w:val="0"/>
                    <w:pageBreakBefore w:val="0"/>
                    <w:widowControl w:val="0"/>
                    <w:suppressLineNumbers w:val="0"/>
                    <w:kinsoku/>
                    <w:wordWrap/>
                    <w:overflowPunct/>
                    <w:topLinePunct w:val="0"/>
                    <w:autoSpaceDE/>
                    <w:autoSpaceDN/>
                    <w:bidi w:val="0"/>
                    <w:snapToGrid w:val="0"/>
                    <w:spacing w:before="157" w:beforeLines="50" w:beforeAutospacing="0" w:after="157" w:afterLines="50" w:afterAutospacing="0"/>
                    <w:ind w:left="105" w:leftChars="50" w:right="105" w:rightChars="5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不涉及</w:t>
                  </w:r>
                </w:p>
              </w:tc>
              <w:tc>
                <w:tcPr>
                  <w:tcW w:w="392" w:type="pct"/>
                  <w:noWrap w:val="0"/>
                  <w:vAlign w:val="center"/>
                </w:tcPr>
                <w:p w14:paraId="4C6EBD7D">
                  <w:pPr>
                    <w:pStyle w:val="248"/>
                    <w:keepNext w:val="0"/>
                    <w:keepLines w:val="0"/>
                    <w:pageBreakBefore w:val="0"/>
                    <w:widowControl w:val="0"/>
                    <w:suppressLineNumbers w:val="0"/>
                    <w:kinsoku/>
                    <w:wordWrap/>
                    <w:overflowPunct/>
                    <w:topLinePunct w:val="0"/>
                    <w:autoSpaceDE/>
                    <w:autoSpaceDN/>
                    <w:bidi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0601E982">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0" w:type="dxa"/>
                  <w:bottom w:w="0" w:type="dxa"/>
                  <w:right w:w="0" w:type="dxa"/>
                </w:tblCellMar>
              </w:tblPrEx>
              <w:trPr>
                <w:jc w:val="center"/>
              </w:trPr>
              <w:tc>
                <w:tcPr>
                  <w:tcW w:w="481" w:type="pct"/>
                  <w:noWrap w:val="0"/>
                  <w:vAlign w:val="center"/>
                </w:tcPr>
                <w:p w14:paraId="7ADBA7CD">
                  <w:pPr>
                    <w:pStyle w:val="248"/>
                    <w:keepNext w:val="0"/>
                    <w:keepLines w:val="0"/>
                    <w:pageBreakBefore w:val="0"/>
                    <w:widowControl w:val="0"/>
                    <w:suppressLineNumbers w:val="0"/>
                    <w:kinsoku/>
                    <w:wordWrap/>
                    <w:overflowPunct/>
                    <w:topLinePunct w:val="0"/>
                    <w:autoSpaceDE/>
                    <w:autoSpaceDN/>
                    <w:bidi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环境风险防控</w:t>
                  </w:r>
                </w:p>
              </w:tc>
              <w:tc>
                <w:tcPr>
                  <w:tcW w:w="2976" w:type="pct"/>
                  <w:noWrap w:val="0"/>
                  <w:vAlign w:val="center"/>
                </w:tcPr>
                <w:p w14:paraId="30C9FA50">
                  <w:pPr>
                    <w:pStyle w:val="248"/>
                    <w:keepNext w:val="0"/>
                    <w:keepLines w:val="0"/>
                    <w:pageBreakBefore w:val="0"/>
                    <w:widowControl w:val="0"/>
                    <w:suppressLineNumbers w:val="0"/>
                    <w:kinsoku/>
                    <w:wordWrap/>
                    <w:overflowPunct/>
                    <w:topLinePunct w:val="0"/>
                    <w:autoSpaceDE/>
                    <w:autoSpaceDN/>
                    <w:bidi w:val="0"/>
                    <w:snapToGrid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县级以上地表水型集中式饮用水水源均要编制完成突发环境事件应急预案。防范海上溢油及危化品泄漏风险。建立海洋生态灾害预警与应急处置体系。</w:t>
                  </w:r>
                </w:p>
              </w:tc>
              <w:tc>
                <w:tcPr>
                  <w:tcW w:w="1149" w:type="pct"/>
                  <w:noWrap w:val="0"/>
                  <w:vAlign w:val="center"/>
                </w:tcPr>
                <w:p w14:paraId="3FBEF35E">
                  <w:pPr>
                    <w:keepNext w:val="0"/>
                    <w:keepLines w:val="0"/>
                    <w:pageBreakBefore w:val="0"/>
                    <w:widowControl w:val="0"/>
                    <w:suppressLineNumbers w:val="0"/>
                    <w:kinsoku/>
                    <w:wordWrap/>
                    <w:overflowPunct/>
                    <w:topLinePunct w:val="0"/>
                    <w:autoSpaceDE/>
                    <w:autoSpaceDN/>
                    <w:bidi w:val="0"/>
                    <w:snapToGrid w:val="0"/>
                    <w:spacing w:before="157" w:beforeLines="50" w:beforeAutospacing="0" w:after="157" w:afterLines="50" w:afterAutospacing="0"/>
                    <w:ind w:left="105" w:leftChars="50" w:right="105" w:rightChars="5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不涉及</w:t>
                  </w:r>
                </w:p>
              </w:tc>
              <w:tc>
                <w:tcPr>
                  <w:tcW w:w="392" w:type="pct"/>
                  <w:noWrap w:val="0"/>
                  <w:vAlign w:val="center"/>
                </w:tcPr>
                <w:p w14:paraId="47BEAD97">
                  <w:pPr>
                    <w:pStyle w:val="248"/>
                    <w:keepNext w:val="0"/>
                    <w:keepLines w:val="0"/>
                    <w:pageBreakBefore w:val="0"/>
                    <w:widowControl w:val="0"/>
                    <w:suppressLineNumbers w:val="0"/>
                    <w:kinsoku/>
                    <w:wordWrap/>
                    <w:overflowPunct/>
                    <w:topLinePunct w:val="0"/>
                    <w:autoSpaceDE/>
                    <w:autoSpaceDN/>
                    <w:bidi w:val="0"/>
                    <w:snapToGrid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bl>
          <w:p w14:paraId="377FA8AF">
            <w:pPr>
              <w:pStyle w:val="6"/>
              <w:suppressLineNumbers w:val="0"/>
              <w:spacing w:before="0" w:beforeAutospacing="0" w:after="0" w:afterAutospacing="0"/>
              <w:ind w:left="0" w:right="0"/>
              <w:jc w:val="both"/>
              <w:rPr>
                <w:rFonts w:hint="eastAsia" w:eastAsia="宋体"/>
                <w:lang w:eastAsia="zh-CN"/>
              </w:rPr>
            </w:pPr>
            <w:r>
              <w:rPr>
                <w:rFonts w:hint="eastAsia" w:eastAsia="宋体"/>
                <w:lang w:eastAsia="zh-CN"/>
              </w:rPr>
              <w:t>根据上表，本项目符合全市地表水环境总体管控要求。</w:t>
            </w:r>
          </w:p>
          <w:p w14:paraId="752CD1A8">
            <w:pPr>
              <w:pStyle w:val="6"/>
              <w:suppressLineNumbers w:val="0"/>
              <w:spacing w:before="0" w:beforeAutospacing="0" w:after="0" w:afterAutospacing="0"/>
              <w:ind w:left="0" w:right="0"/>
              <w:jc w:val="center"/>
              <w:rPr>
                <w:rFonts w:hint="eastAsia" w:ascii="宋体" w:hAnsi="宋体" w:eastAsia="宋体" w:cs="宋体"/>
                <w:b/>
                <w:bCs w:val="0"/>
                <w:sz w:val="21"/>
                <w:szCs w:val="21"/>
                <w:lang w:val="en-US" w:eastAsia="zh-CN"/>
              </w:rPr>
            </w:pPr>
            <w:r>
              <w:rPr>
                <w:rFonts w:hint="eastAsia" w:ascii="宋体" w:hAnsi="宋体" w:eastAsia="宋体" w:cs="宋体"/>
                <w:b/>
                <w:bCs w:val="0"/>
                <w:sz w:val="21"/>
                <w:szCs w:val="21"/>
              </w:rPr>
              <w:t>项目与“全市土壤风险防控总体管控要求”符合性分析一览表</w:t>
            </w:r>
          </w:p>
          <w:tbl>
            <w:tblPr>
              <w:tblStyle w:val="38"/>
              <w:tblW w:w="5000" w:type="pct"/>
              <w:jc w:val="center"/>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28" w:type="dxa"/>
                <w:bottom w:w="0" w:type="dxa"/>
                <w:right w:w="28" w:type="dxa"/>
              </w:tblCellMar>
            </w:tblPr>
            <w:tblGrid>
              <w:gridCol w:w="691"/>
              <w:gridCol w:w="4542"/>
              <w:gridCol w:w="1856"/>
              <w:gridCol w:w="581"/>
            </w:tblGrid>
            <w:tr w14:paraId="2F725A31">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28" w:type="dxa"/>
                  <w:bottom w:w="0" w:type="dxa"/>
                  <w:right w:w="28" w:type="dxa"/>
                </w:tblCellMar>
              </w:tblPrEx>
              <w:trPr>
                <w:trHeight w:val="20" w:hRule="atLeast"/>
                <w:jc w:val="center"/>
              </w:trPr>
              <w:tc>
                <w:tcPr>
                  <w:tcW w:w="450" w:type="pct"/>
                  <w:noWrap w:val="0"/>
                  <w:vAlign w:val="center"/>
                </w:tcPr>
                <w:p w14:paraId="1D0CC6D3">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管控维度</w:t>
                  </w:r>
                </w:p>
              </w:tc>
              <w:tc>
                <w:tcPr>
                  <w:tcW w:w="2960" w:type="pct"/>
                  <w:noWrap w:val="0"/>
                  <w:vAlign w:val="center"/>
                </w:tcPr>
                <w:p w14:paraId="11810D0E">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管控要求</w:t>
                  </w:r>
                </w:p>
              </w:tc>
              <w:tc>
                <w:tcPr>
                  <w:tcW w:w="1209" w:type="pct"/>
                  <w:noWrap w:val="0"/>
                  <w:vAlign w:val="center"/>
                </w:tcPr>
                <w:p w14:paraId="51363525">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本项目情况</w:t>
                  </w:r>
                </w:p>
              </w:tc>
              <w:tc>
                <w:tcPr>
                  <w:tcW w:w="378" w:type="pct"/>
                  <w:noWrap w:val="0"/>
                  <w:vAlign w:val="center"/>
                </w:tcPr>
                <w:p w14:paraId="3487A8D6">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符合性</w:t>
                  </w:r>
                </w:p>
              </w:tc>
            </w:tr>
            <w:tr w14:paraId="4BAE2BF5">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28" w:type="dxa"/>
                  <w:bottom w:w="0" w:type="dxa"/>
                  <w:right w:w="28" w:type="dxa"/>
                </w:tblCellMar>
              </w:tblPrEx>
              <w:trPr>
                <w:trHeight w:val="20" w:hRule="atLeast"/>
                <w:jc w:val="center"/>
              </w:trPr>
              <w:tc>
                <w:tcPr>
                  <w:tcW w:w="450" w:type="pct"/>
                  <w:noWrap w:val="0"/>
                  <w:vAlign w:val="center"/>
                </w:tcPr>
                <w:p w14:paraId="48227254">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环境目标</w:t>
                  </w:r>
                </w:p>
              </w:tc>
              <w:tc>
                <w:tcPr>
                  <w:tcW w:w="2960" w:type="pct"/>
                  <w:noWrap w:val="0"/>
                  <w:vAlign w:val="center"/>
                </w:tcPr>
                <w:p w14:paraId="1376392A">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2025年底前，受污染耕地安全利用率和受污染耕地管控措施覆盖率均为100%；重点建设用地安全利用得到有效保障，拟开发利用污染地块治理修复或风险管控目标达标率100%，暂不开发利用污染地块管控措施覆盖率100%。</w:t>
                  </w:r>
                </w:p>
              </w:tc>
              <w:tc>
                <w:tcPr>
                  <w:tcW w:w="1209" w:type="pct"/>
                  <w:noWrap w:val="0"/>
                  <w:vAlign w:val="center"/>
                </w:tcPr>
                <w:p w14:paraId="025A53C7">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项目位于</w:t>
                  </w:r>
                  <w:r>
                    <w:rPr>
                      <w:rFonts w:hint="default" w:ascii="Times New Roman" w:hAnsi="Times New Roman" w:eastAsia="宋体" w:cs="Times New Roman"/>
                      <w:kern w:val="0"/>
                      <w:sz w:val="21"/>
                      <w:szCs w:val="21"/>
                      <w:lang w:bidi="en-US"/>
                    </w:rPr>
                    <w:t>沧州临港经济技术开发区西区</w:t>
                  </w:r>
                  <w:r>
                    <w:rPr>
                      <w:rFonts w:hint="default" w:ascii="Times New Roman" w:hAnsi="Times New Roman" w:eastAsia="宋体" w:cs="Times New Roman"/>
                      <w:sz w:val="21"/>
                      <w:szCs w:val="21"/>
                    </w:rPr>
                    <w:t>，用地为工业用地，不占用耕地。</w:t>
                  </w:r>
                </w:p>
              </w:tc>
              <w:tc>
                <w:tcPr>
                  <w:tcW w:w="378" w:type="pct"/>
                  <w:noWrap w:val="0"/>
                  <w:vAlign w:val="center"/>
                </w:tcPr>
                <w:p w14:paraId="4A467B0C">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630B60F4">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28" w:type="dxa"/>
                  <w:bottom w:w="0" w:type="dxa"/>
                  <w:right w:w="28" w:type="dxa"/>
                </w:tblCellMar>
              </w:tblPrEx>
              <w:trPr>
                <w:trHeight w:val="20" w:hRule="atLeast"/>
                <w:jc w:val="center"/>
              </w:trPr>
              <w:tc>
                <w:tcPr>
                  <w:tcW w:w="450" w:type="pct"/>
                  <w:vMerge w:val="restart"/>
                  <w:noWrap w:val="0"/>
                  <w:vAlign w:val="center"/>
                </w:tcPr>
                <w:p w14:paraId="3B8C29BE">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空间布局约束</w:t>
                  </w:r>
                </w:p>
              </w:tc>
              <w:tc>
                <w:tcPr>
                  <w:tcW w:w="2960" w:type="pct"/>
                  <w:noWrap w:val="0"/>
                  <w:vAlign w:val="center"/>
                </w:tcPr>
                <w:p w14:paraId="36170F9B">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1.严格执行相关行业企业布局选址要求，禁止在居民区、学校、医疗和养老机构等周边新建有色金属冶炼、焦化等行业企业。</w:t>
                  </w:r>
                </w:p>
              </w:tc>
              <w:tc>
                <w:tcPr>
                  <w:tcW w:w="1209" w:type="pct"/>
                  <w:noWrap w:val="0"/>
                  <w:vAlign w:val="center"/>
                </w:tcPr>
                <w:p w14:paraId="6E27623B">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本项目</w:t>
                  </w:r>
                  <w:r>
                    <w:rPr>
                      <w:rFonts w:hint="default" w:ascii="Times New Roman" w:hAnsi="Times New Roman" w:eastAsia="宋体" w:cs="Times New Roman"/>
                      <w:kern w:val="0"/>
                      <w:sz w:val="21"/>
                      <w:szCs w:val="21"/>
                      <w:lang w:bidi="en-US"/>
                    </w:rPr>
                    <w:t>为</w:t>
                  </w:r>
                  <w:r>
                    <w:rPr>
                      <w:rFonts w:hint="eastAsia" w:cs="Times New Roman"/>
                      <w:sz w:val="21"/>
                      <w:szCs w:val="21"/>
                      <w:lang w:val="en-US" w:eastAsia="zh-CN"/>
                    </w:rPr>
                    <w:t>塑料零件及其他塑料制品制造行业</w:t>
                  </w:r>
                  <w:r>
                    <w:rPr>
                      <w:rFonts w:hint="eastAsia" w:ascii="Times New Roman" w:hAnsi="Times New Roman" w:eastAsia="宋体" w:cs="Times New Roman"/>
                      <w:sz w:val="21"/>
                      <w:szCs w:val="21"/>
                    </w:rPr>
                    <w:t>，</w:t>
                  </w:r>
                  <w:r>
                    <w:rPr>
                      <w:rFonts w:hint="eastAsia" w:ascii="Times New Roman" w:hAnsi="Times New Roman" w:eastAsia="宋体" w:cs="Times New Roman"/>
                      <w:sz w:val="21"/>
                      <w:szCs w:val="21"/>
                      <w:lang w:eastAsia="zh-CN"/>
                    </w:rPr>
                    <w:t>生产中药包装袋，属于医药配套产业</w:t>
                  </w:r>
                  <w:r>
                    <w:rPr>
                      <w:rFonts w:hint="default" w:ascii="Times New Roman" w:hAnsi="Times New Roman" w:eastAsia="宋体" w:cs="Times New Roman"/>
                      <w:sz w:val="21"/>
                      <w:szCs w:val="21"/>
                    </w:rPr>
                    <w:t>，不属于有色金属冶炼、焦化等行业。</w:t>
                  </w:r>
                </w:p>
              </w:tc>
              <w:tc>
                <w:tcPr>
                  <w:tcW w:w="378" w:type="pct"/>
                  <w:noWrap w:val="0"/>
                  <w:vAlign w:val="center"/>
                </w:tcPr>
                <w:p w14:paraId="374769D6">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31ED2784">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28" w:type="dxa"/>
                  <w:bottom w:w="0" w:type="dxa"/>
                  <w:right w:w="28" w:type="dxa"/>
                </w:tblCellMar>
              </w:tblPrEx>
              <w:trPr>
                <w:trHeight w:val="20" w:hRule="atLeast"/>
                <w:jc w:val="center"/>
              </w:trPr>
              <w:tc>
                <w:tcPr>
                  <w:tcW w:w="450" w:type="pct"/>
                  <w:vMerge w:val="continue"/>
                  <w:noWrap w:val="0"/>
                  <w:vAlign w:val="center"/>
                </w:tcPr>
                <w:p w14:paraId="401F0040">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2960" w:type="pct"/>
                  <w:noWrap w:val="0"/>
                  <w:vAlign w:val="center"/>
                </w:tcPr>
                <w:p w14:paraId="595F573D">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2.严格控制在优先保护类耕地集中区域新建有色金属冶炼、石油加工、化工、焦化、电镀、制革、制药、铅酸蓄电池行业企业。</w:t>
                  </w:r>
                </w:p>
              </w:tc>
              <w:tc>
                <w:tcPr>
                  <w:tcW w:w="1209" w:type="pct"/>
                  <w:noWrap w:val="0"/>
                  <w:vAlign w:val="center"/>
                </w:tcPr>
                <w:p w14:paraId="36673778">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不涉及</w:t>
                  </w:r>
                </w:p>
              </w:tc>
              <w:tc>
                <w:tcPr>
                  <w:tcW w:w="378" w:type="pct"/>
                  <w:noWrap w:val="0"/>
                  <w:vAlign w:val="center"/>
                </w:tcPr>
                <w:p w14:paraId="3BC743A3">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53BF4635">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28" w:type="dxa"/>
                  <w:bottom w:w="0" w:type="dxa"/>
                  <w:right w:w="28" w:type="dxa"/>
                </w:tblCellMar>
              </w:tblPrEx>
              <w:trPr>
                <w:trHeight w:val="20" w:hRule="atLeast"/>
                <w:jc w:val="center"/>
              </w:trPr>
              <w:tc>
                <w:tcPr>
                  <w:tcW w:w="450" w:type="pct"/>
                  <w:vMerge w:val="continue"/>
                  <w:noWrap w:val="0"/>
                  <w:vAlign w:val="center"/>
                </w:tcPr>
                <w:p w14:paraId="1532AABC">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2960" w:type="pct"/>
                  <w:noWrap w:val="0"/>
                  <w:vAlign w:val="center"/>
                </w:tcPr>
                <w:p w14:paraId="2CC9A0EC">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napToGrid w:val="0"/>
                      <w:sz w:val="21"/>
                      <w:szCs w:val="21"/>
                    </w:rPr>
                  </w:pPr>
                  <w:r>
                    <w:rPr>
                      <w:rFonts w:hint="default" w:ascii="Times New Roman" w:hAnsi="Times New Roman" w:eastAsia="宋体" w:cs="Times New Roman"/>
                      <w:sz w:val="21"/>
                      <w:szCs w:val="21"/>
                    </w:rPr>
                    <w:t>3.结合区域功能定位和土壤污染防治需要，科学布局城乡生活垃圾处理、危险废物处置、废旧资源再生利用等设施和场所，合理确定畜禽养殖布局和规模。</w:t>
                  </w:r>
                </w:p>
              </w:tc>
              <w:tc>
                <w:tcPr>
                  <w:tcW w:w="1209" w:type="pct"/>
                  <w:noWrap w:val="0"/>
                  <w:vAlign w:val="center"/>
                </w:tcPr>
                <w:p w14:paraId="6839D630">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napToGrid w:val="0"/>
                      <w:sz w:val="21"/>
                      <w:szCs w:val="21"/>
                    </w:rPr>
                  </w:pPr>
                  <w:r>
                    <w:rPr>
                      <w:rFonts w:hint="default" w:ascii="Times New Roman" w:hAnsi="Times New Roman" w:eastAsia="宋体" w:cs="Times New Roman"/>
                      <w:color w:val="auto"/>
                      <w:sz w:val="21"/>
                      <w:szCs w:val="21"/>
                    </w:rPr>
                    <w:t>本项目位于</w:t>
                  </w:r>
                  <w:r>
                    <w:rPr>
                      <w:rFonts w:hint="default" w:ascii="Times New Roman" w:hAnsi="Times New Roman" w:eastAsia="宋体" w:cs="Times New Roman"/>
                      <w:color w:val="auto"/>
                      <w:kern w:val="0"/>
                      <w:sz w:val="21"/>
                      <w:szCs w:val="21"/>
                      <w:lang w:bidi="en-US"/>
                    </w:rPr>
                    <w:t>沧州临港经济技术开发区西区</w:t>
                  </w:r>
                  <w:r>
                    <w:rPr>
                      <w:rFonts w:hint="default" w:ascii="Times New Roman" w:hAnsi="Times New Roman" w:eastAsia="宋体" w:cs="Times New Roman"/>
                      <w:color w:val="auto"/>
                      <w:sz w:val="21"/>
                      <w:szCs w:val="21"/>
                    </w:rPr>
                    <w:t>，用地为工业用地，在企业现有厂区内建设</w:t>
                  </w:r>
                  <w:r>
                    <w:rPr>
                      <w:rFonts w:hint="eastAsia"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Cs w:val="21"/>
                      <w:lang w:val="en-US" w:eastAsia="zh-CN"/>
                    </w:rPr>
                    <w:t>危废间建设符合相关防渗要求</w:t>
                  </w:r>
                  <w:r>
                    <w:rPr>
                      <w:rFonts w:hint="default" w:ascii="Times New Roman" w:hAnsi="Times New Roman" w:eastAsia="宋体" w:cs="Times New Roman"/>
                      <w:color w:val="auto"/>
                      <w:sz w:val="21"/>
                      <w:szCs w:val="21"/>
                    </w:rPr>
                    <w:t>。</w:t>
                  </w:r>
                </w:p>
              </w:tc>
              <w:tc>
                <w:tcPr>
                  <w:tcW w:w="378" w:type="pct"/>
                  <w:noWrap w:val="0"/>
                  <w:vAlign w:val="center"/>
                </w:tcPr>
                <w:p w14:paraId="55292670">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napToGrid w:val="0"/>
                      <w:sz w:val="21"/>
                      <w:szCs w:val="21"/>
                    </w:rPr>
                  </w:pPr>
                  <w:r>
                    <w:rPr>
                      <w:rFonts w:hint="default" w:ascii="Times New Roman" w:hAnsi="Times New Roman" w:eastAsia="宋体" w:cs="Times New Roman"/>
                      <w:sz w:val="21"/>
                      <w:szCs w:val="21"/>
                    </w:rPr>
                    <w:t>符合</w:t>
                  </w:r>
                </w:p>
              </w:tc>
            </w:tr>
            <w:tr w14:paraId="78B7B9DF">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28" w:type="dxa"/>
                  <w:bottom w:w="0" w:type="dxa"/>
                  <w:right w:w="28" w:type="dxa"/>
                </w:tblCellMar>
              </w:tblPrEx>
              <w:trPr>
                <w:trHeight w:val="20" w:hRule="atLeast"/>
                <w:jc w:val="center"/>
              </w:trPr>
              <w:tc>
                <w:tcPr>
                  <w:tcW w:w="450" w:type="pct"/>
                  <w:vMerge w:val="continue"/>
                  <w:noWrap w:val="0"/>
                  <w:vAlign w:val="center"/>
                </w:tcPr>
                <w:p w14:paraId="213AA9AD">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2960" w:type="pct"/>
                  <w:noWrap w:val="0"/>
                  <w:vAlign w:val="center"/>
                </w:tcPr>
                <w:p w14:paraId="2384667D">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napToGrid w:val="0"/>
                      <w:sz w:val="21"/>
                      <w:szCs w:val="21"/>
                    </w:rPr>
                  </w:pPr>
                  <w:r>
                    <w:rPr>
                      <w:rFonts w:hint="default" w:ascii="Times New Roman" w:hAnsi="Times New Roman" w:eastAsia="宋体" w:cs="Times New Roman"/>
                      <w:sz w:val="21"/>
                      <w:szCs w:val="21"/>
                    </w:rPr>
                    <w:t>4.优化重点行业企业布局。新建、扩建涉重金属企业必须</w:t>
                  </w:r>
                  <w:r>
                    <w:rPr>
                      <w:rFonts w:hint="eastAsia" w:ascii="Times New Roman" w:hAnsi="Times New Roman" w:eastAsia="宋体" w:cs="Times New Roman"/>
                      <w:sz w:val="21"/>
                      <w:szCs w:val="21"/>
                      <w:lang w:eastAsia="zh-CN"/>
                    </w:rPr>
                    <w:t>“</w:t>
                  </w:r>
                  <w:r>
                    <w:rPr>
                      <w:rFonts w:hint="default" w:ascii="Times New Roman" w:hAnsi="Times New Roman" w:eastAsia="宋体" w:cs="Times New Roman"/>
                      <w:sz w:val="21"/>
                      <w:szCs w:val="21"/>
                    </w:rPr>
                    <w:t>入园进区</w:t>
                  </w:r>
                  <w:r>
                    <w:rPr>
                      <w:rFonts w:hint="eastAsia" w:ascii="Times New Roman" w:hAnsi="Times New Roman" w:eastAsia="宋体" w:cs="Times New Roman"/>
                      <w:sz w:val="21"/>
                      <w:szCs w:val="21"/>
                      <w:lang w:eastAsia="zh-CN"/>
                    </w:rPr>
                    <w:t>”</w:t>
                  </w:r>
                  <w:r>
                    <w:rPr>
                      <w:rFonts w:hint="default" w:ascii="Times New Roman" w:hAnsi="Times New Roman" w:eastAsia="宋体" w:cs="Times New Roman"/>
                      <w:sz w:val="21"/>
                      <w:szCs w:val="21"/>
                    </w:rPr>
                    <w:t>。对已经进入市政污水收集处理设施的涉重金属工业企业进行排查、评估，经评估认定重金属污染物不能被城镇污水处理厂有效处理或可能影响城镇污水处理厂出水稳定达标的，要限期退出市政管网，向园区集聚。鼓励现有铅蓄电池制造业、电镀行业等涉重金属企业入园进区，禁止新建用汞的电石法（聚）氯乙烯生产工艺。加快推进泊头市、南皮县等地专业电镀企业入园进区，鼓励电镀行业密集区域建立电镀园区，实现污水、污泥集中有效治理。到2025年，各县（市、区）专业电镀企业入园率达到75%以上。</w:t>
                  </w:r>
                </w:p>
              </w:tc>
              <w:tc>
                <w:tcPr>
                  <w:tcW w:w="1209" w:type="pct"/>
                  <w:noWrap w:val="0"/>
                  <w:vAlign w:val="center"/>
                </w:tcPr>
                <w:p w14:paraId="121F9E1C">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napToGrid w:val="0"/>
                      <w:sz w:val="21"/>
                      <w:szCs w:val="21"/>
                    </w:rPr>
                  </w:pPr>
                  <w:r>
                    <w:rPr>
                      <w:rFonts w:hint="default" w:ascii="Times New Roman" w:hAnsi="Times New Roman" w:eastAsia="宋体" w:cs="Times New Roman"/>
                      <w:sz w:val="21"/>
                      <w:szCs w:val="21"/>
                    </w:rPr>
                    <w:t>本项目</w:t>
                  </w:r>
                  <w:r>
                    <w:rPr>
                      <w:rFonts w:hint="default" w:ascii="Times New Roman" w:hAnsi="Times New Roman" w:eastAsia="宋体" w:cs="Times New Roman"/>
                      <w:kern w:val="0"/>
                      <w:sz w:val="21"/>
                      <w:szCs w:val="21"/>
                      <w:lang w:bidi="en-US"/>
                    </w:rPr>
                    <w:t>为</w:t>
                  </w:r>
                  <w:r>
                    <w:rPr>
                      <w:rFonts w:hint="eastAsia" w:cs="Times New Roman"/>
                      <w:sz w:val="21"/>
                      <w:szCs w:val="21"/>
                      <w:lang w:val="en-US" w:eastAsia="zh-CN"/>
                    </w:rPr>
                    <w:t>塑料零件及其他塑料制品制造行业</w:t>
                  </w:r>
                  <w:r>
                    <w:rPr>
                      <w:rFonts w:hint="eastAsia" w:ascii="Times New Roman" w:hAnsi="Times New Roman" w:eastAsia="宋体" w:cs="Times New Roman"/>
                      <w:sz w:val="21"/>
                      <w:szCs w:val="21"/>
                    </w:rPr>
                    <w:t>，</w:t>
                  </w:r>
                  <w:r>
                    <w:rPr>
                      <w:rFonts w:hint="default" w:ascii="Times New Roman" w:hAnsi="Times New Roman" w:eastAsia="宋体" w:cs="Times New Roman"/>
                      <w:sz w:val="21"/>
                      <w:szCs w:val="21"/>
                    </w:rPr>
                    <w:t>不涉及重金属，项目位于</w:t>
                  </w:r>
                  <w:r>
                    <w:rPr>
                      <w:rFonts w:hint="default" w:ascii="Times New Roman" w:hAnsi="Times New Roman" w:eastAsia="宋体" w:cs="Times New Roman"/>
                      <w:kern w:val="0"/>
                      <w:sz w:val="21"/>
                      <w:szCs w:val="21"/>
                      <w:lang w:bidi="en-US"/>
                    </w:rPr>
                    <w:t>沧州临港经济技术开发区西区</w:t>
                  </w:r>
                  <w:r>
                    <w:rPr>
                      <w:rFonts w:hint="default" w:ascii="Times New Roman" w:hAnsi="Times New Roman" w:eastAsia="宋体" w:cs="Times New Roman"/>
                      <w:sz w:val="21"/>
                      <w:szCs w:val="21"/>
                    </w:rPr>
                    <w:t>。</w:t>
                  </w:r>
                </w:p>
              </w:tc>
              <w:tc>
                <w:tcPr>
                  <w:tcW w:w="378" w:type="pct"/>
                  <w:noWrap w:val="0"/>
                  <w:vAlign w:val="center"/>
                </w:tcPr>
                <w:p w14:paraId="1554A4F0">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napToGrid w:val="0"/>
                      <w:sz w:val="21"/>
                      <w:szCs w:val="21"/>
                    </w:rPr>
                  </w:pPr>
                  <w:r>
                    <w:rPr>
                      <w:rFonts w:hint="default" w:ascii="Times New Roman" w:hAnsi="Times New Roman" w:eastAsia="宋体" w:cs="Times New Roman"/>
                      <w:sz w:val="21"/>
                      <w:szCs w:val="21"/>
                    </w:rPr>
                    <w:t>符合</w:t>
                  </w:r>
                </w:p>
              </w:tc>
            </w:tr>
            <w:tr w14:paraId="17382C69">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28" w:type="dxa"/>
                  <w:bottom w:w="0" w:type="dxa"/>
                  <w:right w:w="28" w:type="dxa"/>
                </w:tblCellMar>
              </w:tblPrEx>
              <w:trPr>
                <w:trHeight w:val="20" w:hRule="atLeast"/>
                <w:jc w:val="center"/>
              </w:trPr>
              <w:tc>
                <w:tcPr>
                  <w:tcW w:w="450" w:type="pct"/>
                  <w:vMerge w:val="continue"/>
                  <w:noWrap w:val="0"/>
                  <w:vAlign w:val="center"/>
                </w:tcPr>
                <w:p w14:paraId="11392461">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2960" w:type="pct"/>
                  <w:noWrap w:val="0"/>
                  <w:vAlign w:val="center"/>
                </w:tcPr>
                <w:p w14:paraId="43EBCEB2">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5.永久基本农田集中区域禁止新建可能造成土壤污染的建设项目。污染地块再开发利用，严格落实规划用途及相应的土壤环境质量要求，科学设定成片污染地块及周边土地开发时序。</w:t>
                  </w:r>
                </w:p>
              </w:tc>
              <w:tc>
                <w:tcPr>
                  <w:tcW w:w="1209" w:type="pct"/>
                  <w:noWrap w:val="0"/>
                  <w:vAlign w:val="center"/>
                </w:tcPr>
                <w:p w14:paraId="3BE61CAC">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不涉及</w:t>
                  </w:r>
                </w:p>
              </w:tc>
              <w:tc>
                <w:tcPr>
                  <w:tcW w:w="378" w:type="pct"/>
                  <w:noWrap w:val="0"/>
                  <w:vAlign w:val="center"/>
                </w:tcPr>
                <w:p w14:paraId="48B26261">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4AEE88B4">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28" w:type="dxa"/>
                  <w:bottom w:w="0" w:type="dxa"/>
                  <w:right w:w="28" w:type="dxa"/>
                </w:tblCellMar>
              </w:tblPrEx>
              <w:trPr>
                <w:trHeight w:val="20" w:hRule="atLeast"/>
                <w:jc w:val="center"/>
              </w:trPr>
              <w:tc>
                <w:tcPr>
                  <w:tcW w:w="450" w:type="pct"/>
                  <w:vMerge w:val="restart"/>
                  <w:noWrap w:val="0"/>
                  <w:vAlign w:val="center"/>
                </w:tcPr>
                <w:p w14:paraId="5B6806BE">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污染物排放管控</w:t>
                  </w:r>
                </w:p>
              </w:tc>
              <w:tc>
                <w:tcPr>
                  <w:tcW w:w="2960" w:type="pct"/>
                  <w:noWrap w:val="0"/>
                  <w:vAlign w:val="center"/>
                </w:tcPr>
                <w:p w14:paraId="3F8C50D6">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1.新、改、扩建涉重金属重点行业建设项目必须遵循重点重金属污染物排放</w:t>
                  </w:r>
                  <w:r>
                    <w:rPr>
                      <w:rFonts w:hint="eastAsia" w:ascii="Times New Roman" w:hAnsi="Times New Roman" w:eastAsia="宋体" w:cs="Times New Roman"/>
                      <w:sz w:val="21"/>
                      <w:szCs w:val="21"/>
                      <w:lang w:eastAsia="zh-CN"/>
                    </w:rPr>
                    <w:t>“</w:t>
                  </w:r>
                  <w:r>
                    <w:rPr>
                      <w:rFonts w:hint="default" w:ascii="Times New Roman" w:hAnsi="Times New Roman" w:eastAsia="宋体" w:cs="Times New Roman"/>
                      <w:sz w:val="21"/>
                      <w:szCs w:val="21"/>
                    </w:rPr>
                    <w:t>减量置换</w:t>
                  </w:r>
                  <w:r>
                    <w:rPr>
                      <w:rFonts w:hint="eastAsia" w:ascii="Times New Roman" w:hAnsi="Times New Roman" w:eastAsia="宋体" w:cs="Times New Roman"/>
                      <w:sz w:val="21"/>
                      <w:szCs w:val="21"/>
                      <w:lang w:eastAsia="zh-CN"/>
                    </w:rPr>
                    <w:t>”</w:t>
                  </w:r>
                  <w:r>
                    <w:rPr>
                      <w:rFonts w:hint="default" w:ascii="Times New Roman" w:hAnsi="Times New Roman" w:eastAsia="宋体" w:cs="Times New Roman"/>
                      <w:sz w:val="21"/>
                      <w:szCs w:val="21"/>
                    </w:rPr>
                    <w:t>或</w:t>
                  </w:r>
                  <w:r>
                    <w:rPr>
                      <w:rFonts w:hint="eastAsia" w:ascii="Times New Roman" w:hAnsi="Times New Roman" w:eastAsia="宋体" w:cs="Times New Roman"/>
                      <w:sz w:val="21"/>
                      <w:szCs w:val="21"/>
                      <w:lang w:eastAsia="zh-CN"/>
                    </w:rPr>
                    <w:t>“</w:t>
                  </w:r>
                  <w:r>
                    <w:rPr>
                      <w:rFonts w:hint="default" w:ascii="Times New Roman" w:hAnsi="Times New Roman" w:eastAsia="宋体" w:cs="Times New Roman"/>
                      <w:sz w:val="21"/>
                      <w:szCs w:val="21"/>
                    </w:rPr>
                    <w:t>等量替换</w:t>
                  </w:r>
                  <w:r>
                    <w:rPr>
                      <w:rFonts w:hint="eastAsia" w:ascii="Times New Roman" w:hAnsi="Times New Roman" w:eastAsia="宋体" w:cs="Times New Roman"/>
                      <w:sz w:val="21"/>
                      <w:szCs w:val="21"/>
                      <w:lang w:eastAsia="zh-CN"/>
                    </w:rPr>
                    <w:t>”</w:t>
                  </w:r>
                  <w:r>
                    <w:rPr>
                      <w:rFonts w:hint="default" w:ascii="Times New Roman" w:hAnsi="Times New Roman" w:eastAsia="宋体" w:cs="Times New Roman"/>
                      <w:sz w:val="21"/>
                      <w:szCs w:val="21"/>
                    </w:rPr>
                    <w:t>的原则，应在本行政区域内有明确具体的重金属污染物排放总量来源。</w:t>
                  </w:r>
                </w:p>
              </w:tc>
              <w:tc>
                <w:tcPr>
                  <w:tcW w:w="1209" w:type="pct"/>
                  <w:noWrap w:val="0"/>
                  <w:vAlign w:val="center"/>
                </w:tcPr>
                <w:p w14:paraId="668C1F75">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both"/>
                    <w:textAlignment w:val="auto"/>
                    <w:rPr>
                      <w:rFonts w:hint="eastAsia" w:ascii="Times New Roman" w:hAnsi="Times New Roman" w:eastAsia="宋体" w:cs="Times New Roman"/>
                      <w:sz w:val="21"/>
                      <w:szCs w:val="21"/>
                      <w:lang w:eastAsia="zh-CN"/>
                    </w:rPr>
                  </w:pPr>
                  <w:r>
                    <w:rPr>
                      <w:rFonts w:hint="default" w:ascii="Times New Roman" w:hAnsi="Times New Roman" w:eastAsia="宋体" w:cs="Times New Roman"/>
                      <w:sz w:val="21"/>
                      <w:szCs w:val="21"/>
                    </w:rPr>
                    <w:t>本项目</w:t>
                  </w:r>
                  <w:r>
                    <w:rPr>
                      <w:rFonts w:hint="default" w:ascii="Times New Roman" w:hAnsi="Times New Roman" w:eastAsia="宋体" w:cs="Times New Roman"/>
                      <w:kern w:val="0"/>
                      <w:sz w:val="21"/>
                      <w:szCs w:val="21"/>
                      <w:lang w:bidi="en-US"/>
                    </w:rPr>
                    <w:t>为</w:t>
                  </w:r>
                  <w:r>
                    <w:rPr>
                      <w:rFonts w:hint="eastAsia" w:cs="Times New Roman"/>
                      <w:sz w:val="21"/>
                      <w:szCs w:val="21"/>
                      <w:lang w:val="en-US" w:eastAsia="zh-CN"/>
                    </w:rPr>
                    <w:t>塑料零件及其他塑料制品制造行业</w:t>
                  </w:r>
                  <w:r>
                    <w:rPr>
                      <w:rFonts w:hint="eastAsia" w:ascii="Times New Roman" w:hAnsi="Times New Roman" w:eastAsia="宋体" w:cs="Times New Roman"/>
                      <w:sz w:val="21"/>
                      <w:szCs w:val="21"/>
                    </w:rPr>
                    <w:t>，</w:t>
                  </w:r>
                  <w:r>
                    <w:rPr>
                      <w:rFonts w:hint="default" w:ascii="Times New Roman" w:hAnsi="Times New Roman" w:eastAsia="宋体" w:cs="Times New Roman"/>
                      <w:sz w:val="21"/>
                      <w:szCs w:val="21"/>
                    </w:rPr>
                    <w:t>不涉及重金属</w:t>
                  </w:r>
                  <w:r>
                    <w:rPr>
                      <w:rFonts w:hint="eastAsia" w:ascii="Times New Roman" w:hAnsi="Times New Roman" w:eastAsia="宋体" w:cs="Times New Roman"/>
                      <w:sz w:val="21"/>
                      <w:szCs w:val="21"/>
                      <w:lang w:eastAsia="zh-CN"/>
                    </w:rPr>
                    <w:t>。</w:t>
                  </w:r>
                </w:p>
              </w:tc>
              <w:tc>
                <w:tcPr>
                  <w:tcW w:w="378" w:type="pct"/>
                  <w:noWrap w:val="0"/>
                  <w:vAlign w:val="center"/>
                </w:tcPr>
                <w:p w14:paraId="4AFCCE45">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0AC92F5B">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28" w:type="dxa"/>
                  <w:bottom w:w="0" w:type="dxa"/>
                  <w:right w:w="28" w:type="dxa"/>
                </w:tblCellMar>
              </w:tblPrEx>
              <w:trPr>
                <w:trHeight w:val="20" w:hRule="atLeast"/>
                <w:jc w:val="center"/>
              </w:trPr>
              <w:tc>
                <w:tcPr>
                  <w:tcW w:w="450" w:type="pct"/>
                  <w:vMerge w:val="continue"/>
                  <w:noWrap w:val="0"/>
                  <w:vAlign w:val="center"/>
                </w:tcPr>
                <w:p w14:paraId="47637DE9">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2960" w:type="pct"/>
                  <w:noWrap w:val="0"/>
                  <w:vAlign w:val="center"/>
                </w:tcPr>
                <w:p w14:paraId="1C21AD7C">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2.严禁将污泥直接用作肥料，禁止不达标污泥就地堆放，结合污泥处理设施升级改造，逐步取消原生污泥简易填埋等不符合环保要求的处置方式。鼓励利用水泥厂等工业窑炉，开展污泥协同焚烧处置。</w:t>
                  </w:r>
                </w:p>
              </w:tc>
              <w:tc>
                <w:tcPr>
                  <w:tcW w:w="1209" w:type="pct"/>
                  <w:noWrap w:val="0"/>
                  <w:vAlign w:val="center"/>
                </w:tcPr>
                <w:p w14:paraId="2163716E">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不涉及</w:t>
                  </w:r>
                </w:p>
              </w:tc>
              <w:tc>
                <w:tcPr>
                  <w:tcW w:w="378" w:type="pct"/>
                  <w:noWrap w:val="0"/>
                  <w:vAlign w:val="center"/>
                </w:tcPr>
                <w:p w14:paraId="4BF72FDB">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19F3F1F3">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28" w:type="dxa"/>
                  <w:bottom w:w="0" w:type="dxa"/>
                  <w:right w:w="28" w:type="dxa"/>
                </w:tblCellMar>
              </w:tblPrEx>
              <w:trPr>
                <w:trHeight w:val="20" w:hRule="atLeast"/>
                <w:jc w:val="center"/>
              </w:trPr>
              <w:tc>
                <w:tcPr>
                  <w:tcW w:w="450" w:type="pct"/>
                  <w:vMerge w:val="continue"/>
                  <w:noWrap w:val="0"/>
                  <w:vAlign w:val="center"/>
                </w:tcPr>
                <w:p w14:paraId="6062965F">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2960" w:type="pct"/>
                  <w:noWrap w:val="0"/>
                  <w:vAlign w:val="center"/>
                </w:tcPr>
                <w:p w14:paraId="4D8E6E61">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3.沧州市主城区建设完成符合要求的城市生活垃圾、餐厨垃圾、建筑垃圾、城市粪便处理设施，城市生活垃圾无害化处理率达到98%以上；县城生活垃圾无害化处理率达到95%以上。</w:t>
                  </w:r>
                </w:p>
              </w:tc>
              <w:tc>
                <w:tcPr>
                  <w:tcW w:w="1209" w:type="pct"/>
                  <w:noWrap w:val="0"/>
                  <w:vAlign w:val="center"/>
                </w:tcPr>
                <w:p w14:paraId="79AEDCE8">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不涉及</w:t>
                  </w:r>
                </w:p>
              </w:tc>
              <w:tc>
                <w:tcPr>
                  <w:tcW w:w="378" w:type="pct"/>
                  <w:noWrap w:val="0"/>
                  <w:vAlign w:val="center"/>
                </w:tcPr>
                <w:p w14:paraId="5DFED158">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22771E62">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28" w:type="dxa"/>
                  <w:bottom w:w="0" w:type="dxa"/>
                  <w:right w:w="28" w:type="dxa"/>
                </w:tblCellMar>
              </w:tblPrEx>
              <w:trPr>
                <w:trHeight w:val="20" w:hRule="atLeast"/>
                <w:jc w:val="center"/>
              </w:trPr>
              <w:tc>
                <w:tcPr>
                  <w:tcW w:w="450" w:type="pct"/>
                  <w:vMerge w:val="continue"/>
                  <w:noWrap w:val="0"/>
                  <w:vAlign w:val="center"/>
                </w:tcPr>
                <w:p w14:paraId="157A400A">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2960" w:type="pct"/>
                  <w:noWrap w:val="0"/>
                  <w:vAlign w:val="center"/>
                </w:tcPr>
                <w:p w14:paraId="1E0BD160">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有色金属冶炼、石油加工、化工、焦化、电镀、制革、制药、铅酸蓄电池等行业企业在拆除前，要制定原生产设施设备、构筑物和污染治理设施中残留污染物清理和安全处置方案，出具符合国家标准要求的监测报告，报所在地县级环保、工业和信息化部门备案，并储备必要的应急装备和物资，待生产设施拆除完毕方可拆除污染防治设施。拆除过程中产生的废水、废气、废渣和拆除物，须按照有关规定安全处理处置。</w:t>
                  </w:r>
                </w:p>
              </w:tc>
              <w:tc>
                <w:tcPr>
                  <w:tcW w:w="1209" w:type="pct"/>
                  <w:noWrap w:val="0"/>
                  <w:vAlign w:val="center"/>
                </w:tcPr>
                <w:p w14:paraId="2F8663EC">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不涉及</w:t>
                  </w:r>
                </w:p>
              </w:tc>
              <w:tc>
                <w:tcPr>
                  <w:tcW w:w="378" w:type="pct"/>
                  <w:noWrap w:val="0"/>
                  <w:vAlign w:val="center"/>
                </w:tcPr>
                <w:p w14:paraId="302C6C42">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1E013125">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28" w:type="dxa"/>
                  <w:bottom w:w="0" w:type="dxa"/>
                  <w:right w:w="28" w:type="dxa"/>
                </w:tblCellMar>
              </w:tblPrEx>
              <w:trPr>
                <w:trHeight w:val="20" w:hRule="atLeast"/>
                <w:jc w:val="center"/>
              </w:trPr>
              <w:tc>
                <w:tcPr>
                  <w:tcW w:w="450" w:type="pct"/>
                  <w:vMerge w:val="continue"/>
                  <w:noWrap w:val="0"/>
                  <w:vAlign w:val="center"/>
                </w:tcPr>
                <w:p w14:paraId="13C1A2A3">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2960" w:type="pct"/>
                  <w:noWrap w:val="0"/>
                  <w:vAlign w:val="center"/>
                </w:tcPr>
                <w:p w14:paraId="52E09BA3">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5.到2025年，农膜基本实现全回收，秸秆基本实现全面综合利用。到2025年，规模化畜禽养殖场全部配套粪污处理设施，畜禽粪污综合利用率达到85%以上。</w:t>
                  </w:r>
                </w:p>
              </w:tc>
              <w:tc>
                <w:tcPr>
                  <w:tcW w:w="1209" w:type="pct"/>
                  <w:noWrap w:val="0"/>
                  <w:vAlign w:val="center"/>
                </w:tcPr>
                <w:p w14:paraId="288A11C0">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不涉及</w:t>
                  </w:r>
                </w:p>
              </w:tc>
              <w:tc>
                <w:tcPr>
                  <w:tcW w:w="378" w:type="pct"/>
                  <w:noWrap w:val="0"/>
                  <w:vAlign w:val="center"/>
                </w:tcPr>
                <w:p w14:paraId="5632CA55">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5B2FAA15">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28" w:type="dxa"/>
                  <w:bottom w:w="0" w:type="dxa"/>
                  <w:right w:w="28" w:type="dxa"/>
                </w:tblCellMar>
              </w:tblPrEx>
              <w:trPr>
                <w:trHeight w:val="20" w:hRule="atLeast"/>
                <w:jc w:val="center"/>
              </w:trPr>
              <w:tc>
                <w:tcPr>
                  <w:tcW w:w="450" w:type="pct"/>
                  <w:vMerge w:val="continue"/>
                  <w:noWrap w:val="0"/>
                  <w:vAlign w:val="center"/>
                </w:tcPr>
                <w:p w14:paraId="5F2AA835">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2960" w:type="pct"/>
                  <w:noWrap w:val="0"/>
                  <w:vAlign w:val="center"/>
                </w:tcPr>
                <w:p w14:paraId="76AFAE76">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6.严格落实总量控制制度，减少重金属污染物排放。重点行业企业重金属污染物排放总量原则上应来源于同一重点行业企业，当同一重点行业内企业削减量无法满足时可从其他重点行业调剂。</w:t>
                  </w:r>
                </w:p>
              </w:tc>
              <w:tc>
                <w:tcPr>
                  <w:tcW w:w="1209" w:type="pct"/>
                  <w:noWrap w:val="0"/>
                  <w:vAlign w:val="center"/>
                </w:tcPr>
                <w:p w14:paraId="62E29F66">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不涉及</w:t>
                  </w:r>
                </w:p>
              </w:tc>
              <w:tc>
                <w:tcPr>
                  <w:tcW w:w="378" w:type="pct"/>
                  <w:noWrap w:val="0"/>
                  <w:vAlign w:val="center"/>
                </w:tcPr>
                <w:p w14:paraId="0EB5DC23">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42288DAC">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28" w:type="dxa"/>
                  <w:bottom w:w="0" w:type="dxa"/>
                  <w:right w:w="28" w:type="dxa"/>
                </w:tblCellMar>
              </w:tblPrEx>
              <w:trPr>
                <w:trHeight w:val="20" w:hRule="atLeast"/>
                <w:jc w:val="center"/>
              </w:trPr>
              <w:tc>
                <w:tcPr>
                  <w:tcW w:w="450" w:type="pct"/>
                  <w:vMerge w:val="continue"/>
                  <w:noWrap w:val="0"/>
                  <w:vAlign w:val="center"/>
                </w:tcPr>
                <w:p w14:paraId="1DD3B077">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2960" w:type="pct"/>
                  <w:noWrap w:val="0"/>
                  <w:vAlign w:val="center"/>
                </w:tcPr>
                <w:p w14:paraId="7DEDFAE1">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严格危险废物经营许可审批，加强危险废物处置单位规范化管理核查。统筹区域危险废物利用处置能力建设，加快补齐利用处置设施短板。积极推进重点监管源智能监控体系建设，加大危险废物产生、贮存、转运、利用、处置全流程监管力度。规范和完善医疗废物分类收集处置体系，全市医疗废物集中收集和集中处置率达到100%。</w:t>
                  </w:r>
                </w:p>
              </w:tc>
              <w:tc>
                <w:tcPr>
                  <w:tcW w:w="1209" w:type="pct"/>
                  <w:noWrap w:val="0"/>
                  <w:vAlign w:val="center"/>
                </w:tcPr>
                <w:p w14:paraId="532245CC">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本项目危险废物交资质单位处置，危险废物处置率达100%。</w:t>
                  </w:r>
                </w:p>
              </w:tc>
              <w:tc>
                <w:tcPr>
                  <w:tcW w:w="378" w:type="pct"/>
                  <w:noWrap w:val="0"/>
                  <w:vAlign w:val="center"/>
                </w:tcPr>
                <w:p w14:paraId="1404EADE">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37CC598F">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28" w:type="dxa"/>
                  <w:bottom w:w="0" w:type="dxa"/>
                  <w:right w:w="28" w:type="dxa"/>
                </w:tblCellMar>
              </w:tblPrEx>
              <w:trPr>
                <w:trHeight w:val="20" w:hRule="atLeast"/>
                <w:jc w:val="center"/>
              </w:trPr>
              <w:tc>
                <w:tcPr>
                  <w:tcW w:w="450" w:type="pct"/>
                  <w:vMerge w:val="continue"/>
                  <w:noWrap w:val="0"/>
                  <w:vAlign w:val="center"/>
                </w:tcPr>
                <w:p w14:paraId="2FA19561">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2960" w:type="pct"/>
                  <w:noWrap w:val="0"/>
                  <w:vAlign w:val="center"/>
                </w:tcPr>
                <w:p w14:paraId="644A0DF1">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8.对城镇人口密集区危险化学品生产企业搬迁改造，督促指导搬迁改造企业在拆除设计有毒有害物质的生产设施设备、构筑物和污染治理设施时，按照有关规定，事先制定拆除活动污染防治方案，并严格按规定实施残留物料和污染物、污染设备和设施的安全处理处置，防范拆除火电污染土壤，增加后续治理修复成本和难度。</w:t>
                  </w:r>
                </w:p>
              </w:tc>
              <w:tc>
                <w:tcPr>
                  <w:tcW w:w="1209" w:type="pct"/>
                  <w:noWrap w:val="0"/>
                  <w:vAlign w:val="center"/>
                </w:tcPr>
                <w:p w14:paraId="58315D75">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both"/>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本项目位于临港经济技术开发区西区，不属于城镇人口密集区。</w:t>
                  </w:r>
                </w:p>
              </w:tc>
              <w:tc>
                <w:tcPr>
                  <w:tcW w:w="378" w:type="pct"/>
                  <w:noWrap w:val="0"/>
                  <w:vAlign w:val="center"/>
                </w:tcPr>
                <w:p w14:paraId="397E44FB">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641EA390">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28" w:type="dxa"/>
                  <w:bottom w:w="0" w:type="dxa"/>
                  <w:right w:w="28" w:type="dxa"/>
                </w:tblCellMar>
              </w:tblPrEx>
              <w:trPr>
                <w:trHeight w:val="20" w:hRule="atLeast"/>
                <w:jc w:val="center"/>
              </w:trPr>
              <w:tc>
                <w:tcPr>
                  <w:tcW w:w="450" w:type="pct"/>
                  <w:vMerge w:val="continue"/>
                  <w:noWrap w:val="0"/>
                  <w:vAlign w:val="center"/>
                </w:tcPr>
                <w:p w14:paraId="67419A34">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2960" w:type="pct"/>
                  <w:noWrap w:val="0"/>
                  <w:vAlign w:val="center"/>
                </w:tcPr>
                <w:p w14:paraId="54A81CDA">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9.石油开采和加工企业实施清洁生产审核，定期巡检含油污泥或含油岩屑的收集、贮存设施，防止含油污泥或含油岩屑外溢。加强对油田矿产资源开采活动影响区域内未利用地的环境监管，发现土壤污染问题的，责令有关企业及时采取防治措施。</w:t>
                  </w:r>
                </w:p>
              </w:tc>
              <w:tc>
                <w:tcPr>
                  <w:tcW w:w="1209" w:type="pct"/>
                  <w:noWrap w:val="0"/>
                  <w:vAlign w:val="center"/>
                </w:tcPr>
                <w:p w14:paraId="0488C093">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不涉及</w:t>
                  </w:r>
                </w:p>
              </w:tc>
              <w:tc>
                <w:tcPr>
                  <w:tcW w:w="378" w:type="pct"/>
                  <w:noWrap w:val="0"/>
                  <w:vAlign w:val="center"/>
                </w:tcPr>
                <w:p w14:paraId="66E37EE7">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7BFC5D7C">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28" w:type="dxa"/>
                  <w:bottom w:w="0" w:type="dxa"/>
                  <w:right w:w="28" w:type="dxa"/>
                </w:tblCellMar>
              </w:tblPrEx>
              <w:trPr>
                <w:trHeight w:val="20" w:hRule="atLeast"/>
                <w:jc w:val="center"/>
              </w:trPr>
              <w:tc>
                <w:tcPr>
                  <w:tcW w:w="450" w:type="pct"/>
                  <w:vMerge w:val="continue"/>
                  <w:noWrap w:val="0"/>
                  <w:vAlign w:val="center"/>
                </w:tcPr>
                <w:p w14:paraId="5EF7C22E">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2960" w:type="pct"/>
                  <w:noWrap w:val="0"/>
                  <w:vAlign w:val="center"/>
                </w:tcPr>
                <w:p w14:paraId="5D9E49B8">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10.新建冶金、电镀等重金属企业排放的含重金属废水，不得排入市政污水收集处理设施。</w:t>
                  </w:r>
                </w:p>
              </w:tc>
              <w:tc>
                <w:tcPr>
                  <w:tcW w:w="1209" w:type="pct"/>
                  <w:noWrap w:val="0"/>
                  <w:vAlign w:val="center"/>
                </w:tcPr>
                <w:p w14:paraId="1CCEDE50">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不涉及</w:t>
                  </w:r>
                </w:p>
              </w:tc>
              <w:tc>
                <w:tcPr>
                  <w:tcW w:w="378" w:type="pct"/>
                  <w:noWrap w:val="0"/>
                  <w:vAlign w:val="center"/>
                </w:tcPr>
                <w:p w14:paraId="5389A4D6">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13746E91">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28" w:type="dxa"/>
                  <w:bottom w:w="0" w:type="dxa"/>
                  <w:right w:w="28" w:type="dxa"/>
                </w:tblCellMar>
              </w:tblPrEx>
              <w:trPr>
                <w:trHeight w:val="20" w:hRule="atLeast"/>
                <w:jc w:val="center"/>
              </w:trPr>
              <w:tc>
                <w:tcPr>
                  <w:tcW w:w="450" w:type="pct"/>
                  <w:vMerge w:val="continue"/>
                  <w:noWrap w:val="0"/>
                  <w:vAlign w:val="center"/>
                </w:tcPr>
                <w:p w14:paraId="65555E97">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2960" w:type="pct"/>
                  <w:noWrap w:val="0"/>
                  <w:vAlign w:val="center"/>
                </w:tcPr>
                <w:p w14:paraId="02D3AD3F">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11.工业污泥（属于一般工业固废的）进入填埋场，应满足《生活垃圾填埋场污染控制标准》（GB16889）污染物质量浓度限值等要求，单独分区填埋，规范管理。</w:t>
                  </w:r>
                </w:p>
              </w:tc>
              <w:tc>
                <w:tcPr>
                  <w:tcW w:w="1209" w:type="pct"/>
                  <w:noWrap w:val="0"/>
                  <w:vAlign w:val="center"/>
                </w:tcPr>
                <w:p w14:paraId="0CE44400">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不涉及</w:t>
                  </w:r>
                </w:p>
              </w:tc>
              <w:tc>
                <w:tcPr>
                  <w:tcW w:w="378" w:type="pct"/>
                  <w:noWrap w:val="0"/>
                  <w:vAlign w:val="center"/>
                </w:tcPr>
                <w:p w14:paraId="60A391AE">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041C112E">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28" w:type="dxa"/>
                  <w:bottom w:w="0" w:type="dxa"/>
                  <w:right w:w="28" w:type="dxa"/>
                </w:tblCellMar>
              </w:tblPrEx>
              <w:trPr>
                <w:trHeight w:val="20" w:hRule="atLeast"/>
                <w:jc w:val="center"/>
              </w:trPr>
              <w:tc>
                <w:tcPr>
                  <w:tcW w:w="450" w:type="pct"/>
                  <w:vMerge w:val="continue"/>
                  <w:noWrap w:val="0"/>
                  <w:vAlign w:val="center"/>
                </w:tcPr>
                <w:p w14:paraId="6BBB2332">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2960" w:type="pct"/>
                  <w:noWrap w:val="0"/>
                  <w:vAlign w:val="center"/>
                </w:tcPr>
                <w:p w14:paraId="1C87DE97">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12.垃圾焚烧设施协同处置工业污泥（属一般工业固废的），要符合《生活垃圾焚烧污染控制标准》（GB18485）和河北省《生活垃圾焚烧大气污染控制标准》（DB13/5325-2021），污泥含水率应小于 60%，污泥占生活垃圾重量比（以干污泥计）不宜超过5%。污泥实施填埋的，填埋前的污泥需进行减量化、稳定化处理，含水率应小于60%。未经脱水处理达标的污泥不得在填埋场填埋。按照《有机肥料》标准（NT/T525-2021），禁止污泥作为农用有机肥生产原料。</w:t>
                  </w:r>
                </w:p>
              </w:tc>
              <w:tc>
                <w:tcPr>
                  <w:tcW w:w="1209" w:type="pct"/>
                  <w:noWrap w:val="0"/>
                  <w:vAlign w:val="center"/>
                </w:tcPr>
                <w:p w14:paraId="3EADBDCC">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不涉及</w:t>
                  </w:r>
                </w:p>
              </w:tc>
              <w:tc>
                <w:tcPr>
                  <w:tcW w:w="378" w:type="pct"/>
                  <w:noWrap w:val="0"/>
                  <w:vAlign w:val="center"/>
                </w:tcPr>
                <w:p w14:paraId="1762A288">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23129F97">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28" w:type="dxa"/>
                  <w:bottom w:w="0" w:type="dxa"/>
                  <w:right w:w="28" w:type="dxa"/>
                </w:tblCellMar>
              </w:tblPrEx>
              <w:trPr>
                <w:trHeight w:val="20" w:hRule="atLeast"/>
                <w:jc w:val="center"/>
              </w:trPr>
              <w:tc>
                <w:tcPr>
                  <w:tcW w:w="450" w:type="pct"/>
                  <w:vMerge w:val="restart"/>
                  <w:noWrap w:val="0"/>
                  <w:vAlign w:val="center"/>
                </w:tcPr>
                <w:p w14:paraId="0F4B1E14">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环境风险防控</w:t>
                  </w:r>
                </w:p>
              </w:tc>
              <w:tc>
                <w:tcPr>
                  <w:tcW w:w="2960" w:type="pct"/>
                  <w:noWrap w:val="0"/>
                  <w:vAlign w:val="center"/>
                </w:tcPr>
                <w:p w14:paraId="70D06F75">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rPr>
                    <w:t>1.完善全市固体废物动态信息管理平台数据，充分发挥平台的智能化监控水平。推进重点涉危企业环保智能监控体系建设，在涉危重点企业安装视频监控、智能地磅、电子液位计等设备，集成视频、称重、贮存、工况和排放等数据，实时监控危险废物产生、处置、流向，数据上传全省固体废物动态信息管理平台。</w:t>
                  </w:r>
                </w:p>
              </w:tc>
              <w:tc>
                <w:tcPr>
                  <w:tcW w:w="1209" w:type="pct"/>
                  <w:noWrap w:val="0"/>
                  <w:vAlign w:val="center"/>
                </w:tcPr>
                <w:p w14:paraId="08952EF9">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both"/>
                    <w:textAlignment w:val="auto"/>
                    <w:rPr>
                      <w:rFonts w:hint="default" w:cs="Times New Roman"/>
                      <w:color w:val="FF0000"/>
                      <w:sz w:val="21"/>
                      <w:szCs w:val="21"/>
                      <w:lang w:eastAsia="zh-CN"/>
                    </w:rPr>
                  </w:pPr>
                  <w:r>
                    <w:rPr>
                      <w:rFonts w:hint="eastAsia" w:cs="Times New Roman"/>
                      <w:color w:val="auto"/>
                      <w:sz w:val="21"/>
                      <w:szCs w:val="21"/>
                      <w:lang w:eastAsia="zh-CN"/>
                    </w:rPr>
                    <w:t>本项目按照相关要求对一般固废、危废进行贮存、处置。</w:t>
                  </w:r>
                </w:p>
              </w:tc>
              <w:tc>
                <w:tcPr>
                  <w:tcW w:w="378" w:type="pct"/>
                  <w:noWrap w:val="0"/>
                  <w:vAlign w:val="center"/>
                </w:tcPr>
                <w:p w14:paraId="42C85391">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5D608904">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28" w:type="dxa"/>
                  <w:bottom w:w="0" w:type="dxa"/>
                  <w:right w:w="28" w:type="dxa"/>
                </w:tblCellMar>
              </w:tblPrEx>
              <w:trPr>
                <w:trHeight w:val="20" w:hRule="atLeast"/>
                <w:jc w:val="center"/>
              </w:trPr>
              <w:tc>
                <w:tcPr>
                  <w:tcW w:w="450" w:type="pct"/>
                  <w:vMerge w:val="continue"/>
                  <w:noWrap w:val="0"/>
                  <w:vAlign w:val="center"/>
                </w:tcPr>
                <w:p w14:paraId="6F1D0EAF">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2960" w:type="pct"/>
                  <w:noWrap w:val="0"/>
                  <w:vAlign w:val="center"/>
                </w:tcPr>
                <w:p w14:paraId="362B3836">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2.涉及重度污染耕地的县（市、区）应依法划定特定农产品禁止生产区，明确界限，设立标识，严禁种植食用农产品，并制定实施环境风险管控方案。</w:t>
                  </w:r>
                </w:p>
              </w:tc>
              <w:tc>
                <w:tcPr>
                  <w:tcW w:w="1209" w:type="pct"/>
                  <w:noWrap w:val="0"/>
                  <w:vAlign w:val="center"/>
                </w:tcPr>
                <w:p w14:paraId="732C7F78">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不涉及</w:t>
                  </w:r>
                </w:p>
              </w:tc>
              <w:tc>
                <w:tcPr>
                  <w:tcW w:w="378" w:type="pct"/>
                  <w:noWrap w:val="0"/>
                  <w:vAlign w:val="center"/>
                </w:tcPr>
                <w:p w14:paraId="2840F399">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0C554AE4">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28" w:type="dxa"/>
                  <w:bottom w:w="0" w:type="dxa"/>
                  <w:right w:w="28" w:type="dxa"/>
                </w:tblCellMar>
              </w:tblPrEx>
              <w:trPr>
                <w:trHeight w:val="20" w:hRule="atLeast"/>
                <w:jc w:val="center"/>
              </w:trPr>
              <w:tc>
                <w:tcPr>
                  <w:tcW w:w="450" w:type="pct"/>
                  <w:vMerge w:val="continue"/>
                  <w:noWrap w:val="0"/>
                  <w:vAlign w:val="center"/>
                </w:tcPr>
                <w:p w14:paraId="07789ED5">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2960" w:type="pct"/>
                  <w:noWrap w:val="0"/>
                  <w:vAlign w:val="center"/>
                </w:tcPr>
                <w:p w14:paraId="46D42DE4">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3.强化关闭搬迁企业腾退土地土壤污染风险管控，以有色金属冶炼、石油加工、化工、焦化、电镀、制革等行业企业为重点，严格企业拆除活动的环境监管。</w:t>
                  </w:r>
                </w:p>
              </w:tc>
              <w:tc>
                <w:tcPr>
                  <w:tcW w:w="1209" w:type="pct"/>
                  <w:noWrap w:val="0"/>
                  <w:vAlign w:val="center"/>
                </w:tcPr>
                <w:p w14:paraId="1DDE43AD">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不涉及</w:t>
                  </w:r>
                </w:p>
              </w:tc>
              <w:tc>
                <w:tcPr>
                  <w:tcW w:w="378" w:type="pct"/>
                  <w:noWrap w:val="0"/>
                  <w:vAlign w:val="center"/>
                </w:tcPr>
                <w:p w14:paraId="408D4C92">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0D011A2D">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28" w:type="dxa"/>
                  <w:bottom w:w="0" w:type="dxa"/>
                  <w:right w:w="28" w:type="dxa"/>
                </w:tblCellMar>
              </w:tblPrEx>
              <w:trPr>
                <w:trHeight w:val="20" w:hRule="atLeast"/>
                <w:jc w:val="center"/>
              </w:trPr>
              <w:tc>
                <w:tcPr>
                  <w:tcW w:w="450" w:type="pct"/>
                  <w:vMerge w:val="continue"/>
                  <w:noWrap w:val="0"/>
                  <w:vAlign w:val="center"/>
                </w:tcPr>
                <w:p w14:paraId="67ECBE06">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2960" w:type="pct"/>
                  <w:noWrap w:val="0"/>
                  <w:vAlign w:val="center"/>
                </w:tcPr>
                <w:p w14:paraId="639584E0">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列入建设用地土壤污染风险管控和修复名录的地块，不得作为住宅、公共管理与公共服务用地；未达到土壤污染风险管控、修复目标的地块，禁止开工建设任何与风险管控、修复无关的项目；不得批准环境影响评价技术文件、建设工程规划许可证等事项。涉及成片污染地块分期分批开发或周边土地开发的，要科学设定开发时序，防止受污染土壤及其后续风险管控和修复措施对周边人群产生影响。</w:t>
                  </w:r>
                </w:p>
              </w:tc>
              <w:tc>
                <w:tcPr>
                  <w:tcW w:w="1209" w:type="pct"/>
                  <w:noWrap w:val="0"/>
                  <w:vAlign w:val="center"/>
                </w:tcPr>
                <w:p w14:paraId="3DA4EBC4">
                  <w:pPr>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不涉及</w:t>
                  </w:r>
                </w:p>
              </w:tc>
              <w:tc>
                <w:tcPr>
                  <w:tcW w:w="378" w:type="pct"/>
                  <w:noWrap w:val="0"/>
                  <w:vAlign w:val="center"/>
                </w:tcPr>
                <w:p w14:paraId="5EC11613">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05C1227B">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28" w:type="dxa"/>
                  <w:bottom w:w="0" w:type="dxa"/>
                  <w:right w:w="28" w:type="dxa"/>
                </w:tblCellMar>
              </w:tblPrEx>
              <w:trPr>
                <w:trHeight w:val="20" w:hRule="atLeast"/>
                <w:jc w:val="center"/>
              </w:trPr>
              <w:tc>
                <w:tcPr>
                  <w:tcW w:w="450" w:type="pct"/>
                  <w:vMerge w:val="continue"/>
                  <w:noWrap w:val="0"/>
                  <w:vAlign w:val="center"/>
                </w:tcPr>
                <w:p w14:paraId="5BE9F75A">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2960" w:type="pct"/>
                  <w:noWrap w:val="0"/>
                  <w:vAlign w:val="center"/>
                </w:tcPr>
                <w:p w14:paraId="2B716E72">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对安全利用类和严格管控类农用地地块的土壤污染影响或可能影响地下水的，制定污染防治方案时，应纳入地下水的内容；对污染物含量超过土壤污染风险管控标准的建设用地地块，土壤污染状况调查报告应当包括地下水是否受到污染等内容；对列入风险管控和修复名录中的建设用地地块，实施风险管控措施应包括地下水污染防治的内容；实施修复的地块，修复方案应当包括地下水污染修复的内容；制定地下水污染调查、监测、评估、风险防控、修复等标准规范时，做好与土壤污染防治相关标准规范的衔接。在防治项目立项、实施以及绩效评估等环节上，力求做到统筹安排、同步考虑、同步落实。</w:t>
                  </w:r>
                </w:p>
              </w:tc>
              <w:tc>
                <w:tcPr>
                  <w:tcW w:w="1209" w:type="pct"/>
                  <w:noWrap w:val="0"/>
                  <w:vAlign w:val="center"/>
                </w:tcPr>
                <w:p w14:paraId="3659E9A1">
                  <w:pPr>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不涉及</w:t>
                  </w:r>
                </w:p>
              </w:tc>
              <w:tc>
                <w:tcPr>
                  <w:tcW w:w="378" w:type="pct"/>
                  <w:noWrap w:val="0"/>
                  <w:vAlign w:val="center"/>
                </w:tcPr>
                <w:p w14:paraId="0D1BE491">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7FD5F26A">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28" w:type="dxa"/>
                  <w:bottom w:w="0" w:type="dxa"/>
                  <w:right w:w="28" w:type="dxa"/>
                </w:tblCellMar>
              </w:tblPrEx>
              <w:trPr>
                <w:trHeight w:val="20" w:hRule="atLeast"/>
                <w:jc w:val="center"/>
              </w:trPr>
              <w:tc>
                <w:tcPr>
                  <w:tcW w:w="450" w:type="pct"/>
                  <w:vMerge w:val="continue"/>
                  <w:noWrap w:val="0"/>
                  <w:vAlign w:val="center"/>
                </w:tcPr>
                <w:p w14:paraId="25A32D8F">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2960" w:type="pct"/>
                  <w:noWrap w:val="0"/>
                  <w:vAlign w:val="center"/>
                </w:tcPr>
                <w:p w14:paraId="103471BC">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6.定期对土壤污染重点监管单位、工业园区、污水集中处理设施、固体废物处理设施周边土壤进行监测。加强企业拆除活动污染防治监管，落实拆除活动污染防治措施。</w:t>
                  </w:r>
                </w:p>
              </w:tc>
              <w:tc>
                <w:tcPr>
                  <w:tcW w:w="1209" w:type="pct"/>
                  <w:noWrap w:val="0"/>
                  <w:vAlign w:val="center"/>
                </w:tcPr>
                <w:p w14:paraId="2BBCAFC7">
                  <w:pPr>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不涉及</w:t>
                  </w:r>
                </w:p>
              </w:tc>
              <w:tc>
                <w:tcPr>
                  <w:tcW w:w="378" w:type="pct"/>
                  <w:noWrap w:val="0"/>
                  <w:vAlign w:val="center"/>
                </w:tcPr>
                <w:p w14:paraId="03230C3C">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bl>
          <w:p w14:paraId="02ABB25D">
            <w:pPr>
              <w:keepNext w:val="0"/>
              <w:keepLines w:val="0"/>
              <w:suppressLineNumbers w:val="0"/>
              <w:tabs>
                <w:tab w:val="left" w:pos="86"/>
              </w:tabs>
              <w:spacing w:before="157" w:beforeLines="50" w:beforeAutospacing="0" w:after="0" w:afterAutospacing="0" w:line="360" w:lineRule="auto"/>
              <w:ind w:left="0" w:right="0" w:firstLine="480" w:firstLineChars="200"/>
              <w:jc w:val="both"/>
              <w:rPr>
                <w:rFonts w:hint="eastAsia" w:eastAsia="宋体"/>
                <w:lang w:eastAsia="zh-CN"/>
              </w:rPr>
            </w:pPr>
            <w:r>
              <w:rPr>
                <w:rFonts w:hint="eastAsia"/>
                <w:sz w:val="24"/>
                <w:lang w:eastAsia="zh-CN"/>
              </w:rPr>
              <w:t>根据上表，本项目符合全市土壤风险防控总体管控要求。</w:t>
            </w:r>
          </w:p>
          <w:p w14:paraId="3F4D17C5">
            <w:pPr>
              <w:keepNext w:val="0"/>
              <w:keepLines w:val="0"/>
              <w:suppressLineNumbers w:val="0"/>
              <w:tabs>
                <w:tab w:val="left" w:pos="86"/>
              </w:tabs>
              <w:spacing w:before="0" w:beforeLines="0" w:beforeAutospacing="0" w:after="0" w:afterAutospacing="0" w:line="240" w:lineRule="auto"/>
              <w:ind w:left="0" w:right="0"/>
              <w:jc w:val="center"/>
              <w:rPr>
                <w:rFonts w:hint="eastAsia" w:ascii="宋体" w:hAnsi="宋体" w:eastAsia="宋体" w:cs="宋体"/>
                <w:b/>
                <w:bCs/>
                <w:sz w:val="21"/>
                <w:szCs w:val="21"/>
                <w:lang w:val="en-US" w:eastAsia="zh-CN"/>
              </w:rPr>
            </w:pPr>
            <w:r>
              <w:rPr>
                <w:rFonts w:hint="eastAsia" w:ascii="宋体" w:hAnsi="宋体" w:eastAsia="宋体" w:cs="宋体"/>
                <w:b/>
                <w:bCs/>
                <w:sz w:val="21"/>
                <w:szCs w:val="21"/>
              </w:rPr>
              <w:t>项目与“全市资源利用总体管控要求”符合性分析一览表</w:t>
            </w:r>
          </w:p>
          <w:tbl>
            <w:tblPr>
              <w:tblStyle w:val="38"/>
              <w:tblW w:w="5000" w:type="pct"/>
              <w:jc w:val="center"/>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0" w:type="dxa"/>
                <w:bottom w:w="0" w:type="dxa"/>
                <w:right w:w="0" w:type="dxa"/>
              </w:tblCellMar>
            </w:tblPr>
            <w:tblGrid>
              <w:gridCol w:w="625"/>
              <w:gridCol w:w="605"/>
              <w:gridCol w:w="4275"/>
              <w:gridCol w:w="1567"/>
              <w:gridCol w:w="598"/>
            </w:tblGrid>
            <w:tr w14:paraId="11A21DC1">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0" w:type="dxa"/>
                  <w:bottom w:w="0" w:type="dxa"/>
                  <w:right w:w="0" w:type="dxa"/>
                </w:tblCellMar>
              </w:tblPrEx>
              <w:trPr>
                <w:jc w:val="center"/>
              </w:trPr>
              <w:tc>
                <w:tcPr>
                  <w:tcW w:w="407" w:type="pct"/>
                  <w:noWrap w:val="0"/>
                  <w:vAlign w:val="center"/>
                </w:tcPr>
                <w:p w14:paraId="45AE6592">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资源类型</w:t>
                  </w:r>
                </w:p>
              </w:tc>
              <w:tc>
                <w:tcPr>
                  <w:tcW w:w="3181" w:type="pct"/>
                  <w:gridSpan w:val="2"/>
                  <w:noWrap w:val="0"/>
                  <w:vAlign w:val="center"/>
                </w:tcPr>
                <w:p w14:paraId="3D7B3A79">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管控要求</w:t>
                  </w:r>
                </w:p>
              </w:tc>
              <w:tc>
                <w:tcPr>
                  <w:tcW w:w="1021" w:type="pct"/>
                  <w:noWrap w:val="0"/>
                  <w:vAlign w:val="center"/>
                </w:tcPr>
                <w:p w14:paraId="557B22DB">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本项目情况</w:t>
                  </w:r>
                </w:p>
              </w:tc>
              <w:tc>
                <w:tcPr>
                  <w:tcW w:w="389" w:type="pct"/>
                  <w:noWrap w:val="0"/>
                  <w:vAlign w:val="center"/>
                </w:tcPr>
                <w:p w14:paraId="4414E1B1">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ind w:left="105" w:leftChars="50" w:right="105" w:rightChars="5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符合性</w:t>
                  </w:r>
                </w:p>
              </w:tc>
            </w:tr>
            <w:tr w14:paraId="526076DD">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0" w:type="dxa"/>
                  <w:bottom w:w="0" w:type="dxa"/>
                  <w:right w:w="0" w:type="dxa"/>
                </w:tblCellMar>
              </w:tblPrEx>
              <w:trPr>
                <w:jc w:val="center"/>
              </w:trPr>
              <w:tc>
                <w:tcPr>
                  <w:tcW w:w="407" w:type="pct"/>
                  <w:vMerge w:val="restart"/>
                  <w:noWrap w:val="0"/>
                  <w:vAlign w:val="center"/>
                </w:tcPr>
                <w:p w14:paraId="2C1A8F77">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水资源</w:t>
                  </w:r>
                </w:p>
              </w:tc>
              <w:tc>
                <w:tcPr>
                  <w:tcW w:w="394" w:type="pct"/>
                  <w:noWrap w:val="0"/>
                  <w:vAlign w:val="center"/>
                </w:tcPr>
                <w:p w14:paraId="3B1F2687">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总量和强度要求</w:t>
                  </w:r>
                </w:p>
              </w:tc>
              <w:tc>
                <w:tcPr>
                  <w:tcW w:w="2786" w:type="pct"/>
                  <w:noWrap w:val="0"/>
                  <w:vAlign w:val="center"/>
                </w:tcPr>
                <w:p w14:paraId="18DEC4B9">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1.到2025年，全市年用水总量控制在15.90亿立方米以内，地下水用水总量控制在4.81亿立方米以内，万元GDP用水量较2020年下降率12%；</w:t>
                  </w:r>
                </w:p>
                <w:p w14:paraId="6CDA2A1E">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2.到2035年，全市用水总量控制在省要求范围之内。</w:t>
                  </w:r>
                </w:p>
              </w:tc>
              <w:tc>
                <w:tcPr>
                  <w:tcW w:w="1021" w:type="pct"/>
                  <w:noWrap w:val="0"/>
                  <w:vAlign w:val="center"/>
                </w:tcPr>
                <w:p w14:paraId="407AD384">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本项目</w:t>
                  </w:r>
                  <w:r>
                    <w:rPr>
                      <w:rFonts w:hint="eastAsia" w:ascii="Times New Roman" w:hAnsi="Times New Roman" w:cs="Times New Roman"/>
                      <w:bCs/>
                      <w:sz w:val="21"/>
                      <w:szCs w:val="21"/>
                      <w:lang w:eastAsia="zh-CN"/>
                    </w:rPr>
                    <w:t>无新增新鲜水用量，新增纯水全部外购</w:t>
                  </w:r>
                  <w:r>
                    <w:rPr>
                      <w:rFonts w:hint="default" w:ascii="Times New Roman" w:hAnsi="Times New Roman" w:eastAsia="宋体" w:cs="Times New Roman"/>
                      <w:sz w:val="21"/>
                      <w:szCs w:val="21"/>
                    </w:rPr>
                    <w:t>。</w:t>
                  </w:r>
                </w:p>
              </w:tc>
              <w:tc>
                <w:tcPr>
                  <w:tcW w:w="389" w:type="pct"/>
                  <w:noWrap w:val="0"/>
                  <w:vAlign w:val="center"/>
                </w:tcPr>
                <w:p w14:paraId="3F72156B">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3B8AD6E9">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0" w:type="dxa"/>
                  <w:bottom w:w="0" w:type="dxa"/>
                  <w:right w:w="0" w:type="dxa"/>
                </w:tblCellMar>
              </w:tblPrEx>
              <w:trPr>
                <w:jc w:val="center"/>
              </w:trPr>
              <w:tc>
                <w:tcPr>
                  <w:tcW w:w="407" w:type="pct"/>
                  <w:vMerge w:val="continue"/>
                  <w:noWrap w:val="0"/>
                  <w:vAlign w:val="center"/>
                </w:tcPr>
                <w:p w14:paraId="4055A781">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394" w:type="pct"/>
                  <w:vMerge w:val="restart"/>
                  <w:noWrap w:val="0"/>
                  <w:vAlign w:val="center"/>
                </w:tcPr>
                <w:p w14:paraId="5C9F914C">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管控要求</w:t>
                  </w:r>
                </w:p>
              </w:tc>
              <w:tc>
                <w:tcPr>
                  <w:tcW w:w="2786" w:type="pct"/>
                  <w:noWrap w:val="0"/>
                  <w:vAlign w:val="center"/>
                </w:tcPr>
                <w:p w14:paraId="23C4325F">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在地下水禁采区内，除为保障地下工程施工安全和生产安全必须进行临时应急取（排）水、为消除对公共安全或者公共利益的危害临时应急取水，以及为开展地下水监测、勘探、试验少量取水外，禁止取用地下水。在地下水限采区内，对当地社会发展和群众生活有重大影响的重点建设项目确需取用地下水的，应按照用1减2的比例以及先减后加的原则，同步削减其他取水单位的地下水开采量，且不得深层、浅层地下水相互替代。地下水开发利用应当以浅层地下水为主。深层地下水作为战略储备水源、应急供水水源、无替代水源地区的居民生活水源，应当严格限制开采。</w:t>
                  </w:r>
                </w:p>
              </w:tc>
              <w:tc>
                <w:tcPr>
                  <w:tcW w:w="1021" w:type="pct"/>
                  <w:noWrap w:val="0"/>
                  <w:vAlign w:val="center"/>
                </w:tcPr>
                <w:p w14:paraId="5CA69717">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本项目不开采地下水。</w:t>
                  </w:r>
                </w:p>
              </w:tc>
              <w:tc>
                <w:tcPr>
                  <w:tcW w:w="389" w:type="pct"/>
                  <w:noWrap w:val="0"/>
                  <w:vAlign w:val="center"/>
                </w:tcPr>
                <w:p w14:paraId="5B43A742">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2832FA5D">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0" w:type="dxa"/>
                  <w:bottom w:w="0" w:type="dxa"/>
                  <w:right w:w="0" w:type="dxa"/>
                </w:tblCellMar>
              </w:tblPrEx>
              <w:trPr>
                <w:jc w:val="center"/>
              </w:trPr>
              <w:tc>
                <w:tcPr>
                  <w:tcW w:w="407" w:type="pct"/>
                  <w:vMerge w:val="continue"/>
                  <w:noWrap w:val="0"/>
                  <w:vAlign w:val="center"/>
                </w:tcPr>
                <w:p w14:paraId="6BD2E316">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394" w:type="pct"/>
                  <w:vMerge w:val="continue"/>
                  <w:noWrap w:val="0"/>
                  <w:vAlign w:val="center"/>
                </w:tcPr>
                <w:p w14:paraId="137A9048">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2786" w:type="pct"/>
                  <w:noWrap w:val="0"/>
                  <w:vAlign w:val="center"/>
                </w:tcPr>
                <w:p w14:paraId="68893225">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2.充分利用外调水。用好引江、引黄等外调水，增强水源调蓄能力，扩大供水管网覆盖范围，置换城镇、工业和农村生活地下水开采，推进农业水源置换，有效减少地下水开采量。</w:t>
                  </w:r>
                </w:p>
              </w:tc>
              <w:tc>
                <w:tcPr>
                  <w:tcW w:w="1021" w:type="pct"/>
                  <w:noWrap w:val="0"/>
                  <w:vAlign w:val="center"/>
                </w:tcPr>
                <w:p w14:paraId="35AC54E1">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本项目</w:t>
                  </w:r>
                  <w:r>
                    <w:rPr>
                      <w:rFonts w:hint="eastAsia" w:ascii="Times New Roman" w:hAnsi="Times New Roman" w:cs="Times New Roman"/>
                      <w:bCs/>
                      <w:sz w:val="21"/>
                      <w:szCs w:val="21"/>
                      <w:lang w:eastAsia="zh-CN"/>
                    </w:rPr>
                    <w:t>无新增新鲜水用量，新增纯水全部外购</w:t>
                  </w:r>
                  <w:r>
                    <w:rPr>
                      <w:rFonts w:hint="default" w:ascii="Times New Roman" w:hAnsi="Times New Roman" w:eastAsia="宋体" w:cs="Times New Roman"/>
                      <w:sz w:val="21"/>
                      <w:szCs w:val="21"/>
                    </w:rPr>
                    <w:t>。</w:t>
                  </w:r>
                </w:p>
              </w:tc>
              <w:tc>
                <w:tcPr>
                  <w:tcW w:w="389" w:type="pct"/>
                  <w:noWrap w:val="0"/>
                  <w:vAlign w:val="center"/>
                </w:tcPr>
                <w:p w14:paraId="79FBABB6">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68169816">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0" w:type="dxa"/>
                  <w:bottom w:w="0" w:type="dxa"/>
                  <w:right w:w="0" w:type="dxa"/>
                </w:tblCellMar>
              </w:tblPrEx>
              <w:trPr>
                <w:jc w:val="center"/>
              </w:trPr>
              <w:tc>
                <w:tcPr>
                  <w:tcW w:w="407" w:type="pct"/>
                  <w:vMerge w:val="continue"/>
                  <w:noWrap w:val="0"/>
                  <w:vAlign w:val="center"/>
                </w:tcPr>
                <w:p w14:paraId="2FFD1F99">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394" w:type="pct"/>
                  <w:vMerge w:val="continue"/>
                  <w:noWrap w:val="0"/>
                  <w:vAlign w:val="center"/>
                </w:tcPr>
                <w:p w14:paraId="29B1F9BC">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2786" w:type="pct"/>
                  <w:noWrap w:val="0"/>
                  <w:vAlign w:val="center"/>
                </w:tcPr>
                <w:p w14:paraId="48A276F3">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3.推进非常规水资源利用。推广微咸水规模化利用技术和海水利用技术，扩大渤海新区海水直接利用和海水淡化规模，减少地下水开采量。</w:t>
                  </w:r>
                </w:p>
              </w:tc>
              <w:tc>
                <w:tcPr>
                  <w:tcW w:w="1021" w:type="pct"/>
                  <w:noWrap w:val="0"/>
                  <w:vAlign w:val="center"/>
                </w:tcPr>
                <w:p w14:paraId="776486DE">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不涉及</w:t>
                  </w:r>
                </w:p>
              </w:tc>
              <w:tc>
                <w:tcPr>
                  <w:tcW w:w="389" w:type="pct"/>
                  <w:noWrap w:val="0"/>
                  <w:vAlign w:val="center"/>
                </w:tcPr>
                <w:p w14:paraId="5053DED2">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585D416D">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0" w:type="dxa"/>
                  <w:bottom w:w="0" w:type="dxa"/>
                  <w:right w:w="0" w:type="dxa"/>
                </w:tblCellMar>
              </w:tblPrEx>
              <w:trPr>
                <w:jc w:val="center"/>
              </w:trPr>
              <w:tc>
                <w:tcPr>
                  <w:tcW w:w="407" w:type="pct"/>
                  <w:vMerge w:val="continue"/>
                  <w:noWrap w:val="0"/>
                  <w:vAlign w:val="center"/>
                </w:tcPr>
                <w:p w14:paraId="467C5D89">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394" w:type="pct"/>
                  <w:vMerge w:val="continue"/>
                  <w:noWrap w:val="0"/>
                  <w:vAlign w:val="center"/>
                </w:tcPr>
                <w:p w14:paraId="5FC719D2">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2786" w:type="pct"/>
                  <w:noWrap w:val="0"/>
                  <w:vAlign w:val="center"/>
                </w:tcPr>
                <w:p w14:paraId="505D4FAB">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大力推进节水型社会建设。农业节水。推广渠道防渗、管道输水、喷灌、微灌等节水灌溉技术，完善灌溉用水计量设施。推进规模化高效节水灌溉，大力调整农业种植结构，实施季节性休耕、旱作雨养，推广农作物节水抗旱技术。工业节水。推进矿井水综合利用，煤炭矿区的补充用水、周边地区生产和生态用水应优先使用矿井水，加强洗煤废水循环利用。城镇节水。禁止生产、销售不符合节水标准的产品、设备。公共建筑必须采用节水器具，限期淘汰公共建筑中不符合节水标准的水嘴、便器水箱等生活用水器具。促进再生水利用。完善再生水利用设施，工业生产、城市绿化、道路清扫、车辆冲洗、建筑施工以及生态景观等用水，要优先使用再生水。推进高速公路服务区污水处理和利用。具备使用再生水条件但未充分利用的钢铁、火电、化工、制浆造纸、印染等项目，不得批准其新增取水许可。</w:t>
                  </w:r>
                </w:p>
              </w:tc>
              <w:tc>
                <w:tcPr>
                  <w:tcW w:w="1021" w:type="pct"/>
                  <w:noWrap w:val="0"/>
                  <w:vAlign w:val="center"/>
                </w:tcPr>
                <w:p w14:paraId="6DBC3E33">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本项目</w:t>
                  </w:r>
                  <w:r>
                    <w:rPr>
                      <w:rFonts w:hint="eastAsia" w:ascii="Times New Roman" w:hAnsi="Times New Roman" w:cs="Times New Roman"/>
                      <w:bCs/>
                      <w:sz w:val="21"/>
                      <w:szCs w:val="21"/>
                      <w:lang w:eastAsia="zh-CN"/>
                    </w:rPr>
                    <w:t>无新增新鲜水用量，新增纯水全部外购；本项目</w:t>
                  </w:r>
                  <w:r>
                    <w:rPr>
                      <w:rFonts w:hint="eastAsia" w:cs="Times New Roman"/>
                      <w:bCs/>
                      <w:sz w:val="21"/>
                      <w:szCs w:val="21"/>
                      <w:lang w:eastAsia="zh-CN"/>
                    </w:rPr>
                    <w:t>水性油墨配制纯水全部挥发，不外排</w:t>
                  </w:r>
                  <w:r>
                    <w:rPr>
                      <w:rFonts w:hint="eastAsia" w:ascii="Times New Roman" w:hAnsi="Times New Roman" w:cs="Times New Roman"/>
                      <w:bCs/>
                      <w:sz w:val="21"/>
                      <w:szCs w:val="21"/>
                      <w:lang w:eastAsia="zh-CN"/>
                    </w:rPr>
                    <w:t>；无新增生活污水。</w:t>
                  </w:r>
                </w:p>
              </w:tc>
              <w:tc>
                <w:tcPr>
                  <w:tcW w:w="389" w:type="pct"/>
                  <w:noWrap w:val="0"/>
                  <w:vAlign w:val="center"/>
                </w:tcPr>
                <w:p w14:paraId="7F760C91">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6E78E7F8">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0" w:type="dxa"/>
                  <w:bottom w:w="0" w:type="dxa"/>
                  <w:right w:w="0" w:type="dxa"/>
                </w:tblCellMar>
              </w:tblPrEx>
              <w:trPr>
                <w:jc w:val="center"/>
              </w:trPr>
              <w:tc>
                <w:tcPr>
                  <w:tcW w:w="407" w:type="pct"/>
                  <w:vMerge w:val="continue"/>
                  <w:noWrap w:val="0"/>
                  <w:vAlign w:val="center"/>
                </w:tcPr>
                <w:p w14:paraId="3C4E3457">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394" w:type="pct"/>
                  <w:vMerge w:val="continue"/>
                  <w:noWrap w:val="0"/>
                  <w:vAlign w:val="center"/>
                </w:tcPr>
                <w:p w14:paraId="464582DA">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2786" w:type="pct"/>
                  <w:noWrap w:val="0"/>
                  <w:vAlign w:val="center"/>
                </w:tcPr>
                <w:p w14:paraId="13617694">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加强引水管理，合理调度水资源，通过采取引水、补水、限制取水等措施，维持湖泊湿地合理水位。按照河北省水利厅统一安排部署，多水源向河道实施生态补水，积极争取外调水，用好引江水、引黄水，上游水库水，在满足农业灌溉用水的同时，兼顾河道水生态环境改善。重点保障南排河-南大港湿地、南运河、子牙新河、子牙河等河流重点河段恢复有水。</w:t>
                  </w:r>
                </w:p>
              </w:tc>
              <w:tc>
                <w:tcPr>
                  <w:tcW w:w="1021" w:type="pct"/>
                  <w:noWrap w:val="0"/>
                  <w:vAlign w:val="center"/>
                </w:tcPr>
                <w:p w14:paraId="13C3D8F3">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不涉及</w:t>
                  </w:r>
                </w:p>
              </w:tc>
              <w:tc>
                <w:tcPr>
                  <w:tcW w:w="389" w:type="pct"/>
                  <w:noWrap w:val="0"/>
                  <w:vAlign w:val="center"/>
                </w:tcPr>
                <w:p w14:paraId="3932E838">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18EF851A">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0" w:type="dxa"/>
                  <w:bottom w:w="0" w:type="dxa"/>
                  <w:right w:w="0" w:type="dxa"/>
                </w:tblCellMar>
              </w:tblPrEx>
              <w:trPr>
                <w:jc w:val="center"/>
              </w:trPr>
              <w:tc>
                <w:tcPr>
                  <w:tcW w:w="407" w:type="pct"/>
                  <w:vMerge w:val="restart"/>
                  <w:noWrap w:val="0"/>
                  <w:vAlign w:val="center"/>
                </w:tcPr>
                <w:p w14:paraId="3A785520">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能源</w:t>
                  </w:r>
                </w:p>
              </w:tc>
              <w:tc>
                <w:tcPr>
                  <w:tcW w:w="394" w:type="pct"/>
                  <w:vMerge w:val="restart"/>
                  <w:noWrap w:val="0"/>
                  <w:vAlign w:val="center"/>
                </w:tcPr>
                <w:p w14:paraId="4C1DFCFE">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总量和强度要求</w:t>
                  </w:r>
                </w:p>
              </w:tc>
              <w:tc>
                <w:tcPr>
                  <w:tcW w:w="2786" w:type="pct"/>
                  <w:noWrap w:val="0"/>
                  <w:vAlign w:val="center"/>
                </w:tcPr>
                <w:p w14:paraId="684BBDF2">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1.到2025年，单位地区生产总值能耗比2020年下降17.5%，确保完成省下达我市煤炭消费削减、单位地区生产总值二氧化碳排放下降任务目标。各县（市、区）</w:t>
                  </w:r>
                  <w:r>
                    <w:rPr>
                      <w:rFonts w:hint="eastAsia" w:ascii="Times New Roman" w:hAnsi="Times New Roman" w:eastAsia="宋体" w:cs="Times New Roman"/>
                      <w:sz w:val="21"/>
                      <w:szCs w:val="21"/>
                      <w:lang w:eastAsia="zh-CN"/>
                    </w:rPr>
                    <w:t>“</w:t>
                  </w:r>
                  <w:r>
                    <w:rPr>
                      <w:rFonts w:hint="default" w:ascii="Times New Roman" w:hAnsi="Times New Roman" w:eastAsia="宋体" w:cs="Times New Roman"/>
                      <w:sz w:val="21"/>
                      <w:szCs w:val="21"/>
                    </w:rPr>
                    <w:t>十四五</w:t>
                  </w:r>
                  <w:r>
                    <w:rPr>
                      <w:rFonts w:hint="eastAsia" w:ascii="Times New Roman" w:hAnsi="Times New Roman" w:eastAsia="宋体" w:cs="Times New Roman"/>
                      <w:sz w:val="21"/>
                      <w:szCs w:val="21"/>
                      <w:lang w:eastAsia="zh-CN"/>
                    </w:rPr>
                    <w:t>”</w:t>
                  </w:r>
                  <w:r>
                    <w:rPr>
                      <w:rFonts w:hint="default" w:ascii="Times New Roman" w:hAnsi="Times New Roman" w:eastAsia="宋体" w:cs="Times New Roman"/>
                      <w:sz w:val="21"/>
                      <w:szCs w:val="21"/>
                    </w:rPr>
                    <w:t>时期新增可再生能源电力消费量不纳入当地能源消费总量考核。原料用能不纳入全市及各县（市、区）能耗双控考核。</w:t>
                  </w:r>
                </w:p>
              </w:tc>
              <w:tc>
                <w:tcPr>
                  <w:tcW w:w="1021" w:type="pct"/>
                  <w:noWrap w:val="0"/>
                  <w:vAlign w:val="center"/>
                </w:tcPr>
                <w:p w14:paraId="2C028ED5">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不涉及</w:t>
                  </w:r>
                </w:p>
              </w:tc>
              <w:tc>
                <w:tcPr>
                  <w:tcW w:w="389" w:type="pct"/>
                  <w:noWrap w:val="0"/>
                  <w:vAlign w:val="center"/>
                </w:tcPr>
                <w:p w14:paraId="21E296F4">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011F6758">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0" w:type="dxa"/>
                  <w:bottom w:w="0" w:type="dxa"/>
                  <w:right w:w="0" w:type="dxa"/>
                </w:tblCellMar>
              </w:tblPrEx>
              <w:trPr>
                <w:jc w:val="center"/>
              </w:trPr>
              <w:tc>
                <w:tcPr>
                  <w:tcW w:w="407" w:type="pct"/>
                  <w:vMerge w:val="continue"/>
                  <w:noWrap w:val="0"/>
                  <w:vAlign w:val="center"/>
                </w:tcPr>
                <w:p w14:paraId="7024CD8E">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394" w:type="pct"/>
                  <w:vMerge w:val="continue"/>
                  <w:noWrap w:val="0"/>
                  <w:vAlign w:val="center"/>
                </w:tcPr>
                <w:p w14:paraId="03952FAD">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2786" w:type="pct"/>
                  <w:noWrap w:val="0"/>
                  <w:vAlign w:val="center"/>
                </w:tcPr>
                <w:p w14:paraId="31F44C9A">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2.大容量、高参数机组比重达到90%以上，单位供电煤耗降至302克以内。积极推进电能替代，全市电煤消费占燃煤消费比重提高到40%以上。</w:t>
                  </w:r>
                </w:p>
              </w:tc>
              <w:tc>
                <w:tcPr>
                  <w:tcW w:w="1021" w:type="pct"/>
                  <w:noWrap w:val="0"/>
                  <w:vAlign w:val="center"/>
                </w:tcPr>
                <w:p w14:paraId="0671CAF3">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不涉及</w:t>
                  </w:r>
                </w:p>
              </w:tc>
              <w:tc>
                <w:tcPr>
                  <w:tcW w:w="389" w:type="pct"/>
                  <w:noWrap w:val="0"/>
                  <w:vAlign w:val="center"/>
                </w:tcPr>
                <w:p w14:paraId="605763E6">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69E4DEBC">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0" w:type="dxa"/>
                  <w:bottom w:w="0" w:type="dxa"/>
                  <w:right w:w="0" w:type="dxa"/>
                </w:tblCellMar>
              </w:tblPrEx>
              <w:trPr>
                <w:jc w:val="center"/>
              </w:trPr>
              <w:tc>
                <w:tcPr>
                  <w:tcW w:w="407" w:type="pct"/>
                  <w:vMerge w:val="continue"/>
                  <w:noWrap w:val="0"/>
                  <w:vAlign w:val="center"/>
                </w:tcPr>
                <w:p w14:paraId="658B3C62">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394" w:type="pct"/>
                  <w:vMerge w:val="continue"/>
                  <w:noWrap w:val="0"/>
                  <w:vAlign w:val="center"/>
                </w:tcPr>
                <w:p w14:paraId="74D0FA57">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2786" w:type="pct"/>
                  <w:noWrap w:val="0"/>
                  <w:vAlign w:val="center"/>
                </w:tcPr>
                <w:p w14:paraId="1B32A910">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合理控制煤电建设规模，新上项目实行等容量替代（背压机组项目除外），鼓励已有燃煤自备电厂转为公用电厂。严格落实淘汰落后煤电产能工作，持续关停落后小火电机组以及服役期满且不符合延寿条件的30万千瓦及以下机组，推动以工业余热、电厂余热、清洁能源等替代煤炭供热（蒸汽），到2025年全市非化石能源占一次能源消费比重达到13%。</w:t>
                  </w:r>
                </w:p>
              </w:tc>
              <w:tc>
                <w:tcPr>
                  <w:tcW w:w="1021" w:type="pct"/>
                  <w:noWrap w:val="0"/>
                  <w:vAlign w:val="center"/>
                </w:tcPr>
                <w:p w14:paraId="38363B1C">
                  <w:pPr>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both"/>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本项目冬季采暖使用电。</w:t>
                  </w:r>
                </w:p>
              </w:tc>
              <w:tc>
                <w:tcPr>
                  <w:tcW w:w="389" w:type="pct"/>
                  <w:noWrap w:val="0"/>
                  <w:vAlign w:val="center"/>
                </w:tcPr>
                <w:p w14:paraId="02DFE791">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59D289C1">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0" w:type="dxa"/>
                  <w:bottom w:w="0" w:type="dxa"/>
                  <w:right w:w="0" w:type="dxa"/>
                </w:tblCellMar>
              </w:tblPrEx>
              <w:trPr>
                <w:jc w:val="center"/>
              </w:trPr>
              <w:tc>
                <w:tcPr>
                  <w:tcW w:w="407" w:type="pct"/>
                  <w:vMerge w:val="continue"/>
                  <w:noWrap w:val="0"/>
                  <w:vAlign w:val="center"/>
                </w:tcPr>
                <w:p w14:paraId="72BF63A8">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394" w:type="pct"/>
                  <w:vMerge w:val="continue"/>
                  <w:noWrap w:val="0"/>
                  <w:vAlign w:val="center"/>
                </w:tcPr>
                <w:p w14:paraId="2D1F818E">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2786" w:type="pct"/>
                  <w:noWrap w:val="0"/>
                  <w:vAlign w:val="center"/>
                </w:tcPr>
                <w:p w14:paraId="26B26CB7">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协同推进减污降碳，强化源头治理，强化资源能源节约和高效利用。以能源、工业、城乡建设、交通运输等领域和钢铁、建材、石化化工等行业为重点，有序开展碳达峰行动。到2025年单位地区生产总值能源消耗及二氧化碳排放量达到省要求。</w:t>
                  </w:r>
                </w:p>
              </w:tc>
              <w:tc>
                <w:tcPr>
                  <w:tcW w:w="1021" w:type="pct"/>
                  <w:noWrap w:val="0"/>
                  <w:vAlign w:val="center"/>
                </w:tcPr>
                <w:p w14:paraId="6472F9C4">
                  <w:pPr>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不涉及</w:t>
                  </w:r>
                </w:p>
              </w:tc>
              <w:tc>
                <w:tcPr>
                  <w:tcW w:w="389" w:type="pct"/>
                  <w:noWrap w:val="0"/>
                  <w:vAlign w:val="center"/>
                </w:tcPr>
                <w:p w14:paraId="1C4F580F">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0EDC96D7">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0" w:type="dxa"/>
                  <w:bottom w:w="0" w:type="dxa"/>
                  <w:right w:w="0" w:type="dxa"/>
                </w:tblCellMar>
              </w:tblPrEx>
              <w:trPr>
                <w:jc w:val="center"/>
              </w:trPr>
              <w:tc>
                <w:tcPr>
                  <w:tcW w:w="407" w:type="pct"/>
                  <w:vMerge w:val="continue"/>
                  <w:noWrap w:val="0"/>
                  <w:vAlign w:val="center"/>
                </w:tcPr>
                <w:p w14:paraId="535CF073">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394" w:type="pct"/>
                  <w:vMerge w:val="restart"/>
                  <w:noWrap w:val="0"/>
                  <w:vAlign w:val="center"/>
                </w:tcPr>
                <w:p w14:paraId="2E0ADD40">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管控要求</w:t>
                  </w:r>
                </w:p>
              </w:tc>
              <w:tc>
                <w:tcPr>
                  <w:tcW w:w="2786" w:type="pct"/>
                  <w:noWrap w:val="0"/>
                  <w:vAlign w:val="center"/>
                </w:tcPr>
                <w:p w14:paraId="7C5C9555">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1.重点支持钢铁、电力、石油化工行业实施综合节能改造工程。加快企业能源管理体系、能源管控中心建设，实施工业能效提升计划，在电力、钢铁、建材、化工、石化等重点耗能行业推行能效对标。</w:t>
                  </w:r>
                </w:p>
              </w:tc>
              <w:tc>
                <w:tcPr>
                  <w:tcW w:w="1021" w:type="pct"/>
                  <w:noWrap w:val="0"/>
                  <w:vAlign w:val="center"/>
                </w:tcPr>
                <w:p w14:paraId="6E635E9B">
                  <w:pPr>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both"/>
                    <w:textAlignment w:val="auto"/>
                    <w:rPr>
                      <w:rFonts w:hint="eastAsia" w:ascii="Times New Roman" w:hAnsi="Times New Roman" w:eastAsia="宋体" w:cs="Times New Roman"/>
                      <w:b/>
                      <w:bCs/>
                      <w:sz w:val="21"/>
                      <w:szCs w:val="21"/>
                      <w:lang w:eastAsia="zh-CN"/>
                    </w:rPr>
                  </w:pPr>
                  <w:r>
                    <w:rPr>
                      <w:rFonts w:hint="eastAsia" w:ascii="Times New Roman" w:hAnsi="Times New Roman" w:eastAsia="宋体" w:cs="Times New Roman"/>
                      <w:sz w:val="21"/>
                      <w:szCs w:val="21"/>
                      <w:lang w:eastAsia="zh-CN"/>
                    </w:rPr>
                    <w:t>本项目属于</w:t>
                  </w:r>
                  <w:r>
                    <w:rPr>
                      <w:rFonts w:hint="eastAsia" w:cs="Times New Roman"/>
                      <w:sz w:val="21"/>
                      <w:szCs w:val="21"/>
                      <w:lang w:val="en-US" w:eastAsia="zh-CN"/>
                    </w:rPr>
                    <w:t>塑料零件及其他塑料制品制造行业</w:t>
                  </w:r>
                  <w:r>
                    <w:rPr>
                      <w:rFonts w:hint="eastAsia" w:ascii="Times New Roman" w:hAnsi="Times New Roman" w:eastAsia="宋体" w:cs="Times New Roman"/>
                      <w:sz w:val="21"/>
                      <w:szCs w:val="21"/>
                    </w:rPr>
                    <w:t>，</w:t>
                  </w:r>
                  <w:r>
                    <w:rPr>
                      <w:rFonts w:hint="eastAsia" w:ascii="Times New Roman" w:hAnsi="Times New Roman" w:eastAsia="宋体" w:cs="Times New Roman"/>
                      <w:sz w:val="21"/>
                      <w:szCs w:val="21"/>
                      <w:lang w:eastAsia="zh-CN"/>
                    </w:rPr>
                    <w:t>不属于</w:t>
                  </w:r>
                  <w:r>
                    <w:rPr>
                      <w:rFonts w:hint="default" w:ascii="Times New Roman" w:hAnsi="Times New Roman" w:eastAsia="宋体" w:cs="Times New Roman"/>
                      <w:sz w:val="21"/>
                      <w:szCs w:val="21"/>
                    </w:rPr>
                    <w:t>电力、钢铁、建材、化工、石化等重点耗能行业</w:t>
                  </w:r>
                  <w:r>
                    <w:rPr>
                      <w:rFonts w:hint="eastAsia" w:ascii="Times New Roman" w:hAnsi="Times New Roman" w:eastAsia="宋体" w:cs="Times New Roman"/>
                      <w:sz w:val="21"/>
                      <w:szCs w:val="21"/>
                      <w:lang w:eastAsia="zh-CN"/>
                    </w:rPr>
                    <w:t>。</w:t>
                  </w:r>
                </w:p>
              </w:tc>
              <w:tc>
                <w:tcPr>
                  <w:tcW w:w="389" w:type="pct"/>
                  <w:noWrap w:val="0"/>
                  <w:vAlign w:val="center"/>
                </w:tcPr>
                <w:p w14:paraId="319EB30B">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3D4D280A">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0" w:type="dxa"/>
                  <w:bottom w:w="0" w:type="dxa"/>
                  <w:right w:w="0" w:type="dxa"/>
                </w:tblCellMar>
              </w:tblPrEx>
              <w:trPr>
                <w:jc w:val="center"/>
              </w:trPr>
              <w:tc>
                <w:tcPr>
                  <w:tcW w:w="407" w:type="pct"/>
                  <w:vMerge w:val="continue"/>
                  <w:noWrap w:val="0"/>
                  <w:vAlign w:val="center"/>
                </w:tcPr>
                <w:p w14:paraId="76A67B34">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394" w:type="pct"/>
                  <w:vMerge w:val="continue"/>
                  <w:noWrap w:val="0"/>
                  <w:vAlign w:val="center"/>
                </w:tcPr>
                <w:p w14:paraId="607E867B">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2786" w:type="pct"/>
                  <w:noWrap w:val="0"/>
                  <w:vAlign w:val="center"/>
                </w:tcPr>
                <w:p w14:paraId="71F8BFA3">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新建燃煤发电机组供电煤耗达到国家先进水平，燃煤机组全部达到超低排放标准。深入实施现役燃煤发电机组节能改造，基本形成技术先进、节能高效、绿色环保、布局合理、保障有力的火电结构，大容量、高参数机组比重达到90%以上。</w:t>
                  </w:r>
                </w:p>
              </w:tc>
              <w:tc>
                <w:tcPr>
                  <w:tcW w:w="1021" w:type="pct"/>
                  <w:noWrap w:val="0"/>
                  <w:vAlign w:val="center"/>
                </w:tcPr>
                <w:p w14:paraId="32881E5B">
                  <w:pPr>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不涉及</w:t>
                  </w:r>
                </w:p>
              </w:tc>
              <w:tc>
                <w:tcPr>
                  <w:tcW w:w="389" w:type="pct"/>
                  <w:noWrap w:val="0"/>
                  <w:vAlign w:val="center"/>
                </w:tcPr>
                <w:p w14:paraId="00DD52A5">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31D67E44">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0" w:type="dxa"/>
                  <w:bottom w:w="0" w:type="dxa"/>
                  <w:right w:w="0" w:type="dxa"/>
                </w:tblCellMar>
              </w:tblPrEx>
              <w:trPr>
                <w:jc w:val="center"/>
              </w:trPr>
              <w:tc>
                <w:tcPr>
                  <w:tcW w:w="407" w:type="pct"/>
                  <w:vMerge w:val="continue"/>
                  <w:noWrap w:val="0"/>
                  <w:vAlign w:val="center"/>
                </w:tcPr>
                <w:p w14:paraId="6322D82C">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394" w:type="pct"/>
                  <w:vMerge w:val="continue"/>
                  <w:noWrap w:val="0"/>
                  <w:vAlign w:val="center"/>
                </w:tcPr>
                <w:p w14:paraId="17906D91">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2786" w:type="pct"/>
                  <w:noWrap w:val="0"/>
                  <w:vAlign w:val="center"/>
                </w:tcPr>
                <w:p w14:paraId="5B089609">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严格控制燃煤机组新增装机规模，引导督促发电企业使用高热值煤；持续提高接受外送电量比例，在保障电网安全的前提下，最大程度降低市内煤电机组出力，新增用电量主要依靠区域内非化石能源发电和外送电满足。</w:t>
                  </w:r>
                </w:p>
              </w:tc>
              <w:tc>
                <w:tcPr>
                  <w:tcW w:w="1021" w:type="pct"/>
                  <w:noWrap w:val="0"/>
                  <w:vAlign w:val="center"/>
                </w:tcPr>
                <w:p w14:paraId="55FEB332">
                  <w:pPr>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不涉及</w:t>
                  </w:r>
                </w:p>
              </w:tc>
              <w:tc>
                <w:tcPr>
                  <w:tcW w:w="389" w:type="pct"/>
                  <w:noWrap w:val="0"/>
                  <w:vAlign w:val="center"/>
                </w:tcPr>
                <w:p w14:paraId="4CD0B376">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238D81E4">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0" w:type="dxa"/>
                  <w:bottom w:w="0" w:type="dxa"/>
                  <w:right w:w="0" w:type="dxa"/>
                </w:tblCellMar>
              </w:tblPrEx>
              <w:trPr>
                <w:jc w:val="center"/>
              </w:trPr>
              <w:tc>
                <w:tcPr>
                  <w:tcW w:w="407" w:type="pct"/>
                  <w:vMerge w:val="continue"/>
                  <w:noWrap w:val="0"/>
                  <w:vAlign w:val="center"/>
                </w:tcPr>
                <w:p w14:paraId="23CBA265">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394" w:type="pct"/>
                  <w:vMerge w:val="continue"/>
                  <w:noWrap w:val="0"/>
                  <w:vAlign w:val="center"/>
                </w:tcPr>
                <w:p w14:paraId="2B2F67FC">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2786" w:type="pct"/>
                  <w:noWrap w:val="0"/>
                  <w:vAlign w:val="center"/>
                </w:tcPr>
                <w:p w14:paraId="4913256E">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严控工业和民用燃煤质量，从严执行国家《商品煤质量民用散煤》（GB34169）标准，生产加工企业供应用户的煤炭质量须同时满足河北省《工业和民用燃料煤》（DB13/2081）地方标准要求、《水泥回转窑用煤商品煤质量》（GBT7563）标准。《河北省动力煤质量标准》发布后执行新的煤质标准。</w:t>
                  </w:r>
                </w:p>
              </w:tc>
              <w:tc>
                <w:tcPr>
                  <w:tcW w:w="1021" w:type="pct"/>
                  <w:noWrap w:val="0"/>
                  <w:vAlign w:val="center"/>
                </w:tcPr>
                <w:p w14:paraId="10386755">
                  <w:pPr>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不涉及</w:t>
                  </w:r>
                </w:p>
              </w:tc>
              <w:tc>
                <w:tcPr>
                  <w:tcW w:w="389" w:type="pct"/>
                  <w:noWrap w:val="0"/>
                  <w:vAlign w:val="center"/>
                </w:tcPr>
                <w:p w14:paraId="7EEFF6C5">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7FA09B7C">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0" w:type="dxa"/>
                  <w:bottom w:w="0" w:type="dxa"/>
                  <w:right w:w="0" w:type="dxa"/>
                </w:tblCellMar>
              </w:tblPrEx>
              <w:trPr>
                <w:jc w:val="center"/>
              </w:trPr>
              <w:tc>
                <w:tcPr>
                  <w:tcW w:w="407" w:type="pct"/>
                  <w:vMerge w:val="continue"/>
                  <w:noWrap w:val="0"/>
                  <w:vAlign w:val="center"/>
                </w:tcPr>
                <w:p w14:paraId="680DC27C">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394" w:type="pct"/>
                  <w:vMerge w:val="continue"/>
                  <w:noWrap w:val="0"/>
                  <w:vAlign w:val="center"/>
                </w:tcPr>
                <w:p w14:paraId="3D0D6624">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2786" w:type="pct"/>
                  <w:noWrap w:val="0"/>
                  <w:vAlign w:val="center"/>
                </w:tcPr>
                <w:p w14:paraId="5A1F167D">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对以煤、石油焦、渣油、重油等为燃料的工业炉窑，加快使用清洁低碳能源以及利用工厂余热、电厂热力等进行替代，禁止掺烧高硫石油焦（硫含量大于3%）。玻璃行业全面禁止掺烧高硫石油焦。基本取缔燃煤热风炉、钢铁行业燃煤供热锅炉，有色行业基本淘汰燃煤干燥窑、燃煤反射炉、以煤为燃料的熔铅锅和电铅锅，基本淘汰热电联产供热管网覆盖范围内的燃煤加热、烘干炉（窑）。</w:t>
                  </w:r>
                </w:p>
              </w:tc>
              <w:tc>
                <w:tcPr>
                  <w:tcW w:w="1021" w:type="pct"/>
                  <w:noWrap w:val="0"/>
                  <w:vAlign w:val="center"/>
                </w:tcPr>
                <w:p w14:paraId="2AF87C6C">
                  <w:pPr>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不涉及</w:t>
                  </w:r>
                </w:p>
              </w:tc>
              <w:tc>
                <w:tcPr>
                  <w:tcW w:w="389" w:type="pct"/>
                  <w:noWrap w:val="0"/>
                  <w:vAlign w:val="center"/>
                </w:tcPr>
                <w:p w14:paraId="515CBEBE">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3E23E9AC">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0" w:type="dxa"/>
                  <w:bottom w:w="0" w:type="dxa"/>
                  <w:right w:w="0" w:type="dxa"/>
                </w:tblCellMar>
              </w:tblPrEx>
              <w:trPr>
                <w:jc w:val="center"/>
              </w:trPr>
              <w:tc>
                <w:tcPr>
                  <w:tcW w:w="407" w:type="pct"/>
                  <w:vMerge w:val="restart"/>
                  <w:noWrap w:val="0"/>
                  <w:vAlign w:val="center"/>
                </w:tcPr>
                <w:p w14:paraId="33AB9C0A">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岸线资源</w:t>
                  </w:r>
                </w:p>
              </w:tc>
              <w:tc>
                <w:tcPr>
                  <w:tcW w:w="394" w:type="pct"/>
                  <w:noWrap w:val="0"/>
                  <w:vAlign w:val="center"/>
                </w:tcPr>
                <w:p w14:paraId="4C80CF06">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利用上线</w:t>
                  </w:r>
                </w:p>
              </w:tc>
              <w:tc>
                <w:tcPr>
                  <w:tcW w:w="2786" w:type="pct"/>
                  <w:noWrap w:val="0"/>
                  <w:vAlign w:val="center"/>
                </w:tcPr>
                <w:p w14:paraId="36713BD1">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自然岸线保有率不降低。</w:t>
                  </w:r>
                </w:p>
              </w:tc>
              <w:tc>
                <w:tcPr>
                  <w:tcW w:w="1021" w:type="pct"/>
                  <w:noWrap w:val="0"/>
                  <w:vAlign w:val="center"/>
                </w:tcPr>
                <w:p w14:paraId="184D6EC1">
                  <w:pPr>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不涉及</w:t>
                  </w:r>
                </w:p>
              </w:tc>
              <w:tc>
                <w:tcPr>
                  <w:tcW w:w="389" w:type="pct"/>
                  <w:noWrap w:val="0"/>
                  <w:vAlign w:val="center"/>
                </w:tcPr>
                <w:p w14:paraId="0738C9C6">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0215BA4D">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0" w:type="dxa"/>
                  <w:bottom w:w="0" w:type="dxa"/>
                  <w:right w:w="0" w:type="dxa"/>
                </w:tblCellMar>
              </w:tblPrEx>
              <w:trPr>
                <w:jc w:val="center"/>
              </w:trPr>
              <w:tc>
                <w:tcPr>
                  <w:tcW w:w="407" w:type="pct"/>
                  <w:vMerge w:val="continue"/>
                  <w:noWrap w:val="0"/>
                  <w:vAlign w:val="center"/>
                </w:tcPr>
                <w:p w14:paraId="312FC293">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394" w:type="pct"/>
                  <w:vMerge w:val="restart"/>
                  <w:noWrap w:val="0"/>
                  <w:vAlign w:val="center"/>
                </w:tcPr>
                <w:p w14:paraId="2309250B">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管控要求</w:t>
                  </w:r>
                </w:p>
              </w:tc>
              <w:tc>
                <w:tcPr>
                  <w:tcW w:w="2786" w:type="pct"/>
                  <w:noWrap w:val="0"/>
                  <w:vAlign w:val="center"/>
                </w:tcPr>
                <w:p w14:paraId="43DFB664">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1.加强岸线保护，保留岸线自然形态，除国家重大建设项目和经法定批复的岸线利用外，原则上禁止开发建设活动。对于沿岸直排口进行集中整治，加强入海河流污染治理，保证沿岸生态环境的安全。</w:t>
                  </w:r>
                </w:p>
              </w:tc>
              <w:tc>
                <w:tcPr>
                  <w:tcW w:w="1021" w:type="pct"/>
                  <w:noWrap w:val="0"/>
                  <w:vAlign w:val="center"/>
                </w:tcPr>
                <w:p w14:paraId="1FC9588F">
                  <w:pPr>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不涉及</w:t>
                  </w:r>
                </w:p>
              </w:tc>
              <w:tc>
                <w:tcPr>
                  <w:tcW w:w="389" w:type="pct"/>
                  <w:noWrap w:val="0"/>
                  <w:vAlign w:val="center"/>
                </w:tcPr>
                <w:p w14:paraId="0A2084D2">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2F488339">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0" w:type="dxa"/>
                  <w:bottom w:w="0" w:type="dxa"/>
                  <w:right w:w="0" w:type="dxa"/>
                </w:tblCellMar>
              </w:tblPrEx>
              <w:trPr>
                <w:jc w:val="center"/>
              </w:trPr>
              <w:tc>
                <w:tcPr>
                  <w:tcW w:w="407" w:type="pct"/>
                  <w:vMerge w:val="continue"/>
                  <w:noWrap w:val="0"/>
                  <w:vAlign w:val="center"/>
                </w:tcPr>
                <w:p w14:paraId="4E2CC3A9">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394" w:type="pct"/>
                  <w:vMerge w:val="continue"/>
                  <w:noWrap w:val="0"/>
                  <w:vAlign w:val="center"/>
                </w:tcPr>
                <w:p w14:paraId="35E8BEE0">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2786" w:type="pct"/>
                  <w:noWrap w:val="0"/>
                  <w:vAlign w:val="center"/>
                </w:tcPr>
                <w:p w14:paraId="56090D55">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2.加强工业、港口人工岸线监管，原则上不再批复围填海工程，开展人工利用岸线固废、废水等污染综合整治，降低对周边海域生态功能的影响。</w:t>
                  </w:r>
                </w:p>
              </w:tc>
              <w:tc>
                <w:tcPr>
                  <w:tcW w:w="1021" w:type="pct"/>
                  <w:noWrap w:val="0"/>
                  <w:vAlign w:val="center"/>
                </w:tcPr>
                <w:p w14:paraId="5CE340FF">
                  <w:pPr>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不涉及</w:t>
                  </w:r>
                </w:p>
              </w:tc>
              <w:tc>
                <w:tcPr>
                  <w:tcW w:w="389" w:type="pct"/>
                  <w:noWrap w:val="0"/>
                  <w:vAlign w:val="center"/>
                </w:tcPr>
                <w:p w14:paraId="62128653">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5A73BE08">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0" w:type="dxa"/>
                  <w:bottom w:w="0" w:type="dxa"/>
                  <w:right w:w="0" w:type="dxa"/>
                </w:tblCellMar>
              </w:tblPrEx>
              <w:trPr>
                <w:jc w:val="center"/>
              </w:trPr>
              <w:tc>
                <w:tcPr>
                  <w:tcW w:w="407" w:type="pct"/>
                  <w:vMerge w:val="continue"/>
                  <w:noWrap w:val="0"/>
                  <w:vAlign w:val="center"/>
                </w:tcPr>
                <w:p w14:paraId="393E6980">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394" w:type="pct"/>
                  <w:vMerge w:val="continue"/>
                  <w:noWrap w:val="0"/>
                  <w:vAlign w:val="center"/>
                </w:tcPr>
                <w:p w14:paraId="223318BD">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2786" w:type="pct"/>
                  <w:noWrap w:val="0"/>
                  <w:vAlign w:val="center"/>
                </w:tcPr>
                <w:p w14:paraId="2A3BFC09">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3.陆海统筹，加强海洋生态红线区内的岸线开发活动管控，限制影响生态红线区生态环境安全的开发建设活动，禁止新增陆源直排口。</w:t>
                  </w:r>
                </w:p>
              </w:tc>
              <w:tc>
                <w:tcPr>
                  <w:tcW w:w="1021" w:type="pct"/>
                  <w:noWrap w:val="0"/>
                  <w:vAlign w:val="center"/>
                </w:tcPr>
                <w:p w14:paraId="311331F8">
                  <w:pPr>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不涉及</w:t>
                  </w:r>
                </w:p>
              </w:tc>
              <w:tc>
                <w:tcPr>
                  <w:tcW w:w="389" w:type="pct"/>
                  <w:noWrap w:val="0"/>
                  <w:vAlign w:val="center"/>
                </w:tcPr>
                <w:p w14:paraId="7756BD5F">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7D08FC0A">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0" w:type="dxa"/>
                  <w:bottom w:w="0" w:type="dxa"/>
                  <w:right w:w="0" w:type="dxa"/>
                </w:tblCellMar>
              </w:tblPrEx>
              <w:trPr>
                <w:jc w:val="center"/>
              </w:trPr>
              <w:tc>
                <w:tcPr>
                  <w:tcW w:w="407" w:type="pct"/>
                  <w:vMerge w:val="continue"/>
                  <w:noWrap w:val="0"/>
                  <w:vAlign w:val="center"/>
                </w:tcPr>
                <w:p w14:paraId="4181D642">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394" w:type="pct"/>
                  <w:vMerge w:val="continue"/>
                  <w:noWrap w:val="0"/>
                  <w:vAlign w:val="center"/>
                </w:tcPr>
                <w:p w14:paraId="5764244B">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2786" w:type="pct"/>
                  <w:noWrap w:val="0"/>
                  <w:vAlign w:val="center"/>
                </w:tcPr>
                <w:p w14:paraId="5F9C8BE0">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4.参照《河北省海岸线保护与利用规划》要求，开展渔业养殖和旅游开发等活动，需保持合理的开发强度和防护距离，避免对沿海岸线生态和水环境造成影响。</w:t>
                  </w:r>
                </w:p>
              </w:tc>
              <w:tc>
                <w:tcPr>
                  <w:tcW w:w="1021" w:type="pct"/>
                  <w:noWrap w:val="0"/>
                  <w:vAlign w:val="center"/>
                </w:tcPr>
                <w:p w14:paraId="2B4565F3">
                  <w:pPr>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不涉及</w:t>
                  </w:r>
                </w:p>
              </w:tc>
              <w:tc>
                <w:tcPr>
                  <w:tcW w:w="389" w:type="pct"/>
                  <w:noWrap w:val="0"/>
                  <w:vAlign w:val="center"/>
                </w:tcPr>
                <w:p w14:paraId="1459D00B">
                  <w:pPr>
                    <w:pStyle w:val="248"/>
                    <w:keepNext w:val="0"/>
                    <w:keepLines w:val="0"/>
                    <w:pageBreakBefore w:val="0"/>
                    <w:widowControl w:val="0"/>
                    <w:suppressLineNumbers w:val="0"/>
                    <w:kinsoku/>
                    <w:wordWrap/>
                    <w:overflowPunct/>
                    <w:topLinePunct w:val="0"/>
                    <w:autoSpaceDE/>
                    <w:autoSpaceDN/>
                    <w:bidi w:val="0"/>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bl>
          <w:p w14:paraId="1F9EC61A">
            <w:pPr>
              <w:pStyle w:val="13"/>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firstLine="480" w:firstLineChars="200"/>
              <w:jc w:val="both"/>
              <w:textAlignment w:val="auto"/>
              <w:rPr>
                <w:rFonts w:hint="eastAsia" w:eastAsia="宋体"/>
                <w:sz w:val="24"/>
                <w:szCs w:val="24"/>
                <w:lang w:eastAsia="zh-CN"/>
              </w:rPr>
            </w:pPr>
            <w:r>
              <w:rPr>
                <w:rFonts w:hint="eastAsia" w:eastAsia="宋体"/>
                <w:sz w:val="24"/>
                <w:szCs w:val="24"/>
                <w:lang w:eastAsia="zh-CN"/>
              </w:rPr>
              <w:t>根据上表，本项目符合全市资源利用总体管控要求。</w:t>
            </w:r>
          </w:p>
          <w:p w14:paraId="76E121A1">
            <w:pPr>
              <w:pStyle w:val="1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Autospacing="0"/>
              <w:ind w:left="0" w:right="0" w:firstLine="420"/>
              <w:jc w:val="center"/>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rPr>
              <w:t>项目与“全市产业布局总体管控要求”符合性分析一览表</w:t>
            </w:r>
          </w:p>
          <w:tbl>
            <w:tblPr>
              <w:tblStyle w:val="38"/>
              <w:tblW w:w="5000" w:type="pct"/>
              <w:jc w:val="center"/>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28" w:type="dxa"/>
                <w:bottom w:w="0" w:type="dxa"/>
                <w:right w:w="28" w:type="dxa"/>
              </w:tblCellMar>
            </w:tblPr>
            <w:tblGrid>
              <w:gridCol w:w="548"/>
              <w:gridCol w:w="4890"/>
              <w:gridCol w:w="1634"/>
              <w:gridCol w:w="598"/>
            </w:tblGrid>
            <w:tr w14:paraId="4715661A">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28" w:type="dxa"/>
                  <w:bottom w:w="0" w:type="dxa"/>
                  <w:right w:w="28" w:type="dxa"/>
                </w:tblCellMar>
              </w:tblPrEx>
              <w:trPr>
                <w:trHeight w:val="20" w:hRule="atLeast"/>
                <w:jc w:val="center"/>
              </w:trPr>
              <w:tc>
                <w:tcPr>
                  <w:tcW w:w="357" w:type="pct"/>
                  <w:noWrap w:val="0"/>
                  <w:vAlign w:val="center"/>
                </w:tcPr>
                <w:p w14:paraId="68051785">
                  <w:pPr>
                    <w:pStyle w:val="248"/>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产业</w:t>
                  </w:r>
                </w:p>
              </w:tc>
              <w:tc>
                <w:tcPr>
                  <w:tcW w:w="3187" w:type="pct"/>
                  <w:noWrap w:val="0"/>
                  <w:vAlign w:val="center"/>
                </w:tcPr>
                <w:p w14:paraId="7763CECE">
                  <w:pPr>
                    <w:pStyle w:val="248"/>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管控要求</w:t>
                  </w:r>
                </w:p>
              </w:tc>
              <w:tc>
                <w:tcPr>
                  <w:tcW w:w="1065" w:type="pct"/>
                  <w:noWrap w:val="0"/>
                  <w:vAlign w:val="center"/>
                </w:tcPr>
                <w:p w14:paraId="473257E1">
                  <w:pPr>
                    <w:pStyle w:val="248"/>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本项目情况</w:t>
                  </w:r>
                </w:p>
              </w:tc>
              <w:tc>
                <w:tcPr>
                  <w:tcW w:w="389" w:type="pct"/>
                  <w:noWrap w:val="0"/>
                  <w:vAlign w:val="center"/>
                </w:tcPr>
                <w:p w14:paraId="4887DE09">
                  <w:pPr>
                    <w:pStyle w:val="248"/>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符合性</w:t>
                  </w:r>
                </w:p>
              </w:tc>
            </w:tr>
            <w:tr w14:paraId="160462BB">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28" w:type="dxa"/>
                  <w:bottom w:w="0" w:type="dxa"/>
                  <w:right w:w="28" w:type="dxa"/>
                </w:tblCellMar>
              </w:tblPrEx>
              <w:trPr>
                <w:trHeight w:val="20" w:hRule="atLeast"/>
                <w:jc w:val="center"/>
              </w:trPr>
              <w:tc>
                <w:tcPr>
                  <w:tcW w:w="357" w:type="pct"/>
                  <w:vMerge w:val="restart"/>
                  <w:noWrap w:val="0"/>
                  <w:vAlign w:val="center"/>
                </w:tcPr>
                <w:p w14:paraId="0882AE2B">
                  <w:pPr>
                    <w:pStyle w:val="248"/>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产业总体布局要求</w:t>
                  </w:r>
                  <w:r>
                    <w:rPr>
                      <w:rFonts w:hint="default" w:ascii="Times New Roman" w:hAnsi="Times New Roman" w:eastAsia="宋体" w:cs="Times New Roman"/>
                      <w:sz w:val="21"/>
                      <w:szCs w:val="21"/>
                    </w:rPr>
                    <w:br w:type="column"/>
                  </w:r>
                </w:p>
              </w:tc>
              <w:tc>
                <w:tcPr>
                  <w:tcW w:w="3187" w:type="pct"/>
                  <w:noWrap w:val="0"/>
                  <w:vAlign w:val="center"/>
                </w:tcPr>
                <w:p w14:paraId="5D8D833F">
                  <w:pPr>
                    <w:pStyle w:val="248"/>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1.禁止新建国家《产业结构调整指导目录》中限制类、淘汰类产业项目，《市场准入负面清单》中禁止准入类及《河北省禁止投资的产业目录》中的产业项目。</w:t>
                  </w:r>
                </w:p>
                <w:p w14:paraId="4E5F8A50">
                  <w:pPr>
                    <w:pStyle w:val="248"/>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2.严格控制《环境保护综合名录》中</w:t>
                  </w:r>
                  <w:r>
                    <w:rPr>
                      <w:rFonts w:hint="eastAsia" w:ascii="Times New Roman" w:hAnsi="Times New Roman" w:eastAsia="宋体" w:cs="Times New Roman"/>
                      <w:sz w:val="21"/>
                      <w:szCs w:val="21"/>
                      <w:lang w:eastAsia="zh-CN"/>
                    </w:rPr>
                    <w:t>“</w:t>
                  </w:r>
                  <w:r>
                    <w:rPr>
                      <w:rFonts w:hint="default" w:ascii="Times New Roman" w:hAnsi="Times New Roman" w:eastAsia="宋体" w:cs="Times New Roman"/>
                      <w:sz w:val="21"/>
                      <w:szCs w:val="21"/>
                    </w:rPr>
                    <w:t>高污染、高风险</w:t>
                  </w:r>
                  <w:r>
                    <w:rPr>
                      <w:rFonts w:hint="eastAsia" w:ascii="Times New Roman" w:hAnsi="Times New Roman" w:eastAsia="宋体" w:cs="Times New Roman"/>
                      <w:sz w:val="21"/>
                      <w:szCs w:val="21"/>
                      <w:lang w:eastAsia="zh-CN"/>
                    </w:rPr>
                    <w:t>”</w:t>
                  </w:r>
                  <w:r>
                    <w:rPr>
                      <w:rFonts w:hint="default" w:ascii="Times New Roman" w:hAnsi="Times New Roman" w:eastAsia="宋体" w:cs="Times New Roman"/>
                      <w:sz w:val="21"/>
                      <w:szCs w:val="21"/>
                    </w:rPr>
                    <w:t>产品加工项目建设，严格控制生态脆弱或环境敏感地区建设</w:t>
                  </w:r>
                  <w:r>
                    <w:rPr>
                      <w:rFonts w:hint="eastAsia" w:ascii="Times New Roman" w:hAnsi="Times New Roman" w:eastAsia="宋体" w:cs="Times New Roman"/>
                      <w:sz w:val="21"/>
                      <w:szCs w:val="21"/>
                      <w:lang w:eastAsia="zh-CN"/>
                    </w:rPr>
                    <w:t>“</w:t>
                  </w:r>
                  <w:r>
                    <w:rPr>
                      <w:rFonts w:hint="default" w:ascii="Times New Roman" w:hAnsi="Times New Roman" w:eastAsia="宋体" w:cs="Times New Roman"/>
                      <w:sz w:val="21"/>
                      <w:szCs w:val="21"/>
                    </w:rPr>
                    <w:t>两高</w:t>
                  </w:r>
                  <w:r>
                    <w:rPr>
                      <w:rFonts w:hint="eastAsia" w:ascii="Times New Roman" w:hAnsi="Times New Roman" w:eastAsia="宋体" w:cs="Times New Roman"/>
                      <w:sz w:val="21"/>
                      <w:szCs w:val="21"/>
                      <w:lang w:eastAsia="zh-CN"/>
                    </w:rPr>
                    <w:t>”</w:t>
                  </w:r>
                  <w:r>
                    <w:rPr>
                      <w:rFonts w:hint="default" w:ascii="Times New Roman" w:hAnsi="Times New Roman" w:eastAsia="宋体" w:cs="Times New Roman"/>
                      <w:sz w:val="21"/>
                      <w:szCs w:val="21"/>
                    </w:rPr>
                    <w:t>行业项目。</w:t>
                  </w:r>
                </w:p>
                <w:p w14:paraId="22B13932">
                  <w:pPr>
                    <w:pStyle w:val="248"/>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严禁钢铁、焦化、水泥、平板玻璃、电解铝、有色、电石、铁合金、陶瓷、水泥熟料、煤化工等新增产能项目建设，鼓励建设大型超超临界和超临界机组，重点行业新（改、扩）建项目严格执行产能置换、煤炭、污染物倍量削减替代办法。</w:t>
                  </w:r>
                </w:p>
              </w:tc>
              <w:tc>
                <w:tcPr>
                  <w:tcW w:w="1065" w:type="pct"/>
                  <w:noWrap w:val="0"/>
                  <w:vAlign w:val="center"/>
                </w:tcPr>
                <w:p w14:paraId="298DE992">
                  <w:pPr>
                    <w:pStyle w:val="248"/>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157" w:afterLines="50" w:afterAutospacing="0"/>
                    <w:ind w:left="105" w:leftChars="50" w:right="105" w:rightChars="50"/>
                    <w:jc w:val="both"/>
                    <w:textAlignment w:val="auto"/>
                    <w:rPr>
                      <w:rFonts w:hint="eastAsia" w:cs="Times New Roman"/>
                      <w:sz w:val="21"/>
                      <w:szCs w:val="21"/>
                      <w:lang w:eastAsia="zh-CN"/>
                    </w:rPr>
                  </w:pPr>
                  <w:r>
                    <w:rPr>
                      <w:rFonts w:hint="eastAsia" w:cs="Times New Roman"/>
                      <w:sz w:val="21"/>
                      <w:szCs w:val="21"/>
                      <w:lang w:val="en-US" w:eastAsia="zh-CN"/>
                    </w:rPr>
                    <w:t>1.</w:t>
                  </w:r>
                  <w:r>
                    <w:rPr>
                      <w:rFonts w:hint="default" w:ascii="Times New Roman" w:hAnsi="Times New Roman" w:eastAsia="宋体" w:cs="Times New Roman"/>
                      <w:sz w:val="21"/>
                      <w:szCs w:val="21"/>
                    </w:rPr>
                    <w:t>本项目</w:t>
                  </w:r>
                  <w:r>
                    <w:rPr>
                      <w:rFonts w:hint="default" w:ascii="Times New Roman" w:hAnsi="Times New Roman" w:eastAsia="宋体" w:cs="Times New Roman"/>
                      <w:kern w:val="0"/>
                      <w:sz w:val="21"/>
                      <w:szCs w:val="21"/>
                      <w:lang w:bidi="en-US"/>
                    </w:rPr>
                    <w:t>为</w:t>
                  </w:r>
                  <w:r>
                    <w:rPr>
                      <w:rFonts w:hint="eastAsia" w:cs="Times New Roman"/>
                      <w:sz w:val="21"/>
                      <w:szCs w:val="21"/>
                      <w:lang w:val="en-US" w:eastAsia="zh-CN"/>
                    </w:rPr>
                    <w:t>塑料零件及其他塑料制品制造行业</w:t>
                  </w:r>
                  <w:r>
                    <w:rPr>
                      <w:rFonts w:hint="eastAsia" w:ascii="Times New Roman" w:hAnsi="Times New Roman" w:eastAsia="宋体" w:cs="Times New Roman"/>
                      <w:sz w:val="21"/>
                      <w:szCs w:val="21"/>
                    </w:rPr>
                    <w:t>，</w:t>
                  </w:r>
                  <w:r>
                    <w:rPr>
                      <w:rFonts w:hint="eastAsia" w:ascii="Times New Roman" w:hAnsi="Times New Roman" w:eastAsia="宋体" w:cs="Times New Roman"/>
                      <w:sz w:val="21"/>
                      <w:szCs w:val="21"/>
                      <w:lang w:eastAsia="zh-CN"/>
                    </w:rPr>
                    <w:t>生产中药包装袋，属于医药配套产业</w:t>
                  </w:r>
                  <w:r>
                    <w:rPr>
                      <w:rFonts w:hint="default" w:ascii="Times New Roman" w:hAnsi="Times New Roman" w:eastAsia="宋体" w:cs="Times New Roman"/>
                      <w:sz w:val="21"/>
                      <w:szCs w:val="21"/>
                    </w:rPr>
                    <w:t>，不属于相关产业政策中的禁止、限制和淘汰类产业</w:t>
                  </w:r>
                  <w:r>
                    <w:rPr>
                      <w:rFonts w:hint="eastAsia" w:cs="Times New Roman"/>
                      <w:sz w:val="21"/>
                      <w:szCs w:val="21"/>
                      <w:lang w:eastAsia="zh-CN"/>
                    </w:rPr>
                    <w:t>；</w:t>
                  </w:r>
                </w:p>
                <w:p w14:paraId="495D5489">
                  <w:pPr>
                    <w:pStyle w:val="248"/>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157" w:afterLines="50" w:afterAutospacing="0"/>
                    <w:ind w:left="105" w:leftChars="50" w:right="105" w:rightChars="50"/>
                    <w:jc w:val="both"/>
                    <w:textAlignment w:val="auto"/>
                    <w:rPr>
                      <w:rFonts w:hint="eastAsia" w:cs="Times New Roman"/>
                      <w:sz w:val="21"/>
                      <w:szCs w:val="21"/>
                      <w:lang w:eastAsia="zh-CN"/>
                    </w:rPr>
                  </w:pPr>
                  <w:r>
                    <w:rPr>
                      <w:rFonts w:hint="eastAsia" w:cs="Times New Roman"/>
                      <w:sz w:val="21"/>
                      <w:szCs w:val="21"/>
                      <w:lang w:val="en-US" w:eastAsia="zh-CN"/>
                    </w:rPr>
                    <w:t>2.本项目</w:t>
                  </w:r>
                  <w:r>
                    <w:rPr>
                      <w:rFonts w:hint="default" w:ascii="Times New Roman" w:hAnsi="Times New Roman" w:eastAsia="宋体" w:cs="Times New Roman"/>
                      <w:sz w:val="21"/>
                      <w:szCs w:val="21"/>
                    </w:rPr>
                    <w:t>不属于</w:t>
                  </w:r>
                  <w:r>
                    <w:rPr>
                      <w:rFonts w:hint="eastAsia" w:ascii="Times New Roman" w:hAnsi="Times New Roman" w:eastAsia="宋体" w:cs="Times New Roman"/>
                      <w:sz w:val="21"/>
                      <w:szCs w:val="21"/>
                      <w:lang w:eastAsia="zh-CN"/>
                    </w:rPr>
                    <w:t>“</w:t>
                  </w:r>
                  <w:r>
                    <w:rPr>
                      <w:rFonts w:hint="default" w:ascii="Times New Roman" w:hAnsi="Times New Roman" w:eastAsia="宋体" w:cs="Times New Roman"/>
                      <w:sz w:val="21"/>
                      <w:szCs w:val="21"/>
                    </w:rPr>
                    <w:t>高污染、高风险</w:t>
                  </w:r>
                  <w:r>
                    <w:rPr>
                      <w:rFonts w:hint="eastAsia" w:ascii="Times New Roman" w:hAnsi="Times New Roman" w:eastAsia="宋体" w:cs="Times New Roman"/>
                      <w:sz w:val="21"/>
                      <w:szCs w:val="21"/>
                      <w:lang w:eastAsia="zh-CN"/>
                    </w:rPr>
                    <w:t>”</w:t>
                  </w:r>
                  <w:r>
                    <w:rPr>
                      <w:rFonts w:hint="default" w:ascii="Times New Roman" w:hAnsi="Times New Roman" w:eastAsia="宋体" w:cs="Times New Roman"/>
                      <w:sz w:val="21"/>
                      <w:szCs w:val="21"/>
                    </w:rPr>
                    <w:t>产品加工项目</w:t>
                  </w:r>
                  <w:r>
                    <w:rPr>
                      <w:rFonts w:hint="eastAsia" w:cs="Times New Roman"/>
                      <w:sz w:val="21"/>
                      <w:szCs w:val="21"/>
                      <w:lang w:eastAsia="zh-CN"/>
                    </w:rPr>
                    <w:t>；</w:t>
                  </w:r>
                </w:p>
                <w:p w14:paraId="69B6238B">
                  <w:pPr>
                    <w:pStyle w:val="248"/>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eastAsia" w:cs="Times New Roman"/>
                      <w:sz w:val="21"/>
                      <w:szCs w:val="21"/>
                      <w:lang w:val="en-US" w:eastAsia="zh-CN"/>
                    </w:rPr>
                    <w:t>3.本项目</w:t>
                  </w:r>
                  <w:r>
                    <w:rPr>
                      <w:rFonts w:hint="default" w:ascii="Times New Roman" w:hAnsi="Times New Roman" w:eastAsia="宋体" w:cs="Times New Roman"/>
                      <w:sz w:val="21"/>
                      <w:szCs w:val="21"/>
                    </w:rPr>
                    <w:t>不属于钢铁、焦化、水泥、平板玻璃等新增产能项目建设。</w:t>
                  </w:r>
                </w:p>
              </w:tc>
              <w:tc>
                <w:tcPr>
                  <w:tcW w:w="389" w:type="pct"/>
                  <w:noWrap w:val="0"/>
                  <w:vAlign w:val="center"/>
                </w:tcPr>
                <w:p w14:paraId="499EC421">
                  <w:pPr>
                    <w:pStyle w:val="248"/>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309281F2">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28" w:type="dxa"/>
                  <w:bottom w:w="0" w:type="dxa"/>
                  <w:right w:w="28" w:type="dxa"/>
                </w:tblCellMar>
              </w:tblPrEx>
              <w:trPr>
                <w:trHeight w:val="20" w:hRule="atLeast"/>
                <w:jc w:val="center"/>
              </w:trPr>
              <w:tc>
                <w:tcPr>
                  <w:tcW w:w="357" w:type="pct"/>
                  <w:vMerge w:val="continue"/>
                  <w:noWrap w:val="0"/>
                  <w:vAlign w:val="center"/>
                </w:tcPr>
                <w:p w14:paraId="6A78FB0E">
                  <w:pPr>
                    <w:pStyle w:val="248"/>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3187" w:type="pct"/>
                  <w:noWrap w:val="0"/>
                  <w:vAlign w:val="center"/>
                </w:tcPr>
                <w:p w14:paraId="21900120">
                  <w:pPr>
                    <w:pStyle w:val="248"/>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上一年度环境空气质量年平均浓度不达标的城市、水环境质量未达到要求的县，相关污染物应按照建设项目所需替代的主要污染物排放总量指标的2倍进行削减替代（燃煤发电机组大气污染物</w:t>
                  </w:r>
                  <w:r>
                    <w:rPr>
                      <w:rFonts w:hint="default" w:ascii="Times New Roman" w:hAnsi="Times New Roman" w:eastAsia="宋体" w:cs="Times New Roman"/>
                      <w:color w:val="auto"/>
                      <w:sz w:val="21"/>
                      <w:szCs w:val="21"/>
                    </w:rPr>
                    <w:t>排放浓度基本达到燃气轮机组排放限值的除外）；细颗粒物（PM</w:t>
                  </w:r>
                  <w:r>
                    <w:rPr>
                      <w:rFonts w:hint="default" w:ascii="Times New Roman" w:hAnsi="Times New Roman" w:eastAsia="宋体" w:cs="Times New Roman"/>
                      <w:color w:val="auto"/>
                      <w:sz w:val="21"/>
                      <w:szCs w:val="21"/>
                      <w:vertAlign w:val="subscript"/>
                    </w:rPr>
                    <w:t>2.5</w:t>
                  </w:r>
                  <w:r>
                    <w:rPr>
                      <w:rFonts w:hint="default" w:ascii="Times New Roman" w:hAnsi="Times New Roman" w:eastAsia="宋体" w:cs="Times New Roman"/>
                      <w:color w:val="auto"/>
                      <w:sz w:val="21"/>
                      <w:szCs w:val="21"/>
                    </w:rPr>
                    <w:t>）年平均浓度不达标的城市，二氧化硫、氮氧化物、烟粉尘、挥发性有机物四项污染物均需进行2倍削减替代</w:t>
                  </w:r>
                  <w:r>
                    <w:rPr>
                      <w:rFonts w:hint="default" w:ascii="Times New Roman" w:hAnsi="Times New Roman" w:eastAsia="宋体" w:cs="Times New Roman"/>
                      <w:sz w:val="21"/>
                      <w:szCs w:val="21"/>
                    </w:rPr>
                    <w:t>（燃煤发电机组大气污染物排放浓度基本达到燃气轮机组排放限值的除外）。地方有更严格倍量替代要求的，按照相关规定执行。</w:t>
                  </w:r>
                </w:p>
              </w:tc>
              <w:tc>
                <w:tcPr>
                  <w:tcW w:w="1065" w:type="pct"/>
                  <w:noWrap w:val="0"/>
                  <w:vAlign w:val="center"/>
                </w:tcPr>
                <w:p w14:paraId="35FF8D7E">
                  <w:pPr>
                    <w:pStyle w:val="248"/>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157" w:afterLines="50" w:afterAutospacing="0"/>
                    <w:ind w:left="105" w:leftChars="50" w:right="105" w:rightChars="50"/>
                    <w:jc w:val="both"/>
                    <w:textAlignment w:val="auto"/>
                    <w:rPr>
                      <w:rFonts w:hint="eastAsia" w:ascii="Times New Roman" w:hAnsi="Times New Roman" w:eastAsia="宋体" w:cs="Times New Roman"/>
                      <w:sz w:val="21"/>
                      <w:szCs w:val="21"/>
                      <w:lang w:eastAsia="zh-CN"/>
                    </w:rPr>
                  </w:pPr>
                  <w:r>
                    <w:rPr>
                      <w:rFonts w:hint="eastAsia" w:cs="Times New Roman"/>
                      <w:color w:val="auto"/>
                      <w:sz w:val="21"/>
                      <w:szCs w:val="21"/>
                      <w:lang w:eastAsia="zh-CN"/>
                    </w:rPr>
                    <w:t>本项目挥发性有机物排放根据相关规定要求进行削减替代。</w:t>
                  </w:r>
                </w:p>
              </w:tc>
              <w:tc>
                <w:tcPr>
                  <w:tcW w:w="389" w:type="pct"/>
                  <w:noWrap w:val="0"/>
                  <w:vAlign w:val="center"/>
                </w:tcPr>
                <w:p w14:paraId="0CA84447">
                  <w:pPr>
                    <w:pStyle w:val="248"/>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7BF206B0">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28" w:type="dxa"/>
                  <w:bottom w:w="0" w:type="dxa"/>
                  <w:right w:w="28" w:type="dxa"/>
                </w:tblCellMar>
              </w:tblPrEx>
              <w:trPr>
                <w:trHeight w:val="20" w:hRule="atLeast"/>
                <w:jc w:val="center"/>
              </w:trPr>
              <w:tc>
                <w:tcPr>
                  <w:tcW w:w="357" w:type="pct"/>
                  <w:vMerge w:val="continue"/>
                  <w:noWrap w:val="0"/>
                  <w:vAlign w:val="center"/>
                </w:tcPr>
                <w:p w14:paraId="65667E68">
                  <w:pPr>
                    <w:pStyle w:val="248"/>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3187" w:type="pct"/>
                  <w:noWrap w:val="0"/>
                  <w:vAlign w:val="center"/>
                </w:tcPr>
                <w:p w14:paraId="11AD7697">
                  <w:pPr>
                    <w:pStyle w:val="248"/>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以钢铁、水泥、平板玻璃、焦化、化工、制药等行业为重点，加快城市建成区重污染企业搬迁改造或关闭退出，具备条件的钢铁、水泥、平板玻璃、焦化、化工、制药、陶瓷、铸造等重污染企业退出城市建成区，县城和主要城镇建成区的重污染企业逐步实施退城搬迁。对不符合国家产业政策、不符合当地产业布局规划的分散燃煤（燃重油等）炉窑，鼓励搬迁入园并进行集中治理，推进治理装备升级改造，建设规模化和集约化工业企业。</w:t>
                  </w:r>
                </w:p>
                <w:p w14:paraId="4C29F2B4">
                  <w:pPr>
                    <w:pStyle w:val="248"/>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2.禁止在居民区、学校、医疗和养老机构等周边新建有色金属冶炼、焦化等行业企业。严格控制在优先保护类耕地集中区域新建有色金属冶炼、石油加工、化工、焦化、电镀、制革、制药、铅酸蓄电池行业企业。</w:t>
                  </w:r>
                </w:p>
              </w:tc>
              <w:tc>
                <w:tcPr>
                  <w:tcW w:w="1065" w:type="pct"/>
                  <w:noWrap w:val="0"/>
                  <w:vAlign w:val="center"/>
                </w:tcPr>
                <w:p w14:paraId="3D800C70">
                  <w:pPr>
                    <w:pStyle w:val="248"/>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本项目</w:t>
                  </w:r>
                  <w:r>
                    <w:rPr>
                      <w:rFonts w:hint="default" w:ascii="Times New Roman" w:hAnsi="Times New Roman" w:eastAsia="宋体" w:cs="Times New Roman"/>
                      <w:kern w:val="0"/>
                      <w:sz w:val="21"/>
                      <w:szCs w:val="21"/>
                      <w:lang w:bidi="en-US"/>
                    </w:rPr>
                    <w:t>为</w:t>
                  </w:r>
                  <w:r>
                    <w:rPr>
                      <w:rFonts w:hint="eastAsia" w:cs="Times New Roman"/>
                      <w:sz w:val="21"/>
                      <w:szCs w:val="21"/>
                      <w:lang w:val="en-US" w:eastAsia="zh-CN"/>
                    </w:rPr>
                    <w:t>塑料零件及其他塑料制品制造行业</w:t>
                  </w:r>
                  <w:r>
                    <w:rPr>
                      <w:rFonts w:hint="eastAsia" w:ascii="Times New Roman" w:hAnsi="Times New Roman" w:eastAsia="宋体" w:cs="Times New Roman"/>
                      <w:sz w:val="21"/>
                      <w:szCs w:val="21"/>
                    </w:rPr>
                    <w:t>，</w:t>
                  </w:r>
                  <w:r>
                    <w:rPr>
                      <w:rFonts w:hint="eastAsia" w:ascii="Times New Roman" w:hAnsi="Times New Roman" w:eastAsia="宋体" w:cs="Times New Roman"/>
                      <w:sz w:val="21"/>
                      <w:szCs w:val="21"/>
                      <w:lang w:eastAsia="zh-CN"/>
                    </w:rPr>
                    <w:t>生产中药包装袋，不属于重污染行业</w:t>
                  </w:r>
                  <w:r>
                    <w:rPr>
                      <w:rFonts w:hint="default" w:ascii="Times New Roman" w:hAnsi="Times New Roman" w:eastAsia="宋体" w:cs="Times New Roman"/>
                      <w:sz w:val="21"/>
                      <w:szCs w:val="21"/>
                    </w:rPr>
                    <w:t>。</w:t>
                  </w:r>
                </w:p>
              </w:tc>
              <w:tc>
                <w:tcPr>
                  <w:tcW w:w="389" w:type="pct"/>
                  <w:noWrap w:val="0"/>
                  <w:vAlign w:val="center"/>
                </w:tcPr>
                <w:p w14:paraId="6169C725">
                  <w:pPr>
                    <w:pStyle w:val="248"/>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494FD7BD">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28" w:type="dxa"/>
                  <w:bottom w:w="0" w:type="dxa"/>
                  <w:right w:w="28" w:type="dxa"/>
                </w:tblCellMar>
              </w:tblPrEx>
              <w:trPr>
                <w:trHeight w:val="20" w:hRule="atLeast"/>
                <w:jc w:val="center"/>
              </w:trPr>
              <w:tc>
                <w:tcPr>
                  <w:tcW w:w="357" w:type="pct"/>
                  <w:vMerge w:val="restart"/>
                  <w:noWrap w:val="0"/>
                  <w:vAlign w:val="center"/>
                </w:tcPr>
                <w:p w14:paraId="1D21C0BE">
                  <w:pPr>
                    <w:pStyle w:val="248"/>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项目入园准入要求</w:t>
                  </w:r>
                </w:p>
              </w:tc>
              <w:tc>
                <w:tcPr>
                  <w:tcW w:w="3187" w:type="pct"/>
                  <w:noWrap w:val="0"/>
                  <w:vAlign w:val="center"/>
                </w:tcPr>
                <w:p w14:paraId="3864981B">
                  <w:pPr>
                    <w:pStyle w:val="248"/>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县级以下原则不再建设新的园区，造纸、焦化、氮肥、有色金属、印染、原料药制造、皮革、农药、电镀、钢铁、石灰、平板玻璃、石化、化工等高污染工业项目必须入园进区，其他工业项目原则上也不在园区外布局。</w:t>
                  </w:r>
                </w:p>
                <w:p w14:paraId="2826E407">
                  <w:pPr>
                    <w:pStyle w:val="248"/>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2.加强园区规划及环评时效性。现有县市级工业区在遵从规划、规划环评及跟踪评价的要求前提下，严格遵循全省、地市及对应单元生态环境准入要求。</w:t>
                  </w:r>
                </w:p>
              </w:tc>
              <w:tc>
                <w:tcPr>
                  <w:tcW w:w="1065" w:type="pct"/>
                  <w:noWrap w:val="0"/>
                  <w:vAlign w:val="center"/>
                </w:tcPr>
                <w:p w14:paraId="00B782D0">
                  <w:pPr>
                    <w:pStyle w:val="248"/>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本项目</w:t>
                  </w:r>
                  <w:r>
                    <w:rPr>
                      <w:rFonts w:hint="default" w:ascii="Times New Roman" w:hAnsi="Times New Roman" w:eastAsia="宋体" w:cs="Times New Roman"/>
                      <w:kern w:val="0"/>
                      <w:sz w:val="21"/>
                      <w:szCs w:val="21"/>
                      <w:lang w:bidi="en-US"/>
                    </w:rPr>
                    <w:t>为</w:t>
                  </w:r>
                  <w:r>
                    <w:rPr>
                      <w:rFonts w:hint="eastAsia" w:cs="Times New Roman"/>
                      <w:sz w:val="21"/>
                      <w:szCs w:val="21"/>
                      <w:lang w:val="en-US" w:eastAsia="zh-CN"/>
                    </w:rPr>
                    <w:t>塑料零件及其他塑料制品制造行业</w:t>
                  </w:r>
                  <w:r>
                    <w:rPr>
                      <w:rFonts w:hint="eastAsia" w:ascii="Times New Roman" w:hAnsi="Times New Roman" w:eastAsia="宋体" w:cs="Times New Roman"/>
                      <w:sz w:val="21"/>
                      <w:szCs w:val="21"/>
                    </w:rPr>
                    <w:t>，</w:t>
                  </w:r>
                  <w:r>
                    <w:rPr>
                      <w:rFonts w:hint="eastAsia" w:ascii="Times New Roman" w:hAnsi="Times New Roman" w:eastAsia="宋体" w:cs="Times New Roman"/>
                      <w:sz w:val="21"/>
                      <w:szCs w:val="21"/>
                      <w:lang w:eastAsia="zh-CN"/>
                    </w:rPr>
                    <w:t>生产中药包装袋，属于医药配套产业</w:t>
                  </w:r>
                  <w:r>
                    <w:rPr>
                      <w:rFonts w:hint="default" w:ascii="Times New Roman" w:hAnsi="Times New Roman" w:eastAsia="宋体" w:cs="Times New Roman"/>
                      <w:sz w:val="21"/>
                      <w:szCs w:val="21"/>
                    </w:rPr>
                    <w:t>，位于沧州临港经济技术开发区西区。</w:t>
                  </w:r>
                </w:p>
              </w:tc>
              <w:tc>
                <w:tcPr>
                  <w:tcW w:w="389" w:type="pct"/>
                  <w:noWrap w:val="0"/>
                  <w:vAlign w:val="center"/>
                </w:tcPr>
                <w:p w14:paraId="6240C0B3">
                  <w:pPr>
                    <w:pStyle w:val="248"/>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4E0504BF">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28" w:type="dxa"/>
                  <w:bottom w:w="0" w:type="dxa"/>
                  <w:right w:w="28" w:type="dxa"/>
                </w:tblCellMar>
              </w:tblPrEx>
              <w:trPr>
                <w:trHeight w:val="20" w:hRule="atLeast"/>
                <w:jc w:val="center"/>
              </w:trPr>
              <w:tc>
                <w:tcPr>
                  <w:tcW w:w="357" w:type="pct"/>
                  <w:vMerge w:val="continue"/>
                  <w:noWrap w:val="0"/>
                  <w:vAlign w:val="center"/>
                </w:tcPr>
                <w:p w14:paraId="299033DF">
                  <w:pPr>
                    <w:pStyle w:val="248"/>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3187" w:type="pct"/>
                  <w:noWrap w:val="0"/>
                  <w:vAlign w:val="center"/>
                </w:tcPr>
                <w:p w14:paraId="06B71B9B">
                  <w:pPr>
                    <w:pStyle w:val="248"/>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对于以</w:t>
                  </w:r>
                  <w:r>
                    <w:rPr>
                      <w:rFonts w:hint="eastAsia" w:ascii="Times New Roman" w:hAnsi="Times New Roman" w:eastAsia="宋体" w:cs="Times New Roman"/>
                      <w:sz w:val="21"/>
                      <w:szCs w:val="21"/>
                      <w:lang w:eastAsia="zh-CN"/>
                    </w:rPr>
                    <w:t>“</w:t>
                  </w:r>
                  <w:r>
                    <w:rPr>
                      <w:rFonts w:hint="default" w:ascii="Times New Roman" w:hAnsi="Times New Roman" w:eastAsia="宋体" w:cs="Times New Roman"/>
                      <w:sz w:val="21"/>
                      <w:szCs w:val="21"/>
                    </w:rPr>
                    <w:t>园区</w:t>
                  </w:r>
                  <w:r>
                    <w:rPr>
                      <w:rFonts w:hint="eastAsia" w:ascii="Times New Roman" w:hAnsi="Times New Roman" w:eastAsia="宋体" w:cs="Times New Roman"/>
                      <w:sz w:val="21"/>
                      <w:szCs w:val="21"/>
                      <w:lang w:eastAsia="zh-CN"/>
                    </w:rPr>
                    <w:t>”</w:t>
                  </w:r>
                  <w:r>
                    <w:rPr>
                      <w:rFonts w:hint="default" w:ascii="Times New Roman" w:hAnsi="Times New Roman" w:eastAsia="宋体" w:cs="Times New Roman"/>
                      <w:sz w:val="21"/>
                      <w:szCs w:val="21"/>
                    </w:rPr>
                    <w:t>名义存在的工业大院或工业小区（无规划及环评）内的</w:t>
                  </w:r>
                  <w:r>
                    <w:rPr>
                      <w:rFonts w:hint="eastAsia" w:ascii="Times New Roman" w:hAnsi="Times New Roman" w:eastAsia="宋体" w:cs="Times New Roman"/>
                      <w:sz w:val="21"/>
                      <w:szCs w:val="21"/>
                      <w:lang w:eastAsia="zh-CN"/>
                    </w:rPr>
                    <w:t>“</w:t>
                  </w:r>
                  <w:r>
                    <w:rPr>
                      <w:rFonts w:hint="default" w:ascii="Times New Roman" w:hAnsi="Times New Roman" w:eastAsia="宋体" w:cs="Times New Roman"/>
                      <w:sz w:val="21"/>
                      <w:szCs w:val="21"/>
                    </w:rPr>
                    <w:t>散乱污</w:t>
                  </w:r>
                  <w:r>
                    <w:rPr>
                      <w:rFonts w:hint="eastAsia" w:ascii="Times New Roman" w:hAnsi="Times New Roman" w:eastAsia="宋体" w:cs="Times New Roman"/>
                      <w:sz w:val="21"/>
                      <w:szCs w:val="21"/>
                      <w:lang w:eastAsia="zh-CN"/>
                    </w:rPr>
                    <w:t>”</w:t>
                  </w:r>
                  <w:r>
                    <w:rPr>
                      <w:rFonts w:hint="default" w:ascii="Times New Roman" w:hAnsi="Times New Roman" w:eastAsia="宋体" w:cs="Times New Roman"/>
                      <w:sz w:val="21"/>
                      <w:szCs w:val="21"/>
                    </w:rPr>
                    <w:t>企业，严格整治标准，限期整治；对严重污染环境的企业，坚决依法依规处置到位。</w:t>
                  </w:r>
                </w:p>
              </w:tc>
              <w:tc>
                <w:tcPr>
                  <w:tcW w:w="1065" w:type="pct"/>
                  <w:noWrap w:val="0"/>
                  <w:vAlign w:val="center"/>
                </w:tcPr>
                <w:p w14:paraId="0FD3F8EF">
                  <w:pPr>
                    <w:pStyle w:val="248"/>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157" w:afterLines="50" w:afterAutospacing="0"/>
                    <w:ind w:left="105" w:leftChars="50" w:right="105" w:rightChars="50"/>
                    <w:jc w:val="both"/>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本项目位于临港经济技术开发区西区内，不属于“</w:t>
                  </w:r>
                  <w:r>
                    <w:rPr>
                      <w:rFonts w:hint="default" w:ascii="Times New Roman" w:hAnsi="Times New Roman" w:eastAsia="宋体" w:cs="Times New Roman"/>
                      <w:sz w:val="21"/>
                      <w:szCs w:val="21"/>
                    </w:rPr>
                    <w:t>散乱污</w:t>
                  </w:r>
                  <w:r>
                    <w:rPr>
                      <w:rFonts w:hint="eastAsia" w:ascii="Times New Roman" w:hAnsi="Times New Roman" w:eastAsia="宋体" w:cs="Times New Roman"/>
                      <w:sz w:val="21"/>
                      <w:szCs w:val="21"/>
                      <w:lang w:eastAsia="zh-CN"/>
                    </w:rPr>
                    <w:t>”</w:t>
                  </w:r>
                  <w:r>
                    <w:rPr>
                      <w:rFonts w:hint="default" w:ascii="Times New Roman" w:hAnsi="Times New Roman" w:eastAsia="宋体" w:cs="Times New Roman"/>
                      <w:sz w:val="21"/>
                      <w:szCs w:val="21"/>
                    </w:rPr>
                    <w:t>企业</w:t>
                  </w:r>
                  <w:r>
                    <w:rPr>
                      <w:rFonts w:hint="eastAsia" w:ascii="Times New Roman" w:hAnsi="Times New Roman" w:eastAsia="宋体" w:cs="Times New Roman"/>
                      <w:sz w:val="21"/>
                      <w:szCs w:val="21"/>
                      <w:lang w:eastAsia="zh-CN"/>
                    </w:rPr>
                    <w:t>，对环境污染较小。</w:t>
                  </w:r>
                </w:p>
              </w:tc>
              <w:tc>
                <w:tcPr>
                  <w:tcW w:w="389" w:type="pct"/>
                  <w:noWrap w:val="0"/>
                  <w:vAlign w:val="center"/>
                </w:tcPr>
                <w:p w14:paraId="546B62CF">
                  <w:pPr>
                    <w:pStyle w:val="248"/>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27824CF1">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28" w:type="dxa"/>
                  <w:bottom w:w="0" w:type="dxa"/>
                  <w:right w:w="28" w:type="dxa"/>
                </w:tblCellMar>
              </w:tblPrEx>
              <w:trPr>
                <w:trHeight w:val="20" w:hRule="atLeast"/>
                <w:jc w:val="center"/>
              </w:trPr>
              <w:tc>
                <w:tcPr>
                  <w:tcW w:w="357" w:type="pct"/>
                  <w:vMerge w:val="continue"/>
                  <w:noWrap w:val="0"/>
                  <w:vAlign w:val="center"/>
                </w:tcPr>
                <w:p w14:paraId="24D989AB">
                  <w:pPr>
                    <w:pStyle w:val="248"/>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3187" w:type="pct"/>
                  <w:noWrap w:val="0"/>
                  <w:vAlign w:val="center"/>
                </w:tcPr>
                <w:p w14:paraId="1008F7E1">
                  <w:pPr>
                    <w:pStyle w:val="248"/>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推进现有企业向依法合规设立、环保设施齐全、符合规划环评要求的工业集聚区集中，明确工业企业入园时间表；确因不具备入园条件需原地保留的工业企业，明确保留条件，其中直排环境企业应达到排入水体功能区标准。</w:t>
                  </w:r>
                </w:p>
              </w:tc>
              <w:tc>
                <w:tcPr>
                  <w:tcW w:w="1065" w:type="pct"/>
                  <w:noWrap w:val="0"/>
                  <w:vAlign w:val="center"/>
                </w:tcPr>
                <w:p w14:paraId="76446F46">
                  <w:pPr>
                    <w:pStyle w:val="248"/>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本项目位于沧州临港经济技术开发区西区。</w:t>
                  </w:r>
                </w:p>
              </w:tc>
              <w:tc>
                <w:tcPr>
                  <w:tcW w:w="389" w:type="pct"/>
                  <w:noWrap w:val="0"/>
                  <w:vAlign w:val="center"/>
                </w:tcPr>
                <w:p w14:paraId="35F5F7F5">
                  <w:pPr>
                    <w:pStyle w:val="248"/>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6F9EF977">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28" w:type="dxa"/>
                  <w:bottom w:w="0" w:type="dxa"/>
                  <w:right w:w="28" w:type="dxa"/>
                </w:tblCellMar>
              </w:tblPrEx>
              <w:trPr>
                <w:trHeight w:val="20" w:hRule="atLeast"/>
                <w:jc w:val="center"/>
              </w:trPr>
              <w:tc>
                <w:tcPr>
                  <w:tcW w:w="357" w:type="pct"/>
                  <w:vMerge w:val="restart"/>
                  <w:noWrap w:val="0"/>
                  <w:vAlign w:val="center"/>
                </w:tcPr>
                <w:p w14:paraId="03D956B9">
                  <w:pPr>
                    <w:pStyle w:val="248"/>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其他要求</w:t>
                  </w:r>
                </w:p>
              </w:tc>
              <w:tc>
                <w:tcPr>
                  <w:tcW w:w="3187" w:type="pct"/>
                  <w:noWrap w:val="0"/>
                  <w:vAlign w:val="center"/>
                </w:tcPr>
                <w:p w14:paraId="61AA3C5C">
                  <w:pPr>
                    <w:pStyle w:val="248"/>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1.主城区及其主导上风向15公里范围内原则上禁止投资大气污染严重的燃煤电厂、钢铁、炼焦等。</w:t>
                  </w:r>
                </w:p>
                <w:p w14:paraId="71C26324">
                  <w:pPr>
                    <w:pStyle w:val="248"/>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2.主城区以外的各区县城区及其主导上风向5公里范围内，原则上禁止投资燃煤电厂、水泥、冶炼等大气污染严重的项目。</w:t>
                  </w:r>
                </w:p>
              </w:tc>
              <w:tc>
                <w:tcPr>
                  <w:tcW w:w="1065" w:type="pct"/>
                  <w:noWrap w:val="0"/>
                  <w:vAlign w:val="center"/>
                </w:tcPr>
                <w:p w14:paraId="1526C237">
                  <w:pPr>
                    <w:pStyle w:val="248"/>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157" w:afterLines="50" w:afterAutospacing="0"/>
                    <w:ind w:left="105" w:leftChars="50" w:right="105" w:rightChars="5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不涉及</w:t>
                  </w:r>
                </w:p>
              </w:tc>
              <w:tc>
                <w:tcPr>
                  <w:tcW w:w="389" w:type="pct"/>
                  <w:noWrap w:val="0"/>
                  <w:vAlign w:val="center"/>
                </w:tcPr>
                <w:p w14:paraId="59CD4354">
                  <w:pPr>
                    <w:pStyle w:val="248"/>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0F7242FF">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28" w:type="dxa"/>
                  <w:bottom w:w="0" w:type="dxa"/>
                  <w:right w:w="28" w:type="dxa"/>
                </w:tblCellMar>
              </w:tblPrEx>
              <w:trPr>
                <w:trHeight w:val="20" w:hRule="atLeast"/>
                <w:jc w:val="center"/>
              </w:trPr>
              <w:tc>
                <w:tcPr>
                  <w:tcW w:w="357" w:type="pct"/>
                  <w:vMerge w:val="continue"/>
                  <w:noWrap w:val="0"/>
                  <w:vAlign w:val="center"/>
                </w:tcPr>
                <w:p w14:paraId="0F2D7635">
                  <w:pPr>
                    <w:pStyle w:val="248"/>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3187" w:type="pct"/>
                  <w:noWrap w:val="0"/>
                  <w:vAlign w:val="center"/>
                </w:tcPr>
                <w:p w14:paraId="0D8F3AB3">
                  <w:pPr>
                    <w:pStyle w:val="248"/>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从严控制过剩产能项目，高污染、高能耗和资源型（</w:t>
                  </w:r>
                  <w:r>
                    <w:rPr>
                      <w:rFonts w:hint="eastAsia" w:ascii="Times New Roman" w:hAnsi="Times New Roman" w:eastAsia="宋体" w:cs="Times New Roman"/>
                      <w:sz w:val="21"/>
                      <w:szCs w:val="21"/>
                      <w:lang w:eastAsia="zh-CN"/>
                    </w:rPr>
                    <w:t>“</w:t>
                  </w:r>
                  <w:r>
                    <w:rPr>
                      <w:rFonts w:hint="default" w:ascii="Times New Roman" w:hAnsi="Times New Roman" w:eastAsia="宋体" w:cs="Times New Roman"/>
                      <w:sz w:val="21"/>
                      <w:szCs w:val="21"/>
                    </w:rPr>
                    <w:t>两高一资</w:t>
                  </w:r>
                  <w:r>
                    <w:rPr>
                      <w:rFonts w:hint="eastAsia" w:ascii="Times New Roman" w:hAnsi="Times New Roman" w:eastAsia="宋体" w:cs="Times New Roman"/>
                      <w:sz w:val="21"/>
                      <w:szCs w:val="21"/>
                      <w:lang w:eastAsia="zh-CN"/>
                    </w:rPr>
                    <w:t>”</w:t>
                  </w:r>
                  <w:r>
                    <w:rPr>
                      <w:rFonts w:hint="default" w:ascii="Times New Roman" w:hAnsi="Times New Roman" w:eastAsia="宋体" w:cs="Times New Roman"/>
                      <w:sz w:val="21"/>
                      <w:szCs w:val="21"/>
                    </w:rPr>
                    <w:t>）项目，严格限制造纸、印染、煤电、传统化工、传统燃油汽车、涉及重金属以及有毒有害和持久性污染物排放的项目。</w:t>
                  </w:r>
                </w:p>
              </w:tc>
              <w:tc>
                <w:tcPr>
                  <w:tcW w:w="1065" w:type="pct"/>
                  <w:noWrap w:val="0"/>
                  <w:vAlign w:val="center"/>
                </w:tcPr>
                <w:p w14:paraId="3AA67FB5">
                  <w:pPr>
                    <w:pStyle w:val="248"/>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本项目</w:t>
                  </w:r>
                  <w:r>
                    <w:rPr>
                      <w:rFonts w:hint="eastAsia" w:ascii="Times New Roman" w:hAnsi="Times New Roman" w:eastAsia="宋体" w:cs="Times New Roman"/>
                      <w:sz w:val="21"/>
                      <w:szCs w:val="21"/>
                      <w:lang w:eastAsia="zh-CN"/>
                    </w:rPr>
                    <w:t>不属于产能过剩项目，不属于“</w:t>
                  </w:r>
                  <w:r>
                    <w:rPr>
                      <w:rFonts w:hint="default" w:ascii="Times New Roman" w:hAnsi="Times New Roman" w:eastAsia="宋体" w:cs="Times New Roman"/>
                      <w:sz w:val="21"/>
                      <w:szCs w:val="21"/>
                    </w:rPr>
                    <w:t>两高一资</w:t>
                  </w:r>
                  <w:r>
                    <w:rPr>
                      <w:rFonts w:hint="eastAsia" w:ascii="Times New Roman" w:hAnsi="Times New Roman" w:eastAsia="宋体" w:cs="Times New Roman"/>
                      <w:sz w:val="21"/>
                      <w:szCs w:val="21"/>
                      <w:lang w:eastAsia="zh-CN"/>
                    </w:rPr>
                    <w:t>”项目</w:t>
                  </w:r>
                  <w:r>
                    <w:rPr>
                      <w:rFonts w:hint="default" w:ascii="Times New Roman" w:hAnsi="Times New Roman" w:eastAsia="宋体" w:cs="Times New Roman"/>
                      <w:sz w:val="21"/>
                      <w:szCs w:val="21"/>
                    </w:rPr>
                    <w:t>。</w:t>
                  </w:r>
                </w:p>
              </w:tc>
              <w:tc>
                <w:tcPr>
                  <w:tcW w:w="389" w:type="pct"/>
                  <w:noWrap w:val="0"/>
                  <w:vAlign w:val="center"/>
                </w:tcPr>
                <w:p w14:paraId="14334A8F">
                  <w:pPr>
                    <w:pStyle w:val="248"/>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6D9D8598">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28" w:type="dxa"/>
                  <w:bottom w:w="0" w:type="dxa"/>
                  <w:right w:w="28" w:type="dxa"/>
                </w:tblCellMar>
              </w:tblPrEx>
              <w:trPr>
                <w:trHeight w:val="20" w:hRule="atLeast"/>
                <w:jc w:val="center"/>
              </w:trPr>
              <w:tc>
                <w:tcPr>
                  <w:tcW w:w="357" w:type="pct"/>
                  <w:vMerge w:val="continue"/>
                  <w:noWrap w:val="0"/>
                  <w:vAlign w:val="center"/>
                </w:tcPr>
                <w:p w14:paraId="3B82BE17">
                  <w:pPr>
                    <w:pStyle w:val="248"/>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3187" w:type="pct"/>
                  <w:noWrap w:val="0"/>
                  <w:vAlign w:val="center"/>
                </w:tcPr>
                <w:p w14:paraId="4382D106">
                  <w:pPr>
                    <w:pStyle w:val="248"/>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依法全面取缔不符合国家产业政策的制革、炼砷、电镀等严重污染水环境的生产项目。对有色金属、电镀、制革行业实施清洁化改造，制革行业实施铬减量化或封闭循环利用技术改造。</w:t>
                  </w:r>
                </w:p>
              </w:tc>
              <w:tc>
                <w:tcPr>
                  <w:tcW w:w="1065" w:type="pct"/>
                  <w:noWrap w:val="0"/>
                  <w:vAlign w:val="center"/>
                </w:tcPr>
                <w:p w14:paraId="5D8A1749">
                  <w:pPr>
                    <w:pStyle w:val="248"/>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本项目</w:t>
                  </w:r>
                  <w:r>
                    <w:rPr>
                      <w:rFonts w:hint="eastAsia" w:ascii="Times New Roman" w:hAnsi="Times New Roman" w:eastAsia="宋体" w:cs="Times New Roman"/>
                      <w:sz w:val="21"/>
                      <w:szCs w:val="21"/>
                      <w:lang w:eastAsia="zh-CN"/>
                    </w:rPr>
                    <w:t>不属于</w:t>
                  </w:r>
                  <w:r>
                    <w:rPr>
                      <w:rFonts w:hint="default" w:ascii="Times New Roman" w:hAnsi="Times New Roman" w:eastAsia="宋体" w:cs="Times New Roman"/>
                      <w:sz w:val="21"/>
                      <w:szCs w:val="21"/>
                    </w:rPr>
                    <w:t>制革、炼砷、电镀</w:t>
                  </w:r>
                  <w:r>
                    <w:rPr>
                      <w:rFonts w:hint="eastAsia" w:ascii="Times New Roman" w:hAnsi="Times New Roman" w:eastAsia="宋体" w:cs="Times New Roman"/>
                      <w:sz w:val="21"/>
                      <w:szCs w:val="21"/>
                      <w:lang w:eastAsia="zh-CN"/>
                    </w:rPr>
                    <w:t>项目</w:t>
                  </w:r>
                  <w:r>
                    <w:rPr>
                      <w:rFonts w:hint="default" w:ascii="Times New Roman" w:hAnsi="Times New Roman" w:eastAsia="宋体" w:cs="Times New Roman"/>
                      <w:sz w:val="21"/>
                      <w:szCs w:val="21"/>
                    </w:rPr>
                    <w:t>。</w:t>
                  </w:r>
                </w:p>
              </w:tc>
              <w:tc>
                <w:tcPr>
                  <w:tcW w:w="389" w:type="pct"/>
                  <w:noWrap w:val="0"/>
                  <w:vAlign w:val="center"/>
                </w:tcPr>
                <w:p w14:paraId="4C33DEF7">
                  <w:pPr>
                    <w:pStyle w:val="248"/>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025115A7">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28" w:type="dxa"/>
                  <w:bottom w:w="0" w:type="dxa"/>
                  <w:right w:w="28" w:type="dxa"/>
                </w:tblCellMar>
              </w:tblPrEx>
              <w:trPr>
                <w:trHeight w:val="20" w:hRule="atLeast"/>
                <w:jc w:val="center"/>
              </w:trPr>
              <w:tc>
                <w:tcPr>
                  <w:tcW w:w="357" w:type="pct"/>
                  <w:vMerge w:val="continue"/>
                  <w:noWrap w:val="0"/>
                  <w:vAlign w:val="center"/>
                </w:tcPr>
                <w:p w14:paraId="28DB229F">
                  <w:pPr>
                    <w:pStyle w:val="248"/>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3187" w:type="pct"/>
                  <w:noWrap w:val="0"/>
                  <w:vAlign w:val="center"/>
                </w:tcPr>
                <w:p w14:paraId="7DDDADF8">
                  <w:pPr>
                    <w:pStyle w:val="248"/>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全省八大水系干流沿岸、重要饮用水源地补给区严格控制化学原料和化学制品制造、医药制造、制革、造纸、焦化、化学纤维制造、石油加工、纺织印染等项目环境风险，合理布局生产装置及危险化学品仓储等设施。</w:t>
                  </w:r>
                </w:p>
              </w:tc>
              <w:tc>
                <w:tcPr>
                  <w:tcW w:w="1065" w:type="pct"/>
                  <w:noWrap w:val="0"/>
                  <w:vAlign w:val="center"/>
                </w:tcPr>
                <w:p w14:paraId="3AF12DFD">
                  <w:pPr>
                    <w:pStyle w:val="248"/>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157" w:afterLines="50" w:afterAutospacing="0"/>
                    <w:ind w:left="105" w:leftChars="50" w:right="105" w:rightChars="5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不涉及</w:t>
                  </w:r>
                </w:p>
              </w:tc>
              <w:tc>
                <w:tcPr>
                  <w:tcW w:w="389" w:type="pct"/>
                  <w:noWrap w:val="0"/>
                  <w:vAlign w:val="center"/>
                </w:tcPr>
                <w:p w14:paraId="046B34CB">
                  <w:pPr>
                    <w:pStyle w:val="248"/>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73BF9702">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28" w:type="dxa"/>
                  <w:bottom w:w="0" w:type="dxa"/>
                  <w:right w:w="28" w:type="dxa"/>
                </w:tblCellMar>
              </w:tblPrEx>
              <w:trPr>
                <w:trHeight w:val="20" w:hRule="atLeast"/>
                <w:jc w:val="center"/>
              </w:trPr>
              <w:tc>
                <w:tcPr>
                  <w:tcW w:w="357" w:type="pct"/>
                  <w:vMerge w:val="continue"/>
                  <w:noWrap w:val="0"/>
                  <w:vAlign w:val="center"/>
                </w:tcPr>
                <w:p w14:paraId="20AE3430">
                  <w:pPr>
                    <w:pStyle w:val="248"/>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3187" w:type="pct"/>
                  <w:noWrap w:val="0"/>
                  <w:vAlign w:val="center"/>
                </w:tcPr>
                <w:p w14:paraId="5BD30D68">
                  <w:pPr>
                    <w:pStyle w:val="248"/>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1.禁止生产、销售厚度小于0.025毫米的超薄塑料购物袋、0.01毫米的聚乙烯农用地膜、以医疗废物为原料制造塑料制品、废塑料进口等塑料加工项目。</w:t>
                  </w:r>
                </w:p>
                <w:p w14:paraId="77A32B7D">
                  <w:pPr>
                    <w:pStyle w:val="248"/>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2.禁止生产、销售一次性发泡塑料餐具、一次性塑料棉签，禁止生产含塑料微珠的日化用品，2022年底禁止销售生产含塑料微珠的日化用品。</w:t>
                  </w:r>
                </w:p>
                <w:p w14:paraId="5F620637">
                  <w:pPr>
                    <w:pStyle w:val="248"/>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3.2022年底前城市建成区禁止、限制使用《关于进一步加强塑料污染治理的实施方案》要求塑料制品。到2025年建成区和重点领域禁止使用不可降解塑料袋等塑料制品。</w:t>
                  </w:r>
                </w:p>
              </w:tc>
              <w:tc>
                <w:tcPr>
                  <w:tcW w:w="1065" w:type="pct"/>
                  <w:noWrap w:val="0"/>
                  <w:vAlign w:val="center"/>
                </w:tcPr>
                <w:p w14:paraId="1FFABD37">
                  <w:pPr>
                    <w:pStyle w:val="248"/>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157" w:afterLines="50" w:afterAutospacing="0"/>
                    <w:ind w:left="105" w:leftChars="50" w:right="105" w:rightChars="50"/>
                    <w:jc w:val="both"/>
                    <w:textAlignment w:val="auto"/>
                    <w:rPr>
                      <w:rFonts w:hint="eastAsia" w:ascii="Times New Roman" w:hAnsi="Times New Roman" w:eastAsia="宋体" w:cs="Times New Roman"/>
                      <w:sz w:val="21"/>
                      <w:szCs w:val="21"/>
                      <w:lang w:eastAsia="zh-CN"/>
                    </w:rPr>
                  </w:pPr>
                  <w:r>
                    <w:rPr>
                      <w:rFonts w:hint="default" w:ascii="Times New Roman" w:hAnsi="Times New Roman" w:eastAsia="宋体" w:cs="Times New Roman"/>
                      <w:sz w:val="21"/>
                      <w:szCs w:val="21"/>
                    </w:rPr>
                    <w:t>本项目</w:t>
                  </w:r>
                  <w:r>
                    <w:rPr>
                      <w:rFonts w:hint="default" w:ascii="Times New Roman" w:hAnsi="Times New Roman" w:eastAsia="宋体" w:cs="Times New Roman"/>
                      <w:kern w:val="0"/>
                      <w:sz w:val="21"/>
                      <w:szCs w:val="21"/>
                      <w:lang w:bidi="en-US"/>
                    </w:rPr>
                    <w:t>为</w:t>
                  </w:r>
                  <w:r>
                    <w:rPr>
                      <w:rFonts w:hint="eastAsia" w:cs="Times New Roman"/>
                      <w:sz w:val="21"/>
                      <w:szCs w:val="21"/>
                      <w:lang w:val="en-US" w:eastAsia="zh-CN"/>
                    </w:rPr>
                    <w:t>塑料零件及其他塑料制品制造行业</w:t>
                  </w:r>
                  <w:r>
                    <w:rPr>
                      <w:rFonts w:hint="eastAsia" w:ascii="Times New Roman" w:hAnsi="Times New Roman" w:eastAsia="宋体" w:cs="Times New Roman"/>
                      <w:sz w:val="21"/>
                      <w:szCs w:val="21"/>
                    </w:rPr>
                    <w:t>，</w:t>
                  </w:r>
                  <w:r>
                    <w:rPr>
                      <w:rFonts w:hint="eastAsia" w:ascii="Times New Roman" w:hAnsi="Times New Roman" w:eastAsia="宋体" w:cs="Times New Roman"/>
                      <w:sz w:val="21"/>
                      <w:szCs w:val="21"/>
                      <w:lang w:eastAsia="zh-CN"/>
                    </w:rPr>
                    <w:t>生产中药包装袋，厚度大于</w:t>
                  </w:r>
                  <w:r>
                    <w:rPr>
                      <w:rFonts w:hint="eastAsia" w:ascii="Times New Roman" w:hAnsi="Times New Roman" w:eastAsia="宋体" w:cs="Times New Roman"/>
                      <w:sz w:val="21"/>
                      <w:szCs w:val="21"/>
                      <w:lang w:val="en-US" w:eastAsia="zh-CN"/>
                    </w:rPr>
                    <w:t>0.025毫米，项目原料为原包料。</w:t>
                  </w:r>
                </w:p>
              </w:tc>
              <w:tc>
                <w:tcPr>
                  <w:tcW w:w="389" w:type="pct"/>
                  <w:noWrap w:val="0"/>
                  <w:vAlign w:val="center"/>
                </w:tcPr>
                <w:p w14:paraId="59952B0F">
                  <w:pPr>
                    <w:pStyle w:val="248"/>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79C26686">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28" w:type="dxa"/>
                  <w:bottom w:w="0" w:type="dxa"/>
                  <w:right w:w="28" w:type="dxa"/>
                </w:tblCellMar>
              </w:tblPrEx>
              <w:trPr>
                <w:trHeight w:val="90" w:hRule="atLeast"/>
                <w:jc w:val="center"/>
              </w:trPr>
              <w:tc>
                <w:tcPr>
                  <w:tcW w:w="357" w:type="pct"/>
                  <w:vMerge w:val="continue"/>
                  <w:noWrap w:val="0"/>
                  <w:vAlign w:val="center"/>
                </w:tcPr>
                <w:p w14:paraId="12A23476">
                  <w:pPr>
                    <w:pStyle w:val="248"/>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p>
              </w:tc>
              <w:tc>
                <w:tcPr>
                  <w:tcW w:w="3187" w:type="pct"/>
                  <w:noWrap w:val="0"/>
                  <w:vAlign w:val="center"/>
                </w:tcPr>
                <w:p w14:paraId="30B22CF9">
                  <w:pPr>
                    <w:pStyle w:val="248"/>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大清河、子牙河和黑龙港及运东流域地下水超采区限制高耗水行业准入。</w:t>
                  </w:r>
                </w:p>
              </w:tc>
              <w:tc>
                <w:tcPr>
                  <w:tcW w:w="1065" w:type="pct"/>
                  <w:noWrap w:val="0"/>
                  <w:vAlign w:val="center"/>
                </w:tcPr>
                <w:p w14:paraId="08D031EA">
                  <w:pPr>
                    <w:pStyle w:val="248"/>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157" w:afterLines="50" w:afterAutospacing="0"/>
                    <w:ind w:left="105" w:leftChars="50" w:right="105" w:rightChars="5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本项目不取用地下水。</w:t>
                  </w:r>
                </w:p>
              </w:tc>
              <w:tc>
                <w:tcPr>
                  <w:tcW w:w="389" w:type="pct"/>
                  <w:noWrap w:val="0"/>
                  <w:vAlign w:val="center"/>
                </w:tcPr>
                <w:p w14:paraId="193392DF">
                  <w:pPr>
                    <w:pStyle w:val="248"/>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157" w:afterLines="50" w:afterAutospacing="0"/>
                    <w:ind w:left="105" w:leftChars="50" w:right="105"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bl>
          <w:p w14:paraId="5D4FB59B">
            <w:pPr>
              <w:keepNext w:val="0"/>
              <w:keepLines w:val="0"/>
              <w:pageBreakBefore w:val="0"/>
              <w:widowControl w:val="0"/>
              <w:suppressLineNumbers w:val="0"/>
              <w:kinsoku/>
              <w:wordWrap/>
              <w:overflowPunct/>
              <w:topLinePunct w:val="0"/>
              <w:autoSpaceDE w:val="0"/>
              <w:autoSpaceDN w:val="0"/>
              <w:bidi w:val="0"/>
              <w:adjustRightInd w:val="0"/>
              <w:snapToGrid w:val="0"/>
              <w:spacing w:before="157" w:beforeLines="50" w:beforeAutospacing="0" w:after="0" w:afterAutospacing="0" w:line="360" w:lineRule="auto"/>
              <w:ind w:left="0" w:right="0" w:firstLine="420" w:firstLineChars="175"/>
              <w:jc w:val="both"/>
              <w:textAlignment w:val="auto"/>
              <w:rPr>
                <w:rFonts w:hint="default" w:ascii="Times New Roman" w:hAnsi="Times New Roman" w:eastAsia="宋体" w:cs="Times New Roman"/>
                <w:sz w:val="24"/>
                <w:szCs w:val="24"/>
                <w:lang w:val="en-US" w:eastAsia="zh-CN"/>
              </w:rPr>
            </w:pPr>
            <w:r>
              <w:rPr>
                <w:rFonts w:hint="eastAsia"/>
                <w:sz w:val="24"/>
                <w:lang w:eastAsia="zh-CN"/>
              </w:rPr>
              <w:t>根据上表，本项目符合全市产业布局总体管控要求。</w:t>
            </w:r>
          </w:p>
          <w:p w14:paraId="5C39F866">
            <w:pPr>
              <w:keepNext w:val="0"/>
              <w:keepLines w:val="0"/>
              <w:pageBreakBefore w:val="0"/>
              <w:widowControl w:val="0"/>
              <w:suppressLineNumbers w:val="0"/>
              <w:suppressAutoHyphens/>
              <w:kinsoku/>
              <w:wordWrap/>
              <w:overflowPunct/>
              <w:topLinePunct w:val="0"/>
              <w:autoSpaceDE/>
              <w:autoSpaceDN/>
              <w:bidi w:val="0"/>
              <w:adjustRightInd/>
              <w:snapToGrid/>
              <w:spacing w:before="0" w:beforeAutospacing="0" w:after="0" w:afterAutospacing="0" w:line="360" w:lineRule="auto"/>
              <w:ind w:left="0" w:right="0" w:firstLine="420" w:firstLineChars="175"/>
              <w:jc w:val="both"/>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对照</w:t>
            </w:r>
            <w:r>
              <w:rPr>
                <w:rFonts w:hint="eastAsia" w:ascii="Times New Roman" w:hAnsi="Times New Roman" w:cs="Times New Roman"/>
                <w:kern w:val="0"/>
                <w:sz w:val="24"/>
                <w:highlight w:val="none"/>
                <w:lang w:val="en-US" w:eastAsia="zh-CN"/>
              </w:rPr>
              <w:t>《关于实施2023年沧州市生态环境分区管控动态更新</w:t>
            </w:r>
            <w:r>
              <w:rPr>
                <w:rFonts w:hint="eastAsia" w:cs="Times New Roman"/>
                <w:kern w:val="0"/>
                <w:sz w:val="24"/>
                <w:highlight w:val="none"/>
                <w:lang w:val="en-US" w:eastAsia="zh-CN"/>
              </w:rPr>
              <w:t>成果</w:t>
            </w:r>
            <w:r>
              <w:rPr>
                <w:rFonts w:hint="eastAsia" w:ascii="Times New Roman" w:hAnsi="Times New Roman" w:cs="Times New Roman"/>
                <w:kern w:val="0"/>
                <w:sz w:val="24"/>
                <w:highlight w:val="none"/>
                <w:lang w:val="en-US" w:eastAsia="zh-CN"/>
              </w:rPr>
              <w:t>的通知》（沧生态环保办[2024]89号）</w:t>
            </w:r>
            <w:r>
              <w:rPr>
                <w:rFonts w:hint="default" w:ascii="Times New Roman" w:hAnsi="Times New Roman" w:eastAsia="宋体" w:cs="Times New Roman"/>
                <w:color w:val="auto"/>
                <w:sz w:val="24"/>
                <w:highlight w:val="none"/>
                <w:lang w:val="en-US" w:eastAsia="zh-CN"/>
              </w:rPr>
              <w:t>，本项目所在地</w:t>
            </w:r>
            <w:r>
              <w:rPr>
                <w:rFonts w:hint="eastAsia" w:ascii="Times New Roman" w:hAnsi="Times New Roman" w:eastAsia="宋体" w:cs="Times New Roman"/>
                <w:color w:val="auto"/>
                <w:sz w:val="24"/>
                <w:highlight w:val="none"/>
                <w:lang w:val="en-US" w:eastAsia="zh-CN"/>
              </w:rPr>
              <w:t>沧州临港经济技术开发区</w:t>
            </w:r>
            <w:r>
              <w:rPr>
                <w:rFonts w:hint="default" w:ascii="Times New Roman" w:hAnsi="Times New Roman" w:eastAsia="宋体" w:cs="Times New Roman"/>
                <w:color w:val="auto"/>
                <w:sz w:val="24"/>
                <w:highlight w:val="none"/>
                <w:lang w:val="en-US" w:eastAsia="zh-CN"/>
              </w:rPr>
              <w:t>属于重点管控单元（编号：ZH13090420143）。</w:t>
            </w:r>
          </w:p>
          <w:p w14:paraId="49D68D45">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240" w:lineRule="auto"/>
              <w:ind w:left="0" w:right="0" w:firstLine="422" w:firstLineChars="200"/>
              <w:jc w:val="center"/>
              <w:textAlignment w:val="auto"/>
              <w:rPr>
                <w:rFonts w:hint="default" w:ascii="Times New Roman" w:hAnsi="Times New Roman" w:eastAsia="宋体" w:cs="Times New Roman"/>
                <w:b/>
                <w:bCs/>
                <w:kern w:val="0"/>
                <w:sz w:val="24"/>
                <w:lang w:eastAsia="zh-CN"/>
              </w:rPr>
            </w:pPr>
            <w:r>
              <w:rPr>
                <w:rFonts w:hint="default" w:ascii="Times New Roman" w:hAnsi="Times New Roman" w:eastAsia="宋体" w:cs="Times New Roman"/>
                <w:b/>
                <w:bCs/>
                <w:color w:val="000000"/>
                <w:kern w:val="0"/>
                <w:sz w:val="21"/>
                <w:szCs w:val="21"/>
                <w:lang w:val="en-US" w:eastAsia="zh-CN" w:bidi="ar-SA"/>
              </w:rPr>
              <w:t>项目</w:t>
            </w:r>
            <w:r>
              <w:rPr>
                <w:rFonts w:hint="eastAsia" w:ascii="Times New Roman" w:hAnsi="Times New Roman" w:eastAsia="宋体" w:cs="Times New Roman"/>
                <w:b/>
                <w:bCs/>
                <w:color w:val="000000"/>
                <w:kern w:val="0"/>
                <w:sz w:val="21"/>
                <w:szCs w:val="21"/>
                <w:lang w:val="en-US" w:eastAsia="zh-CN" w:bidi="ar-SA"/>
              </w:rPr>
              <w:t>与</w:t>
            </w:r>
            <w:r>
              <w:rPr>
                <w:rFonts w:hint="default" w:ascii="Times New Roman" w:hAnsi="Times New Roman" w:eastAsia="宋体" w:cs="Times New Roman"/>
                <w:b/>
                <w:bCs/>
                <w:color w:val="000000"/>
                <w:kern w:val="0"/>
                <w:sz w:val="21"/>
                <w:szCs w:val="21"/>
                <w:lang w:val="en-US" w:eastAsia="zh-CN" w:bidi="ar-SA"/>
              </w:rPr>
              <w:t>所在地生态环境准入清单符合性分析</w:t>
            </w:r>
          </w:p>
          <w:tbl>
            <w:tblPr>
              <w:tblStyle w:val="38"/>
              <w:tblW w:w="76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750"/>
              <w:gridCol w:w="3952"/>
              <w:gridCol w:w="2220"/>
              <w:gridCol w:w="710"/>
            </w:tblGrid>
            <w:tr w14:paraId="37DFF3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491" w:type="pct"/>
                  <w:noWrap w:val="0"/>
                  <w:vAlign w:val="center"/>
                </w:tcPr>
                <w:p w14:paraId="688F52A3">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维度</w:t>
                  </w:r>
                </w:p>
              </w:tc>
              <w:tc>
                <w:tcPr>
                  <w:tcW w:w="2589" w:type="pct"/>
                  <w:noWrap w:val="0"/>
                  <w:vAlign w:val="center"/>
                </w:tcPr>
                <w:p w14:paraId="77FD2D78">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管控措施</w:t>
                  </w:r>
                </w:p>
              </w:tc>
              <w:tc>
                <w:tcPr>
                  <w:tcW w:w="1454" w:type="pct"/>
                  <w:noWrap w:val="0"/>
                  <w:vAlign w:val="center"/>
                </w:tcPr>
                <w:p w14:paraId="0CBF1615">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项目</w:t>
                  </w:r>
                </w:p>
              </w:tc>
              <w:tc>
                <w:tcPr>
                  <w:tcW w:w="465" w:type="pct"/>
                  <w:noWrap w:val="0"/>
                  <w:vAlign w:val="center"/>
                </w:tcPr>
                <w:p w14:paraId="5CC6611C">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相符性</w:t>
                  </w:r>
                </w:p>
              </w:tc>
            </w:tr>
            <w:tr w14:paraId="16E084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491" w:type="pct"/>
                  <w:vMerge w:val="restart"/>
                  <w:noWrap w:val="0"/>
                  <w:vAlign w:val="center"/>
                </w:tcPr>
                <w:p w14:paraId="01D31F53">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空间布局约束</w:t>
                  </w:r>
                </w:p>
              </w:tc>
              <w:tc>
                <w:tcPr>
                  <w:tcW w:w="2589" w:type="pct"/>
                  <w:noWrap w:val="0"/>
                  <w:vAlign w:val="center"/>
                </w:tcPr>
                <w:p w14:paraId="6A36138E">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1.园区距离黄骅市城区较近，新建项目应在环评中论证对城区大气环境质量的影响。</w:t>
                  </w:r>
                </w:p>
              </w:tc>
              <w:tc>
                <w:tcPr>
                  <w:tcW w:w="1454" w:type="pct"/>
                  <w:noWrap w:val="0"/>
                  <w:vAlign w:val="center"/>
                </w:tcPr>
                <w:p w14:paraId="763EC6A1">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本项目距离黄骅市城区较远，大气污染物排放量较小且达标排放，对区域大气环境质量影响较小。</w:t>
                  </w:r>
                </w:p>
              </w:tc>
              <w:tc>
                <w:tcPr>
                  <w:tcW w:w="465" w:type="pct"/>
                  <w:noWrap w:val="0"/>
                  <w:vAlign w:val="center"/>
                </w:tcPr>
                <w:p w14:paraId="3B320B9E">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符合</w:t>
                  </w:r>
                </w:p>
              </w:tc>
            </w:tr>
            <w:tr w14:paraId="58CC3D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491" w:type="pct"/>
                  <w:vMerge w:val="continue"/>
                  <w:noWrap w:val="0"/>
                  <w:vAlign w:val="center"/>
                </w:tcPr>
                <w:p w14:paraId="3F79ED53">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color w:val="auto"/>
                      <w:sz w:val="21"/>
                      <w:szCs w:val="21"/>
                      <w:lang w:eastAsia="zh-CN"/>
                    </w:rPr>
                  </w:pPr>
                </w:p>
              </w:tc>
              <w:tc>
                <w:tcPr>
                  <w:tcW w:w="2589" w:type="pct"/>
                  <w:noWrap w:val="0"/>
                  <w:vAlign w:val="center"/>
                </w:tcPr>
                <w:p w14:paraId="1A47ED51">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2.清洁生产水平达不到二级水平的项目禁止入园。</w:t>
                  </w:r>
                </w:p>
              </w:tc>
              <w:tc>
                <w:tcPr>
                  <w:tcW w:w="1454" w:type="pct"/>
                  <w:noWrap w:val="0"/>
                  <w:vAlign w:val="center"/>
                </w:tcPr>
                <w:p w14:paraId="0E49FCF5">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项目清洁生产水平能够达到先进水平。</w:t>
                  </w:r>
                </w:p>
              </w:tc>
              <w:tc>
                <w:tcPr>
                  <w:tcW w:w="465" w:type="pct"/>
                  <w:noWrap w:val="0"/>
                  <w:vAlign w:val="center"/>
                </w:tcPr>
                <w:p w14:paraId="244199C7">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符合</w:t>
                  </w:r>
                </w:p>
              </w:tc>
            </w:tr>
            <w:tr w14:paraId="73DB82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491" w:type="pct"/>
                  <w:vMerge w:val="continue"/>
                  <w:noWrap w:val="0"/>
                  <w:vAlign w:val="center"/>
                </w:tcPr>
                <w:p w14:paraId="3F28EBE2">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eastAsia" w:ascii="Times New Roman" w:hAnsi="Times New Roman" w:eastAsia="宋体" w:cs="Times New Roman"/>
                      <w:color w:val="auto"/>
                      <w:sz w:val="21"/>
                      <w:szCs w:val="21"/>
                      <w:lang w:eastAsia="zh-CN"/>
                    </w:rPr>
                  </w:pPr>
                </w:p>
              </w:tc>
              <w:tc>
                <w:tcPr>
                  <w:tcW w:w="2589" w:type="pct"/>
                  <w:noWrap w:val="0"/>
                  <w:vAlign w:val="center"/>
                </w:tcPr>
                <w:p w14:paraId="18218394">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3.超过区域污染物排放总量的项目禁止入园。</w:t>
                  </w:r>
                </w:p>
              </w:tc>
              <w:tc>
                <w:tcPr>
                  <w:tcW w:w="1454" w:type="pct"/>
                  <w:noWrap w:val="0"/>
                  <w:vAlign w:val="center"/>
                </w:tcPr>
                <w:p w14:paraId="5FFEB4B8">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项目</w:t>
                  </w:r>
                  <w:r>
                    <w:rPr>
                      <w:rFonts w:hint="eastAsia" w:cs="Times New Roman"/>
                      <w:color w:val="auto"/>
                      <w:sz w:val="21"/>
                      <w:szCs w:val="21"/>
                      <w:lang w:eastAsia="zh-CN"/>
                    </w:rPr>
                    <w:t>有机</w:t>
                  </w:r>
                  <w:r>
                    <w:rPr>
                      <w:rFonts w:hint="eastAsia" w:ascii="Times New Roman" w:hAnsi="Times New Roman" w:eastAsia="宋体" w:cs="Times New Roman"/>
                      <w:color w:val="auto"/>
                      <w:sz w:val="21"/>
                      <w:szCs w:val="21"/>
                      <w:lang w:eastAsia="zh-CN"/>
                    </w:rPr>
                    <w:t>废气排放量较小，无新增废水排放，不涉及二氧化硫、氮氧化物、化学需氧量、氨氮排放，不会超过区域</w:t>
                  </w:r>
                  <w:r>
                    <w:rPr>
                      <w:rFonts w:hint="eastAsia" w:cs="Times New Roman"/>
                      <w:color w:val="auto"/>
                      <w:sz w:val="21"/>
                      <w:szCs w:val="21"/>
                      <w:lang w:eastAsia="zh-CN"/>
                    </w:rPr>
                    <w:t>污</w:t>
                  </w:r>
                  <w:r>
                    <w:rPr>
                      <w:rFonts w:hint="eastAsia" w:ascii="Times New Roman" w:hAnsi="Times New Roman" w:eastAsia="宋体" w:cs="Times New Roman"/>
                      <w:color w:val="auto"/>
                      <w:sz w:val="21"/>
                      <w:szCs w:val="21"/>
                      <w:lang w:eastAsia="zh-CN"/>
                    </w:rPr>
                    <w:t>染物排放总量。</w:t>
                  </w:r>
                </w:p>
              </w:tc>
              <w:tc>
                <w:tcPr>
                  <w:tcW w:w="465" w:type="pct"/>
                  <w:noWrap w:val="0"/>
                  <w:vAlign w:val="center"/>
                </w:tcPr>
                <w:p w14:paraId="678EE232">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符合</w:t>
                  </w:r>
                </w:p>
              </w:tc>
            </w:tr>
            <w:tr w14:paraId="08007A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491" w:type="pct"/>
                  <w:vMerge w:val="continue"/>
                  <w:noWrap w:val="0"/>
                  <w:vAlign w:val="center"/>
                </w:tcPr>
                <w:p w14:paraId="35DC5E2D">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eastAsia" w:ascii="Times New Roman" w:hAnsi="Times New Roman" w:eastAsia="宋体" w:cs="Times New Roman"/>
                      <w:color w:val="auto"/>
                      <w:sz w:val="21"/>
                      <w:szCs w:val="21"/>
                      <w:lang w:eastAsia="zh-CN"/>
                    </w:rPr>
                  </w:pPr>
                </w:p>
              </w:tc>
              <w:tc>
                <w:tcPr>
                  <w:tcW w:w="2589" w:type="pct"/>
                  <w:noWrap w:val="0"/>
                  <w:vAlign w:val="center"/>
                </w:tcPr>
                <w:p w14:paraId="26C1E021">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4.禁止入区企业开采地下水。</w:t>
                  </w:r>
                </w:p>
              </w:tc>
              <w:tc>
                <w:tcPr>
                  <w:tcW w:w="1454" w:type="pct"/>
                  <w:noWrap w:val="0"/>
                  <w:vAlign w:val="center"/>
                </w:tcPr>
                <w:p w14:paraId="7C03D8D4">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项目不开采地下水。</w:t>
                  </w:r>
                </w:p>
              </w:tc>
              <w:tc>
                <w:tcPr>
                  <w:tcW w:w="465" w:type="pct"/>
                  <w:noWrap w:val="0"/>
                  <w:vAlign w:val="center"/>
                </w:tcPr>
                <w:p w14:paraId="58141257">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符合</w:t>
                  </w:r>
                </w:p>
              </w:tc>
            </w:tr>
            <w:tr w14:paraId="77FB5D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491" w:type="pct"/>
                  <w:vMerge w:val="continue"/>
                  <w:noWrap w:val="0"/>
                  <w:vAlign w:val="center"/>
                </w:tcPr>
                <w:p w14:paraId="43E7FFDA">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eastAsia" w:ascii="Times New Roman" w:hAnsi="Times New Roman" w:eastAsia="宋体" w:cs="Times New Roman"/>
                      <w:color w:val="auto"/>
                      <w:sz w:val="21"/>
                      <w:szCs w:val="21"/>
                      <w:lang w:eastAsia="zh-CN"/>
                    </w:rPr>
                  </w:pPr>
                </w:p>
              </w:tc>
              <w:tc>
                <w:tcPr>
                  <w:tcW w:w="2589" w:type="pct"/>
                  <w:noWrap w:val="0"/>
                  <w:vAlign w:val="center"/>
                </w:tcPr>
                <w:p w14:paraId="0D0D00BE">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5.禁止超过单位产品能源消耗限额标准的企业入驻。</w:t>
                  </w:r>
                </w:p>
              </w:tc>
              <w:tc>
                <w:tcPr>
                  <w:tcW w:w="1454" w:type="pct"/>
                  <w:noWrap w:val="0"/>
                  <w:vAlign w:val="center"/>
                </w:tcPr>
                <w:p w14:paraId="060BD143">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eastAsia="zh-CN"/>
                    </w:rPr>
                    <w:t>本项目未超过单位产品能源消耗限额</w:t>
                  </w:r>
                  <w:r>
                    <w:rPr>
                      <w:rFonts w:hint="eastAsia" w:cs="Times New Roman"/>
                      <w:color w:val="auto"/>
                      <w:sz w:val="21"/>
                      <w:szCs w:val="21"/>
                      <w:lang w:eastAsia="zh-CN"/>
                    </w:rPr>
                    <w:t>。</w:t>
                  </w:r>
                </w:p>
              </w:tc>
              <w:tc>
                <w:tcPr>
                  <w:tcW w:w="465" w:type="pct"/>
                  <w:noWrap w:val="0"/>
                  <w:vAlign w:val="center"/>
                </w:tcPr>
                <w:p w14:paraId="34BF6DE4">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符合</w:t>
                  </w:r>
                </w:p>
              </w:tc>
            </w:tr>
            <w:tr w14:paraId="366E8E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491" w:type="pct"/>
                  <w:vMerge w:val="continue"/>
                  <w:noWrap w:val="0"/>
                  <w:vAlign w:val="center"/>
                </w:tcPr>
                <w:p w14:paraId="22554D81">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eastAsia" w:ascii="Times New Roman" w:hAnsi="Times New Roman" w:eastAsia="宋体" w:cs="Times New Roman"/>
                      <w:color w:val="auto"/>
                      <w:sz w:val="21"/>
                      <w:szCs w:val="21"/>
                      <w:lang w:eastAsia="zh-CN"/>
                    </w:rPr>
                  </w:pPr>
                </w:p>
              </w:tc>
              <w:tc>
                <w:tcPr>
                  <w:tcW w:w="2589" w:type="pct"/>
                  <w:noWrap w:val="0"/>
                  <w:vAlign w:val="center"/>
                </w:tcPr>
                <w:p w14:paraId="061A5627">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6.禁止建设生产和使用高VOCs含量的溶剂型涂料、油墨、胶粘剂等项目。</w:t>
                  </w:r>
                </w:p>
              </w:tc>
              <w:tc>
                <w:tcPr>
                  <w:tcW w:w="1454" w:type="pct"/>
                  <w:noWrap w:val="0"/>
                  <w:vAlign w:val="center"/>
                </w:tcPr>
                <w:p w14:paraId="3E868A4D">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eastAsia="zh-CN"/>
                    </w:rPr>
                    <w:t>本项目使用的水性油墨、胶粘剂VOCs含量较低。</w:t>
                  </w:r>
                  <w:r>
                    <w:rPr>
                      <w:rFonts w:hint="eastAsia" w:ascii="Times New Roman" w:hAnsi="Times New Roman" w:cs="Times New Roman"/>
                      <w:lang w:eastAsia="zh-CN"/>
                    </w:rPr>
                    <w:t>根据上海华测品标检测技术有限公司出具的监测报告（报告编号：</w:t>
                  </w:r>
                  <w:r>
                    <w:rPr>
                      <w:rFonts w:hint="eastAsia" w:ascii="Times New Roman" w:hAnsi="Times New Roman" w:cs="Times New Roman"/>
                      <w:lang w:val="en-US" w:eastAsia="zh-CN"/>
                    </w:rPr>
                    <w:t>A2210241655101001C）水性油墨VOC</w:t>
                  </w:r>
                  <w:r>
                    <w:rPr>
                      <w:rFonts w:hint="eastAsia" w:ascii="Times New Roman" w:hAnsi="Times New Roman" w:cs="Times New Roman"/>
                      <w:sz w:val="21"/>
                      <w:vertAlign w:val="subscript"/>
                      <w:lang w:val="en-US" w:eastAsia="zh-CN"/>
                    </w:rPr>
                    <w:t>S</w:t>
                  </w:r>
                  <w:r>
                    <w:rPr>
                      <w:rFonts w:hint="eastAsia" w:ascii="Times New Roman" w:hAnsi="Times New Roman" w:cs="Times New Roman"/>
                      <w:lang w:val="en-US" w:eastAsia="zh-CN"/>
                    </w:rPr>
                    <w:t>含量为1.2%</w:t>
                  </w:r>
                  <w:r>
                    <w:rPr>
                      <w:rFonts w:hint="eastAsia" w:cs="Times New Roman"/>
                      <w:kern w:val="0"/>
                      <w:szCs w:val="21"/>
                      <w:lang w:val="en-US" w:eastAsia="zh-CN" w:bidi="en-US"/>
                    </w:rPr>
                    <w:t>，</w:t>
                  </w:r>
                  <w:r>
                    <w:rPr>
                      <w:rFonts w:hint="eastAsia"/>
                      <w:lang w:val="en-US" w:eastAsia="zh-CN"/>
                    </w:rPr>
                    <w:t>符合《油墨中可挥发性有机化合物（VOC</w:t>
                  </w:r>
                  <w:r>
                    <w:rPr>
                      <w:rFonts w:hint="eastAsia"/>
                      <w:vertAlign w:val="subscript"/>
                      <w:lang w:val="en-US" w:eastAsia="zh-CN"/>
                    </w:rPr>
                    <w:t>S</w:t>
                  </w:r>
                  <w:r>
                    <w:rPr>
                      <w:rFonts w:hint="eastAsia"/>
                      <w:lang w:val="en-US" w:eastAsia="zh-CN"/>
                    </w:rPr>
                    <w:t>）含量的限制》（GB38507-2020）中水性油墨-凹印油墨-非吸收性承印物的VOC</w:t>
                  </w:r>
                  <w:r>
                    <w:rPr>
                      <w:rFonts w:hint="eastAsia"/>
                      <w:vertAlign w:val="subscript"/>
                      <w:lang w:val="en-US" w:eastAsia="zh-CN"/>
                    </w:rPr>
                    <w:t>S</w:t>
                  </w:r>
                  <w:r>
                    <w:rPr>
                      <w:rFonts w:hint="eastAsia"/>
                      <w:lang w:val="en-US" w:eastAsia="zh-CN"/>
                    </w:rPr>
                    <w:t>含量限值，不属于高VOC</w:t>
                  </w:r>
                  <w:r>
                    <w:rPr>
                      <w:rFonts w:hint="eastAsia"/>
                      <w:vertAlign w:val="subscript"/>
                      <w:lang w:val="en-US" w:eastAsia="zh-CN"/>
                    </w:rPr>
                    <w:t>S</w:t>
                  </w:r>
                  <w:r>
                    <w:rPr>
                      <w:rFonts w:hint="eastAsia"/>
                      <w:lang w:val="en-US" w:eastAsia="zh-CN"/>
                    </w:rPr>
                    <w:t>含量水性油墨</w:t>
                  </w:r>
                  <w:r>
                    <w:rPr>
                      <w:rFonts w:hint="eastAsia" w:ascii="Times New Roman" w:hAnsi="Times New Roman" w:cs="Times New Roman"/>
                      <w:color w:val="auto"/>
                      <w:lang w:val="en-US" w:eastAsia="zh-CN"/>
                    </w:rPr>
                    <w:t>。</w:t>
                  </w:r>
                  <w:r>
                    <w:rPr>
                      <w:rFonts w:hint="eastAsia" w:cs="Times New Roman"/>
                      <w:lang w:val="en-US" w:eastAsia="zh-CN"/>
                    </w:rPr>
                    <w:t>本项目使用环保型无溶剂胶粘剂。</w:t>
                  </w:r>
                </w:p>
              </w:tc>
              <w:tc>
                <w:tcPr>
                  <w:tcW w:w="465" w:type="pct"/>
                  <w:noWrap w:val="0"/>
                  <w:vAlign w:val="center"/>
                </w:tcPr>
                <w:p w14:paraId="19E03C6E">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符合</w:t>
                  </w:r>
                </w:p>
              </w:tc>
            </w:tr>
            <w:tr w14:paraId="3617A9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491" w:type="pct"/>
                  <w:vMerge w:val="continue"/>
                  <w:noWrap w:val="0"/>
                  <w:vAlign w:val="center"/>
                </w:tcPr>
                <w:p w14:paraId="3AFABA47">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eastAsia" w:ascii="Times New Roman" w:hAnsi="Times New Roman" w:eastAsia="宋体" w:cs="Times New Roman"/>
                      <w:color w:val="auto"/>
                      <w:sz w:val="21"/>
                      <w:szCs w:val="21"/>
                      <w:lang w:eastAsia="zh-CN"/>
                    </w:rPr>
                  </w:pPr>
                </w:p>
              </w:tc>
              <w:tc>
                <w:tcPr>
                  <w:tcW w:w="2589" w:type="pct"/>
                  <w:noWrap w:val="0"/>
                  <w:vAlign w:val="center"/>
                </w:tcPr>
                <w:p w14:paraId="3EF20145">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7.严格规范危化品管理，逐步退出人口聚集区内危化品的生产、储存、加工机构，加快实施重污染企业搬迁。</w:t>
                  </w:r>
                </w:p>
              </w:tc>
              <w:tc>
                <w:tcPr>
                  <w:tcW w:w="1454" w:type="pct"/>
                  <w:noWrap w:val="0"/>
                  <w:vAlign w:val="center"/>
                </w:tcPr>
                <w:p w14:paraId="4855A355">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项目选址不属于人口聚集区。</w:t>
                  </w:r>
                </w:p>
              </w:tc>
              <w:tc>
                <w:tcPr>
                  <w:tcW w:w="465" w:type="pct"/>
                  <w:noWrap w:val="0"/>
                  <w:vAlign w:val="center"/>
                </w:tcPr>
                <w:p w14:paraId="396B3199">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符合</w:t>
                  </w:r>
                </w:p>
              </w:tc>
            </w:tr>
            <w:tr w14:paraId="0FCAF8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491" w:type="pct"/>
                  <w:vMerge w:val="restart"/>
                  <w:noWrap w:val="0"/>
                  <w:vAlign w:val="center"/>
                </w:tcPr>
                <w:p w14:paraId="1FB87CDA">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污染物排放管控</w:t>
                  </w:r>
                </w:p>
              </w:tc>
              <w:tc>
                <w:tcPr>
                  <w:tcW w:w="2589" w:type="pct"/>
                  <w:noWrap w:val="0"/>
                  <w:vAlign w:val="center"/>
                </w:tcPr>
                <w:p w14:paraId="774078AE">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1.严格执行</w:t>
                  </w:r>
                  <w:r>
                    <w:rPr>
                      <w:rFonts w:hint="eastAsia"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lang w:eastAsia="zh-CN"/>
                    </w:rPr>
                    <w:t>沧州市人民政府办公室关于进一步加强建设项目大气主要污染物排放总量指标管理工作的通知》沧政办字〔2020〕81号文件中关于污染物排放总量管理要求。</w:t>
                  </w:r>
                </w:p>
              </w:tc>
              <w:tc>
                <w:tcPr>
                  <w:tcW w:w="1454" w:type="pct"/>
                  <w:noWrap w:val="0"/>
                  <w:vAlign w:val="center"/>
                </w:tcPr>
                <w:p w14:paraId="63AD59BC">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项目严格执行污染物排放总量管理要求，不新增主要污染物排放。</w:t>
                  </w:r>
                </w:p>
              </w:tc>
              <w:tc>
                <w:tcPr>
                  <w:tcW w:w="465" w:type="pct"/>
                  <w:noWrap w:val="0"/>
                  <w:vAlign w:val="center"/>
                </w:tcPr>
                <w:p w14:paraId="6B9398CB">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符合</w:t>
                  </w:r>
                </w:p>
              </w:tc>
            </w:tr>
            <w:tr w14:paraId="0DCFEA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491" w:type="pct"/>
                  <w:vMerge w:val="continue"/>
                  <w:noWrap w:val="0"/>
                  <w:vAlign w:val="center"/>
                </w:tcPr>
                <w:p w14:paraId="36686688">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color w:val="auto"/>
                      <w:sz w:val="21"/>
                      <w:szCs w:val="21"/>
                      <w:lang w:eastAsia="zh-CN"/>
                    </w:rPr>
                  </w:pPr>
                </w:p>
              </w:tc>
              <w:tc>
                <w:tcPr>
                  <w:tcW w:w="2589" w:type="pct"/>
                  <w:noWrap w:val="0"/>
                  <w:vAlign w:val="center"/>
                </w:tcPr>
                <w:p w14:paraId="5FEE5927">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2.具备条件的水泥企业基本完成固定源超低排放改造。</w:t>
                  </w:r>
                </w:p>
              </w:tc>
              <w:tc>
                <w:tcPr>
                  <w:tcW w:w="1454" w:type="pct"/>
                  <w:noWrap w:val="0"/>
                  <w:vAlign w:val="center"/>
                </w:tcPr>
                <w:p w14:paraId="65DE041B">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不涉及</w:t>
                  </w:r>
                </w:p>
              </w:tc>
              <w:tc>
                <w:tcPr>
                  <w:tcW w:w="465" w:type="pct"/>
                  <w:noWrap w:val="0"/>
                  <w:vAlign w:val="center"/>
                </w:tcPr>
                <w:p w14:paraId="40860A1C">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符合</w:t>
                  </w:r>
                </w:p>
              </w:tc>
            </w:tr>
            <w:tr w14:paraId="52FAD1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491" w:type="pct"/>
                  <w:vMerge w:val="continue"/>
                  <w:noWrap w:val="0"/>
                  <w:vAlign w:val="center"/>
                </w:tcPr>
                <w:p w14:paraId="3E27CBA7">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color w:val="auto"/>
                      <w:sz w:val="21"/>
                      <w:szCs w:val="21"/>
                      <w:lang w:eastAsia="zh-CN"/>
                    </w:rPr>
                  </w:pPr>
                </w:p>
              </w:tc>
              <w:tc>
                <w:tcPr>
                  <w:tcW w:w="2589" w:type="pct"/>
                  <w:noWrap w:val="0"/>
                  <w:vAlign w:val="center"/>
                </w:tcPr>
                <w:p w14:paraId="56CD4BBE">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3.开展大气污染物特别排放限值改造，化学原料制造、制药行业现有企业严格执行二氧化硫、氮氧化物、颗粒物和挥发性有机物特别排放限值。</w:t>
                  </w:r>
                </w:p>
              </w:tc>
              <w:tc>
                <w:tcPr>
                  <w:tcW w:w="1454" w:type="pct"/>
                  <w:noWrap w:val="0"/>
                  <w:vAlign w:val="center"/>
                </w:tcPr>
                <w:p w14:paraId="637C59C2">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本项目执行大气污染物特别排放限值，不属于化学原料药制造、制药行业。</w:t>
                  </w:r>
                </w:p>
              </w:tc>
              <w:tc>
                <w:tcPr>
                  <w:tcW w:w="465" w:type="pct"/>
                  <w:noWrap w:val="0"/>
                  <w:vAlign w:val="center"/>
                </w:tcPr>
                <w:p w14:paraId="3534BCE0">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符合</w:t>
                  </w:r>
                </w:p>
              </w:tc>
            </w:tr>
            <w:tr w14:paraId="572ECF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491" w:type="pct"/>
                  <w:vMerge w:val="continue"/>
                  <w:noWrap w:val="0"/>
                  <w:vAlign w:val="center"/>
                </w:tcPr>
                <w:p w14:paraId="41443BE8">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color w:val="auto"/>
                      <w:sz w:val="21"/>
                      <w:szCs w:val="21"/>
                      <w:lang w:eastAsia="zh-CN"/>
                    </w:rPr>
                  </w:pPr>
                </w:p>
              </w:tc>
              <w:tc>
                <w:tcPr>
                  <w:tcW w:w="2589" w:type="pct"/>
                  <w:noWrap w:val="0"/>
                  <w:vAlign w:val="center"/>
                </w:tcPr>
                <w:p w14:paraId="4E091FF6">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4.加强涂料等行业VOCs治理力度。重点提高涉VOCs排放主要工序密闭化水平，加强无组织排放收集，加大含VOCs物料储存和装卸治理力度。</w:t>
                  </w:r>
                </w:p>
              </w:tc>
              <w:tc>
                <w:tcPr>
                  <w:tcW w:w="1454" w:type="pct"/>
                  <w:noWrap w:val="0"/>
                  <w:vAlign w:val="center"/>
                </w:tcPr>
                <w:p w14:paraId="5158D502">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项目产生非甲烷总烃、二苯基甲烷二异氰酸酯（</w:t>
                  </w:r>
                  <w:r>
                    <w:rPr>
                      <w:rFonts w:hint="eastAsia" w:ascii="Times New Roman" w:hAnsi="Times New Roman" w:eastAsia="宋体" w:cs="Times New Roman"/>
                      <w:color w:val="auto"/>
                      <w:sz w:val="21"/>
                      <w:szCs w:val="21"/>
                      <w:lang w:val="en-US" w:eastAsia="zh-CN"/>
                    </w:rPr>
                    <w:t>MDI）</w:t>
                  </w:r>
                  <w:r>
                    <w:rPr>
                      <w:rFonts w:hint="eastAsia" w:ascii="Times New Roman" w:hAnsi="Times New Roman" w:eastAsia="宋体" w:cs="Times New Roman"/>
                      <w:color w:val="auto"/>
                      <w:sz w:val="21"/>
                      <w:szCs w:val="21"/>
                      <w:lang w:eastAsia="zh-CN"/>
                    </w:rPr>
                    <w:t>，生产车间主要工序密闭，原辅材料于原料区存放并密封。</w:t>
                  </w:r>
                </w:p>
              </w:tc>
              <w:tc>
                <w:tcPr>
                  <w:tcW w:w="465" w:type="pct"/>
                  <w:noWrap w:val="0"/>
                  <w:vAlign w:val="center"/>
                </w:tcPr>
                <w:p w14:paraId="464C4186">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符合</w:t>
                  </w:r>
                </w:p>
              </w:tc>
            </w:tr>
            <w:tr w14:paraId="20E6B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491" w:type="pct"/>
                  <w:vMerge w:val="continue"/>
                  <w:noWrap w:val="0"/>
                  <w:vAlign w:val="center"/>
                </w:tcPr>
                <w:p w14:paraId="0026888F">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color w:val="auto"/>
                      <w:sz w:val="21"/>
                      <w:szCs w:val="21"/>
                      <w:lang w:eastAsia="zh-CN"/>
                    </w:rPr>
                  </w:pPr>
                </w:p>
              </w:tc>
              <w:tc>
                <w:tcPr>
                  <w:tcW w:w="2589" w:type="pct"/>
                  <w:noWrap w:val="0"/>
                  <w:vAlign w:val="center"/>
                </w:tcPr>
                <w:p w14:paraId="27CED4C3">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5.开发区内锅炉污染物排放应达到《锅炉大气污染物排放标准》（DB13/5161）要求。</w:t>
                  </w:r>
                </w:p>
              </w:tc>
              <w:tc>
                <w:tcPr>
                  <w:tcW w:w="1454" w:type="pct"/>
                  <w:noWrap w:val="0"/>
                  <w:vAlign w:val="center"/>
                </w:tcPr>
                <w:p w14:paraId="6FC9D114">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不涉及</w:t>
                  </w:r>
                </w:p>
              </w:tc>
              <w:tc>
                <w:tcPr>
                  <w:tcW w:w="465" w:type="pct"/>
                  <w:noWrap w:val="0"/>
                  <w:vAlign w:val="center"/>
                </w:tcPr>
                <w:p w14:paraId="65F29D67">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符合</w:t>
                  </w:r>
                </w:p>
              </w:tc>
            </w:tr>
            <w:tr w14:paraId="7FECF6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491" w:type="pct"/>
                  <w:vMerge w:val="continue"/>
                  <w:noWrap w:val="0"/>
                  <w:vAlign w:val="center"/>
                </w:tcPr>
                <w:p w14:paraId="7C387A24">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color w:val="auto"/>
                      <w:sz w:val="21"/>
                      <w:szCs w:val="21"/>
                      <w:lang w:eastAsia="zh-CN"/>
                    </w:rPr>
                  </w:pPr>
                </w:p>
              </w:tc>
              <w:tc>
                <w:tcPr>
                  <w:tcW w:w="2589" w:type="pct"/>
                  <w:noWrap w:val="0"/>
                  <w:vAlign w:val="center"/>
                </w:tcPr>
                <w:p w14:paraId="34165A7B">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6.造纸、焦化、氮肥、石油化工、印染、农副食品加工、原料药制造、制革、农药、电镀等</w:t>
                  </w:r>
                  <w:r>
                    <w:rPr>
                      <w:rFonts w:hint="eastAsia"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lang w:eastAsia="zh-CN"/>
                    </w:rPr>
                    <w:t>十大</w:t>
                  </w:r>
                  <w:r>
                    <w:rPr>
                      <w:rFonts w:hint="eastAsia"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lang w:eastAsia="zh-CN"/>
                    </w:rPr>
                    <w:t>重点行业，新建、改建、扩建项目实行新增主要污染物排放倍量替换。</w:t>
                  </w:r>
                </w:p>
              </w:tc>
              <w:tc>
                <w:tcPr>
                  <w:tcW w:w="1454" w:type="pct"/>
                  <w:noWrap w:val="0"/>
                  <w:vAlign w:val="center"/>
                </w:tcPr>
                <w:p w14:paraId="0126233C">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项目</w:t>
                  </w:r>
                  <w:r>
                    <w:rPr>
                      <w:rFonts w:hint="eastAsia" w:ascii="Times New Roman" w:hAnsi="Times New Roman" w:eastAsia="宋体" w:cs="Times New Roman"/>
                      <w:szCs w:val="21"/>
                      <w:lang w:eastAsia="zh-CN"/>
                    </w:rPr>
                    <w:t>属于</w:t>
                  </w:r>
                  <w:r>
                    <w:rPr>
                      <w:rFonts w:hint="eastAsia" w:cs="黑体"/>
                      <w:position w:val="2"/>
                      <w:sz w:val="21"/>
                      <w:szCs w:val="21"/>
                      <w:lang w:val="en-US" w:eastAsia="zh-CN"/>
                    </w:rPr>
                    <w:t>塑料零件及其他塑料制品制造行业</w:t>
                  </w:r>
                  <w:r>
                    <w:rPr>
                      <w:rFonts w:hint="eastAsia" w:ascii="Times New Roman" w:hAnsi="Times New Roman" w:eastAsia="宋体" w:cs="黑体"/>
                      <w:position w:val="2"/>
                      <w:sz w:val="21"/>
                      <w:szCs w:val="21"/>
                    </w:rPr>
                    <w:t>，</w:t>
                  </w:r>
                  <w:r>
                    <w:rPr>
                      <w:rFonts w:hint="eastAsia" w:ascii="Times New Roman" w:hAnsi="Times New Roman" w:eastAsia="宋体" w:cs="Times New Roman"/>
                      <w:color w:val="auto"/>
                      <w:sz w:val="21"/>
                      <w:szCs w:val="21"/>
                      <w:lang w:eastAsia="zh-CN"/>
                    </w:rPr>
                    <w:t>不属于“十大”重点行业。</w:t>
                  </w:r>
                </w:p>
              </w:tc>
              <w:tc>
                <w:tcPr>
                  <w:tcW w:w="465" w:type="pct"/>
                  <w:noWrap w:val="0"/>
                  <w:vAlign w:val="center"/>
                </w:tcPr>
                <w:p w14:paraId="2D459A30">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符合</w:t>
                  </w:r>
                </w:p>
              </w:tc>
            </w:tr>
            <w:tr w14:paraId="463F6E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491" w:type="pct"/>
                  <w:vMerge w:val="continue"/>
                  <w:noWrap w:val="0"/>
                  <w:vAlign w:val="center"/>
                </w:tcPr>
                <w:p w14:paraId="683E7186">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color w:val="auto"/>
                      <w:sz w:val="21"/>
                      <w:szCs w:val="21"/>
                      <w:lang w:eastAsia="zh-CN"/>
                    </w:rPr>
                  </w:pPr>
                </w:p>
              </w:tc>
              <w:tc>
                <w:tcPr>
                  <w:tcW w:w="2589" w:type="pct"/>
                  <w:noWrap w:val="0"/>
                  <w:vAlign w:val="center"/>
                </w:tcPr>
                <w:p w14:paraId="77880F77">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7.水污染物接入污水处理厂或自行处理，确保不外排。加快完善配套管网的建设。</w:t>
                  </w:r>
                </w:p>
              </w:tc>
              <w:tc>
                <w:tcPr>
                  <w:tcW w:w="1454" w:type="pct"/>
                  <w:noWrap w:val="0"/>
                  <w:vAlign w:val="center"/>
                </w:tcPr>
                <w:p w14:paraId="0CFC1C83">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本项目无新增废水排放。</w:t>
                  </w:r>
                </w:p>
              </w:tc>
              <w:tc>
                <w:tcPr>
                  <w:tcW w:w="465" w:type="pct"/>
                  <w:noWrap w:val="0"/>
                  <w:vAlign w:val="center"/>
                </w:tcPr>
                <w:p w14:paraId="21EA09B8">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符合</w:t>
                  </w:r>
                </w:p>
              </w:tc>
            </w:tr>
            <w:tr w14:paraId="6CB0CB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491" w:type="pct"/>
                  <w:vMerge w:val="continue"/>
                  <w:noWrap w:val="0"/>
                  <w:vAlign w:val="center"/>
                </w:tcPr>
                <w:p w14:paraId="700E5291">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color w:val="auto"/>
                      <w:sz w:val="21"/>
                      <w:szCs w:val="21"/>
                      <w:lang w:eastAsia="zh-CN"/>
                    </w:rPr>
                  </w:pPr>
                </w:p>
              </w:tc>
              <w:tc>
                <w:tcPr>
                  <w:tcW w:w="2589" w:type="pct"/>
                  <w:noWrap w:val="0"/>
                  <w:vAlign w:val="center"/>
                </w:tcPr>
                <w:p w14:paraId="0F122185">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8.石油开采和加工企业实施清洁生产审核，定期巡检含油污泥或含油岩屑的收集、贮存设施，防止含油污泥或含油岩屑外溢。加强对油田矿产资源开采活动影响区域内未利用地的环境监管，发现土壤污染问题的，责令有关企业及时采取防治措施。</w:t>
                  </w:r>
                </w:p>
              </w:tc>
              <w:tc>
                <w:tcPr>
                  <w:tcW w:w="1454" w:type="pct"/>
                  <w:noWrap w:val="0"/>
                  <w:vAlign w:val="center"/>
                </w:tcPr>
                <w:p w14:paraId="5E65156E">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不涉及</w:t>
                  </w:r>
                </w:p>
              </w:tc>
              <w:tc>
                <w:tcPr>
                  <w:tcW w:w="465" w:type="pct"/>
                  <w:noWrap w:val="0"/>
                  <w:vAlign w:val="center"/>
                </w:tcPr>
                <w:p w14:paraId="2CBD7B1C">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符合</w:t>
                  </w:r>
                </w:p>
              </w:tc>
            </w:tr>
            <w:tr w14:paraId="168D3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34" w:hRule="atLeast"/>
                <w:jc w:val="center"/>
              </w:trPr>
              <w:tc>
                <w:tcPr>
                  <w:tcW w:w="491" w:type="pct"/>
                  <w:vMerge w:val="restart"/>
                  <w:noWrap w:val="0"/>
                  <w:vAlign w:val="center"/>
                </w:tcPr>
                <w:p w14:paraId="489BD925">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环境风险防控</w:t>
                  </w:r>
                </w:p>
              </w:tc>
              <w:tc>
                <w:tcPr>
                  <w:tcW w:w="2589" w:type="pct"/>
                  <w:noWrap w:val="0"/>
                  <w:vAlign w:val="center"/>
                </w:tcPr>
                <w:p w14:paraId="269B851D">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1.开发区及入区企业需按照相关法律法规及文件要求组织编制《环境风险应急预案》，成立应急组织机构，定期开展应急演练，提高区域环境风险防范能力。</w:t>
                  </w:r>
                </w:p>
              </w:tc>
              <w:tc>
                <w:tcPr>
                  <w:tcW w:w="1454" w:type="pct"/>
                  <w:noWrap w:val="0"/>
                  <w:vAlign w:val="center"/>
                </w:tcPr>
                <w:p w14:paraId="68AC378A">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项目建成后应修订《突发环境事件应急预案》并进行备案，且严格执行相关要求。</w:t>
                  </w:r>
                </w:p>
              </w:tc>
              <w:tc>
                <w:tcPr>
                  <w:tcW w:w="465" w:type="pct"/>
                  <w:noWrap w:val="0"/>
                  <w:vAlign w:val="center"/>
                </w:tcPr>
                <w:p w14:paraId="7218E4F2">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符合</w:t>
                  </w:r>
                </w:p>
              </w:tc>
            </w:tr>
            <w:tr w14:paraId="69981B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13" w:hRule="atLeast"/>
                <w:jc w:val="center"/>
              </w:trPr>
              <w:tc>
                <w:tcPr>
                  <w:tcW w:w="491" w:type="pct"/>
                  <w:vMerge w:val="continue"/>
                  <w:noWrap w:val="0"/>
                  <w:vAlign w:val="center"/>
                </w:tcPr>
                <w:p w14:paraId="3E6B8DEE">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color w:val="auto"/>
                      <w:sz w:val="21"/>
                      <w:szCs w:val="21"/>
                      <w:lang w:eastAsia="zh-CN"/>
                    </w:rPr>
                  </w:pPr>
                </w:p>
              </w:tc>
              <w:tc>
                <w:tcPr>
                  <w:tcW w:w="2589" w:type="pct"/>
                  <w:noWrap w:val="0"/>
                  <w:vAlign w:val="center"/>
                </w:tcPr>
                <w:p w14:paraId="0DAFEC81">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2.建立有效的事故风险防范体系，使开发区建设和环境保护协调发展。</w:t>
                  </w:r>
                </w:p>
              </w:tc>
              <w:tc>
                <w:tcPr>
                  <w:tcW w:w="1454" w:type="pct"/>
                  <w:noWrap w:val="0"/>
                  <w:vAlign w:val="center"/>
                </w:tcPr>
                <w:p w14:paraId="0CC5C02B">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项目建立有效的事故风险防范体系，防治事故风险。</w:t>
                  </w:r>
                </w:p>
              </w:tc>
              <w:tc>
                <w:tcPr>
                  <w:tcW w:w="465" w:type="pct"/>
                  <w:noWrap w:val="0"/>
                  <w:vAlign w:val="center"/>
                </w:tcPr>
                <w:p w14:paraId="4F2828FB">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符合</w:t>
                  </w:r>
                </w:p>
              </w:tc>
            </w:tr>
            <w:tr w14:paraId="6E3D5A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13" w:hRule="atLeast"/>
                <w:jc w:val="center"/>
              </w:trPr>
              <w:tc>
                <w:tcPr>
                  <w:tcW w:w="491" w:type="pct"/>
                  <w:vMerge w:val="continue"/>
                  <w:noWrap w:val="0"/>
                  <w:vAlign w:val="center"/>
                </w:tcPr>
                <w:p w14:paraId="215AA0A0">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color w:val="auto"/>
                      <w:sz w:val="21"/>
                      <w:szCs w:val="21"/>
                      <w:lang w:eastAsia="zh-CN"/>
                    </w:rPr>
                  </w:pPr>
                </w:p>
              </w:tc>
              <w:tc>
                <w:tcPr>
                  <w:tcW w:w="2589" w:type="pct"/>
                  <w:noWrap w:val="0"/>
                  <w:vAlign w:val="center"/>
                </w:tcPr>
                <w:p w14:paraId="78774CB5">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3.确定地下水污染来源和路径，进行污染风险评估，确定修复目标和风险管控目标，启动地下水污染修复工作。</w:t>
                  </w:r>
                </w:p>
              </w:tc>
              <w:tc>
                <w:tcPr>
                  <w:tcW w:w="1454" w:type="pct"/>
                  <w:noWrap w:val="0"/>
                  <w:vAlign w:val="center"/>
                </w:tcPr>
                <w:p w14:paraId="462FA55D">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项目所在区域地下水环境质量较好。</w:t>
                  </w:r>
                </w:p>
              </w:tc>
              <w:tc>
                <w:tcPr>
                  <w:tcW w:w="465" w:type="pct"/>
                  <w:noWrap w:val="0"/>
                  <w:vAlign w:val="center"/>
                </w:tcPr>
                <w:p w14:paraId="587FB431">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符合</w:t>
                  </w:r>
                </w:p>
              </w:tc>
            </w:tr>
            <w:tr w14:paraId="73077B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491" w:type="pct"/>
                  <w:vMerge w:val="restart"/>
                  <w:noWrap w:val="0"/>
                  <w:vAlign w:val="center"/>
                </w:tcPr>
                <w:p w14:paraId="5476B188">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资源利用效率</w:t>
                  </w:r>
                </w:p>
              </w:tc>
              <w:tc>
                <w:tcPr>
                  <w:tcW w:w="2589" w:type="pct"/>
                  <w:noWrap w:val="0"/>
                  <w:vAlign w:val="center"/>
                </w:tcPr>
                <w:p w14:paraId="62AEFD77">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1.减少新鲜水用量，提高中水回用率。</w:t>
                  </w:r>
                </w:p>
              </w:tc>
              <w:tc>
                <w:tcPr>
                  <w:tcW w:w="1454" w:type="pct"/>
                  <w:noWrap w:val="0"/>
                  <w:vAlign w:val="center"/>
                </w:tcPr>
                <w:p w14:paraId="364D5D1D">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项目无新增</w:t>
                  </w:r>
                  <w:r>
                    <w:rPr>
                      <w:rFonts w:hint="eastAsia" w:cs="Times New Roman"/>
                      <w:color w:val="auto"/>
                      <w:sz w:val="21"/>
                      <w:szCs w:val="21"/>
                      <w:lang w:eastAsia="zh-CN"/>
                    </w:rPr>
                    <w:t>新鲜水用量，新增纯水全部外购</w:t>
                  </w:r>
                  <w:r>
                    <w:rPr>
                      <w:rFonts w:hint="eastAsia" w:ascii="Times New Roman" w:hAnsi="Times New Roman" w:eastAsia="宋体" w:cs="Times New Roman"/>
                      <w:color w:val="auto"/>
                      <w:sz w:val="21"/>
                      <w:szCs w:val="21"/>
                      <w:lang w:eastAsia="zh-CN"/>
                    </w:rPr>
                    <w:t>。</w:t>
                  </w:r>
                </w:p>
              </w:tc>
              <w:tc>
                <w:tcPr>
                  <w:tcW w:w="465" w:type="pct"/>
                  <w:noWrap w:val="0"/>
                  <w:vAlign w:val="center"/>
                </w:tcPr>
                <w:p w14:paraId="3C474101">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符合</w:t>
                  </w:r>
                </w:p>
              </w:tc>
            </w:tr>
            <w:tr w14:paraId="617A8F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491" w:type="pct"/>
                  <w:vMerge w:val="continue"/>
                  <w:noWrap w:val="0"/>
                  <w:vAlign w:val="center"/>
                </w:tcPr>
                <w:p w14:paraId="6435F591">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color w:val="auto"/>
                      <w:sz w:val="21"/>
                      <w:szCs w:val="21"/>
                      <w:lang w:eastAsia="zh-CN"/>
                    </w:rPr>
                  </w:pPr>
                </w:p>
              </w:tc>
              <w:tc>
                <w:tcPr>
                  <w:tcW w:w="2589" w:type="pct"/>
                  <w:noWrap w:val="0"/>
                  <w:vAlign w:val="center"/>
                </w:tcPr>
                <w:p w14:paraId="07F2E494">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2.鼓励锅炉、工业炉窑进行余热利用。</w:t>
                  </w:r>
                </w:p>
              </w:tc>
              <w:tc>
                <w:tcPr>
                  <w:tcW w:w="1454" w:type="pct"/>
                  <w:noWrap w:val="0"/>
                  <w:vAlign w:val="center"/>
                </w:tcPr>
                <w:p w14:paraId="01B054DC">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不涉及</w:t>
                  </w:r>
                </w:p>
              </w:tc>
              <w:tc>
                <w:tcPr>
                  <w:tcW w:w="465" w:type="pct"/>
                  <w:noWrap w:val="0"/>
                  <w:vAlign w:val="center"/>
                </w:tcPr>
                <w:p w14:paraId="44D3E5A4">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符合</w:t>
                  </w:r>
                </w:p>
              </w:tc>
            </w:tr>
            <w:tr w14:paraId="08AF46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491" w:type="pct"/>
                  <w:vMerge w:val="continue"/>
                  <w:noWrap w:val="0"/>
                  <w:vAlign w:val="center"/>
                </w:tcPr>
                <w:p w14:paraId="5CBEDF93">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color w:val="auto"/>
                      <w:sz w:val="21"/>
                      <w:szCs w:val="21"/>
                      <w:lang w:eastAsia="zh-CN"/>
                    </w:rPr>
                  </w:pPr>
                </w:p>
              </w:tc>
              <w:tc>
                <w:tcPr>
                  <w:tcW w:w="2589" w:type="pct"/>
                  <w:noWrap w:val="0"/>
                  <w:vAlign w:val="center"/>
                </w:tcPr>
                <w:p w14:paraId="63DF4B44">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3.新建项目清洁生产应达到国际先进水平，新建产业园区应按生态工业园区标准进行规划建设。</w:t>
                  </w:r>
                </w:p>
              </w:tc>
              <w:tc>
                <w:tcPr>
                  <w:tcW w:w="1454" w:type="pct"/>
                  <w:noWrap w:val="0"/>
                  <w:vAlign w:val="center"/>
                </w:tcPr>
                <w:p w14:paraId="45EF8866">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both"/>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企业清洁生产水平达到国际先进水平。</w:t>
                  </w:r>
                </w:p>
              </w:tc>
              <w:tc>
                <w:tcPr>
                  <w:tcW w:w="465" w:type="pct"/>
                  <w:noWrap w:val="0"/>
                  <w:vAlign w:val="center"/>
                </w:tcPr>
                <w:p w14:paraId="71B9163C">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符合</w:t>
                  </w:r>
                </w:p>
              </w:tc>
            </w:tr>
          </w:tbl>
          <w:p w14:paraId="7BB8AD0F">
            <w:pPr>
              <w:pStyle w:val="16"/>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firstLine="480" w:firstLineChars="200"/>
              <w:jc w:val="both"/>
              <w:textAlignment w:val="auto"/>
              <w:rPr>
                <w:rFonts w:hint="eastAsia" w:ascii="宋体" w:hAnsi="宋体" w:eastAsia="宋体" w:cs="宋体"/>
                <w:b/>
                <w:bCs/>
                <w:sz w:val="21"/>
                <w:szCs w:val="21"/>
              </w:rPr>
            </w:pPr>
            <w:r>
              <w:rPr>
                <w:rFonts w:hint="eastAsia" w:eastAsia="宋体"/>
                <w:sz w:val="24"/>
                <w:szCs w:val="24"/>
                <w:lang w:eastAsia="zh-CN"/>
              </w:rPr>
              <w:t>根据上表，项目符合</w:t>
            </w:r>
            <w:r>
              <w:rPr>
                <w:rFonts w:hint="eastAsia" w:ascii="Times New Roman" w:hAnsi="Times New Roman" w:eastAsia="宋体" w:cs="Times New Roman"/>
                <w:color w:val="auto"/>
                <w:sz w:val="24"/>
                <w:highlight w:val="none"/>
                <w:lang w:val="en-US" w:eastAsia="zh-CN"/>
              </w:rPr>
              <w:t>沧州临港经济技术开发区生态环境准入清单的要求。</w:t>
            </w:r>
          </w:p>
          <w:p w14:paraId="45D27F79">
            <w:pPr>
              <w:keepNext w:val="0"/>
              <w:keepLines w:val="0"/>
              <w:pageBreakBefore w:val="0"/>
              <w:widowControl w:val="0"/>
              <w:suppressLineNumbers w:val="0"/>
              <w:kinsoku/>
              <w:wordWrap/>
              <w:overflowPunct/>
              <w:topLinePunct w:val="0"/>
              <w:autoSpaceDE w:val="0"/>
              <w:autoSpaceDN w:val="0"/>
              <w:bidi w:val="0"/>
              <w:adjustRightInd w:val="0"/>
              <w:snapToGrid w:val="0"/>
              <w:spacing w:before="0" w:beforeLines="0" w:beforeAutospacing="0" w:after="0" w:afterAutospacing="0" w:line="360" w:lineRule="auto"/>
              <w:ind w:left="0" w:right="0" w:firstLine="420" w:firstLineChars="175"/>
              <w:jc w:val="both"/>
              <w:textAlignment w:val="auto"/>
              <w:rPr>
                <w:rFonts w:hint="default" w:ascii="Times New Roman" w:hAnsi="Times New Roman" w:eastAsia="宋体" w:cs="Times New Roman"/>
                <w:snapToGrid w:val="0"/>
                <w:kern w:val="0"/>
                <w:sz w:val="24"/>
                <w:szCs w:val="24"/>
                <w:lang w:val="en-US" w:eastAsia="zh-CN" w:bidi="en-US"/>
              </w:rPr>
            </w:pPr>
            <w:r>
              <w:rPr>
                <w:rFonts w:hint="default" w:ascii="Times New Roman" w:hAnsi="Times New Roman" w:eastAsia="宋体" w:cs="Times New Roman"/>
                <w:sz w:val="24"/>
                <w:szCs w:val="24"/>
                <w:lang w:val="en-US" w:eastAsia="zh-CN"/>
              </w:rPr>
              <w:t>综上，</w:t>
            </w:r>
            <w:r>
              <w:rPr>
                <w:rFonts w:hint="default" w:ascii="Times New Roman" w:hAnsi="Times New Roman" w:eastAsia="宋体" w:cs="Times New Roman"/>
                <w:snapToGrid w:val="0"/>
                <w:kern w:val="0"/>
                <w:sz w:val="24"/>
                <w:szCs w:val="24"/>
                <w:lang w:val="en-US" w:eastAsia="zh-CN" w:bidi="en-US"/>
              </w:rPr>
              <w:t>本项目位于</w:t>
            </w:r>
            <w:r>
              <w:rPr>
                <w:rFonts w:hint="eastAsia" w:ascii="Times New Roman" w:hAnsi="Times New Roman" w:eastAsia="宋体" w:cs="Times New Roman"/>
                <w:color w:val="000000"/>
                <w:kern w:val="2"/>
                <w:sz w:val="24"/>
                <w:highlight w:val="none"/>
                <w:lang w:eastAsia="zh-CN" w:bidi="ar-SA"/>
              </w:rPr>
              <w:t>沧州临港经济技术开发区西区</w:t>
            </w:r>
            <w:r>
              <w:rPr>
                <w:rFonts w:hint="default" w:ascii="Times New Roman" w:hAnsi="Times New Roman" w:eastAsia="宋体" w:cs="Times New Roman"/>
                <w:snapToGrid w:val="0"/>
                <w:kern w:val="0"/>
                <w:sz w:val="24"/>
                <w:szCs w:val="24"/>
                <w:lang w:val="en-US" w:eastAsia="zh-CN" w:bidi="en-US"/>
              </w:rPr>
              <w:t>，不属于当地负面清单内项目。</w:t>
            </w:r>
            <w:r>
              <w:rPr>
                <w:rFonts w:hint="default" w:ascii="Times New Roman" w:hAnsi="Times New Roman" w:eastAsia="宋体" w:cs="Times New Roman"/>
                <w:color w:val="auto"/>
                <w:kern w:val="0"/>
                <w:sz w:val="24"/>
                <w:szCs w:val="20"/>
                <w:lang w:val="en-US" w:eastAsia="zh-CN" w:bidi="ar-SA"/>
              </w:rPr>
              <w:t>本项目符合</w:t>
            </w:r>
            <w:r>
              <w:rPr>
                <w:rFonts w:hint="default" w:ascii="Times New Roman" w:hAnsi="Times New Roman" w:eastAsia="宋体" w:cs="Times New Roman"/>
                <w:color w:val="auto"/>
                <w:kern w:val="0"/>
                <w:sz w:val="24"/>
                <w:szCs w:val="24"/>
                <w:lang w:val="en-US" w:eastAsia="zh-CN"/>
              </w:rPr>
              <w:t>沧州市生态环境准入清单综合管控要求</w:t>
            </w:r>
            <w:r>
              <w:rPr>
                <w:rFonts w:hint="eastAsia" w:ascii="Times New Roman" w:hAnsi="Times New Roman" w:eastAsia="宋体" w:cs="Times New Roman"/>
                <w:color w:val="auto"/>
                <w:kern w:val="0"/>
                <w:sz w:val="24"/>
                <w:szCs w:val="24"/>
                <w:lang w:val="en-US" w:eastAsia="zh-CN"/>
              </w:rPr>
              <w:t>、</w:t>
            </w:r>
            <w:r>
              <w:rPr>
                <w:rFonts w:hint="default" w:ascii="Times New Roman" w:hAnsi="Times New Roman" w:eastAsia="宋体" w:cs="Times New Roman"/>
                <w:color w:val="auto"/>
                <w:sz w:val="24"/>
                <w:highlight w:val="none"/>
                <w:lang w:val="en-US" w:eastAsia="zh-CN"/>
              </w:rPr>
              <w:t>沧州渤海新区临港经济技术开发区片区生态环境准入清单</w:t>
            </w:r>
            <w:r>
              <w:rPr>
                <w:rFonts w:hint="eastAsia" w:ascii="Times New Roman" w:hAnsi="Times New Roman" w:eastAsia="宋体" w:cs="Times New Roman"/>
                <w:color w:val="auto"/>
                <w:sz w:val="24"/>
                <w:highlight w:val="none"/>
                <w:lang w:val="en-US" w:eastAsia="zh-CN"/>
              </w:rPr>
              <w:t>要求</w:t>
            </w:r>
            <w:r>
              <w:rPr>
                <w:rFonts w:hint="eastAsia" w:ascii="Times New Roman" w:hAnsi="Times New Roman" w:eastAsia="宋体" w:cs="Times New Roman"/>
                <w:color w:val="auto"/>
                <w:kern w:val="0"/>
                <w:sz w:val="24"/>
                <w:szCs w:val="24"/>
                <w:lang w:val="en-US" w:eastAsia="zh-CN"/>
              </w:rPr>
              <w:t>及</w:t>
            </w:r>
            <w:r>
              <w:rPr>
                <w:rFonts w:hint="default" w:ascii="Times New Roman" w:hAnsi="Times New Roman" w:eastAsia="宋体" w:cs="Times New Roman"/>
                <w:color w:val="auto"/>
                <w:kern w:val="0"/>
                <w:sz w:val="24"/>
                <w:szCs w:val="20"/>
                <w:lang w:val="en-US" w:eastAsia="zh-CN" w:bidi="ar-SA"/>
              </w:rPr>
              <w:t>《沧州市人民政府关于印发&lt;</w:t>
            </w:r>
            <w:r>
              <w:rPr>
                <w:rFonts w:hint="eastAsia" w:ascii="Times New Roman" w:hAnsi="Times New Roman" w:eastAsia="宋体" w:cs="Times New Roman"/>
                <w:color w:val="auto"/>
                <w:kern w:val="0"/>
                <w:sz w:val="24"/>
                <w:szCs w:val="20"/>
                <w:lang w:val="en-US" w:eastAsia="zh-CN" w:bidi="ar-SA"/>
              </w:rPr>
              <w:t>“</w:t>
            </w:r>
            <w:r>
              <w:rPr>
                <w:rFonts w:hint="default" w:ascii="Times New Roman" w:hAnsi="Times New Roman" w:eastAsia="宋体" w:cs="Times New Roman"/>
                <w:color w:val="auto"/>
                <w:kern w:val="0"/>
                <w:sz w:val="24"/>
                <w:szCs w:val="20"/>
                <w:lang w:val="en-US" w:eastAsia="zh-CN" w:bidi="ar-SA"/>
              </w:rPr>
              <w:t>三线一单</w:t>
            </w:r>
            <w:r>
              <w:rPr>
                <w:rFonts w:hint="eastAsia" w:ascii="Times New Roman" w:hAnsi="Times New Roman" w:eastAsia="宋体" w:cs="Times New Roman"/>
                <w:color w:val="auto"/>
                <w:kern w:val="0"/>
                <w:sz w:val="24"/>
                <w:szCs w:val="20"/>
                <w:lang w:val="en-US" w:eastAsia="zh-CN" w:bidi="ar-SA"/>
              </w:rPr>
              <w:t>”</w:t>
            </w:r>
            <w:r>
              <w:rPr>
                <w:rFonts w:hint="default" w:ascii="Times New Roman" w:hAnsi="Times New Roman" w:eastAsia="宋体" w:cs="Times New Roman"/>
                <w:color w:val="auto"/>
                <w:kern w:val="0"/>
                <w:sz w:val="24"/>
                <w:szCs w:val="20"/>
                <w:lang w:val="en-US" w:eastAsia="zh-CN" w:bidi="ar-SA"/>
              </w:rPr>
              <w:t>生态环境分区管控的实施方案&gt;的通知》（沧政字〔2021〕10号）</w:t>
            </w:r>
            <w:r>
              <w:rPr>
                <w:rFonts w:hint="eastAsia" w:ascii="Times New Roman" w:hAnsi="Times New Roman" w:eastAsia="宋体" w:cs="Times New Roman"/>
                <w:color w:val="auto"/>
                <w:kern w:val="0"/>
                <w:sz w:val="24"/>
                <w:szCs w:val="20"/>
                <w:lang w:val="en-US" w:eastAsia="zh-CN" w:bidi="ar-SA"/>
              </w:rPr>
              <w:t>、</w:t>
            </w:r>
            <w:r>
              <w:rPr>
                <w:rFonts w:hint="eastAsia" w:ascii="Times New Roman" w:hAnsi="Times New Roman" w:cs="Times New Roman"/>
                <w:kern w:val="0"/>
                <w:sz w:val="24"/>
                <w:highlight w:val="none"/>
                <w:lang w:val="en-US" w:eastAsia="zh-CN"/>
              </w:rPr>
              <w:t>《关于实施2023年沧州市生态环境分区管控动态更新</w:t>
            </w:r>
            <w:r>
              <w:rPr>
                <w:rFonts w:hint="eastAsia" w:cs="Times New Roman"/>
                <w:kern w:val="0"/>
                <w:sz w:val="24"/>
                <w:highlight w:val="none"/>
                <w:lang w:val="en-US" w:eastAsia="zh-CN"/>
              </w:rPr>
              <w:t>成果</w:t>
            </w:r>
            <w:r>
              <w:rPr>
                <w:rFonts w:hint="eastAsia" w:ascii="Times New Roman" w:hAnsi="Times New Roman" w:cs="Times New Roman"/>
                <w:kern w:val="0"/>
                <w:sz w:val="24"/>
                <w:highlight w:val="none"/>
                <w:lang w:val="en-US" w:eastAsia="zh-CN"/>
              </w:rPr>
              <w:t>的通知》（沧生态环保办[2024]89号）</w:t>
            </w:r>
            <w:r>
              <w:rPr>
                <w:rFonts w:hint="default" w:ascii="Times New Roman" w:hAnsi="Times New Roman" w:eastAsia="宋体" w:cs="Times New Roman"/>
                <w:b w:val="0"/>
                <w:bCs w:val="0"/>
                <w:color w:val="auto"/>
                <w:sz w:val="24"/>
                <w:szCs w:val="24"/>
                <w:highlight w:val="none"/>
                <w:lang w:val="en-US" w:eastAsia="zh-CN"/>
              </w:rPr>
              <w:t>的要求</w:t>
            </w:r>
            <w:r>
              <w:rPr>
                <w:rFonts w:hint="eastAsia" w:cs="Times New Roman"/>
                <w:b w:val="0"/>
                <w:bCs w:val="0"/>
                <w:color w:val="auto"/>
                <w:sz w:val="24"/>
                <w:szCs w:val="24"/>
                <w:highlight w:val="none"/>
                <w:lang w:val="en-US" w:eastAsia="zh-CN"/>
              </w:rPr>
              <w:t>，</w:t>
            </w:r>
            <w:r>
              <w:rPr>
                <w:rFonts w:hint="default" w:ascii="Times New Roman" w:hAnsi="Times New Roman" w:eastAsia="宋体" w:cs="Times New Roman"/>
                <w:snapToGrid w:val="0"/>
                <w:kern w:val="0"/>
                <w:sz w:val="24"/>
                <w:szCs w:val="24"/>
                <w:lang w:val="en-US" w:eastAsia="zh-CN" w:bidi="en-US"/>
              </w:rPr>
              <w:t>项目建设符合国家及地方产业政策要求，不属于国家及地方规定禁止建设的项目。</w:t>
            </w:r>
            <w:r>
              <w:rPr>
                <w:rFonts w:hint="eastAsia" w:ascii="Times New Roman" w:hAnsi="Times New Roman" w:eastAsia="宋体" w:cs="Times New Roman"/>
                <w:snapToGrid w:val="0"/>
                <w:kern w:val="0"/>
                <w:sz w:val="24"/>
                <w:szCs w:val="24"/>
                <w:lang w:val="en-US" w:eastAsia="zh-CN" w:bidi="en-US"/>
              </w:rPr>
              <w:t>本项目符合全市大气环境总体管控要求、全市地表水环境总体管控要求、全市土壤风险防控总体管控要求、全市资源利用总体管控要求、全市产业布局总体管控要求。</w:t>
            </w:r>
          </w:p>
          <w:p w14:paraId="41B120B2">
            <w:pPr>
              <w:keepNext w:val="0"/>
              <w:keepLines w:val="0"/>
              <w:pageBreakBefore w:val="0"/>
              <w:widowControl w:val="0"/>
              <w:suppressLineNumbers w:val="0"/>
              <w:kinsoku/>
              <w:wordWrap/>
              <w:overflowPunct/>
              <w:topLinePunct w:val="0"/>
              <w:autoSpaceDE w:val="0"/>
              <w:autoSpaceDN w:val="0"/>
              <w:bidi w:val="0"/>
              <w:adjustRightInd w:val="0"/>
              <w:snapToGrid w:val="0"/>
              <w:spacing w:before="0" w:beforeLines="0" w:beforeAutospacing="0" w:after="0" w:afterAutospacing="0" w:line="360" w:lineRule="auto"/>
              <w:ind w:left="0" w:right="0" w:firstLine="480" w:firstLineChars="200"/>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综合以上分析，本项目符合</w:t>
            </w:r>
            <w:r>
              <w:rPr>
                <w:rFonts w:hint="eastAsia" w:ascii="Times New Roman" w:hAnsi="Times New Roman" w:eastAsia="宋体" w:cs="Times New Roman"/>
                <w:sz w:val="24"/>
                <w:szCs w:val="24"/>
                <w:lang w:val="en-US" w:eastAsia="zh-CN"/>
              </w:rPr>
              <w:t>“</w:t>
            </w:r>
            <w:r>
              <w:rPr>
                <w:rFonts w:hint="default" w:ascii="Times New Roman" w:hAnsi="Times New Roman" w:eastAsia="宋体" w:cs="Times New Roman"/>
                <w:sz w:val="24"/>
                <w:szCs w:val="24"/>
                <w:lang w:val="en-US" w:eastAsia="zh-CN"/>
              </w:rPr>
              <w:t>三线一单</w:t>
            </w:r>
            <w:r>
              <w:rPr>
                <w:rFonts w:hint="eastAsia" w:ascii="Times New Roman" w:hAnsi="Times New Roman" w:eastAsia="宋体" w:cs="Times New Roman"/>
                <w:sz w:val="24"/>
                <w:szCs w:val="24"/>
                <w:lang w:val="en-US" w:eastAsia="zh-CN"/>
              </w:rPr>
              <w:t>”</w:t>
            </w:r>
            <w:r>
              <w:rPr>
                <w:rFonts w:hint="default" w:ascii="Times New Roman" w:hAnsi="Times New Roman" w:eastAsia="宋体" w:cs="Times New Roman"/>
                <w:sz w:val="24"/>
                <w:szCs w:val="24"/>
                <w:lang w:val="en-US" w:eastAsia="zh-CN"/>
              </w:rPr>
              <w:t>要求。</w:t>
            </w:r>
          </w:p>
          <w:p w14:paraId="3A977764">
            <w:pPr>
              <w:keepNext w:val="0"/>
              <w:keepLines w:val="0"/>
              <w:pageBreakBefore w:val="0"/>
              <w:widowControl w:val="0"/>
              <w:numPr>
                <w:ilvl w:val="0"/>
                <w:numId w:val="3"/>
              </w:numPr>
              <w:suppressLineNumbers w:val="0"/>
              <w:kinsoku/>
              <w:wordWrap/>
              <w:overflowPunct/>
              <w:topLinePunct w:val="0"/>
              <w:autoSpaceDE/>
              <w:autoSpaceDN/>
              <w:bidi w:val="0"/>
              <w:adjustRightInd w:val="0"/>
              <w:snapToGrid/>
              <w:spacing w:before="0" w:beforeAutospacing="0" w:after="0" w:afterAutospacing="0" w:line="360" w:lineRule="auto"/>
              <w:ind w:left="0" w:right="0" w:firstLine="0" w:firstLineChars="0"/>
              <w:jc w:val="both"/>
              <w:textAlignment w:val="baseline"/>
              <w:rPr>
                <w:rFonts w:hint="default" w:ascii="Times New Roman" w:hAnsi="Times New Roman" w:eastAsia="宋体" w:cs="Times New Roman"/>
                <w:b/>
                <w:bCs/>
                <w:snapToGrid w:val="0"/>
                <w:kern w:val="0"/>
                <w:sz w:val="24"/>
                <w:szCs w:val="24"/>
                <w:lang w:val="en-US" w:eastAsia="zh-CN" w:bidi="en-US"/>
              </w:rPr>
            </w:pPr>
            <w:r>
              <w:rPr>
                <w:rFonts w:hint="default" w:ascii="Times New Roman" w:hAnsi="Times New Roman" w:eastAsia="宋体" w:cs="Times New Roman"/>
                <w:b/>
                <w:bCs/>
                <w:snapToGrid w:val="0"/>
                <w:kern w:val="0"/>
                <w:sz w:val="24"/>
                <w:szCs w:val="24"/>
                <w:lang w:val="en-US" w:eastAsia="zh-CN" w:bidi="en-US"/>
              </w:rPr>
              <w:t>产业政策符合性</w:t>
            </w:r>
          </w:p>
          <w:p w14:paraId="3A3FCB75">
            <w:pPr>
              <w:keepNext w:val="0"/>
              <w:keepLines w:val="0"/>
              <w:suppressLineNumbers w:val="0"/>
              <w:adjustRightInd w:val="0"/>
              <w:spacing w:before="0" w:beforeAutospacing="0" w:after="0" w:afterAutospacing="0" w:line="360" w:lineRule="auto"/>
              <w:ind w:left="0" w:right="0" w:firstLine="480" w:firstLineChars="200"/>
              <w:jc w:val="left"/>
              <w:textAlignment w:val="baseline"/>
              <w:rPr>
                <w:rFonts w:hint="default" w:ascii="Times New Roman" w:hAnsi="Times New Roman" w:eastAsia="宋体" w:cs="Times New Roman"/>
                <w:snapToGrid w:val="0"/>
                <w:kern w:val="0"/>
                <w:sz w:val="24"/>
                <w:szCs w:val="24"/>
                <w:highlight w:val="none"/>
                <w:lang w:val="en-US" w:eastAsia="zh-CN" w:bidi="en-US"/>
              </w:rPr>
            </w:pPr>
            <w:r>
              <w:rPr>
                <w:rFonts w:hint="default" w:ascii="Times New Roman" w:hAnsi="Times New Roman" w:eastAsia="宋体" w:cs="Times New Roman"/>
                <w:snapToGrid w:val="0"/>
                <w:kern w:val="0"/>
                <w:sz w:val="24"/>
                <w:szCs w:val="24"/>
                <w:lang w:val="en-US" w:eastAsia="zh-CN" w:bidi="en-US"/>
              </w:rPr>
              <w:t>本项目为</w:t>
            </w:r>
            <w:r>
              <w:rPr>
                <w:rFonts w:hint="eastAsia" w:cs="Times New Roman"/>
                <w:snapToGrid w:val="0"/>
                <w:kern w:val="0"/>
                <w:sz w:val="24"/>
                <w:szCs w:val="24"/>
                <w:lang w:val="en-US" w:eastAsia="zh-CN" w:bidi="en-US"/>
              </w:rPr>
              <w:t>塑料零件及其他塑料制品制造行业</w:t>
            </w:r>
            <w:r>
              <w:rPr>
                <w:rFonts w:hint="default" w:ascii="Times New Roman" w:hAnsi="Times New Roman" w:eastAsia="宋体" w:cs="Times New Roman"/>
                <w:snapToGrid w:val="0"/>
                <w:kern w:val="0"/>
                <w:sz w:val="24"/>
                <w:szCs w:val="24"/>
                <w:lang w:val="en-US" w:eastAsia="zh-CN" w:bidi="en-US"/>
              </w:rPr>
              <w:t>，生产中药包装袋，属于医药配套产业，根据《产业结构调整指导目录》（2024年本），本项目不属于鼓励类、限制类和淘汰类，项目属于允许的建设项目，符合国家产业政策，对照《市场准入负面清单（202</w:t>
            </w:r>
            <w:r>
              <w:rPr>
                <w:rFonts w:hint="eastAsia" w:ascii="Times New Roman" w:hAnsi="Times New Roman" w:eastAsia="宋体" w:cs="Times New Roman"/>
                <w:snapToGrid w:val="0"/>
                <w:kern w:val="0"/>
                <w:sz w:val="24"/>
                <w:szCs w:val="24"/>
                <w:lang w:val="en-US" w:eastAsia="zh-CN" w:bidi="en-US"/>
              </w:rPr>
              <w:t>5</w:t>
            </w:r>
            <w:r>
              <w:rPr>
                <w:rFonts w:hint="default" w:ascii="Times New Roman" w:hAnsi="Times New Roman" w:eastAsia="宋体" w:cs="Times New Roman"/>
                <w:snapToGrid w:val="0"/>
                <w:kern w:val="0"/>
                <w:sz w:val="24"/>
                <w:szCs w:val="24"/>
                <w:lang w:val="en-US" w:eastAsia="zh-CN" w:bidi="en-US"/>
              </w:rPr>
              <w:t>年版）》（发改体改规〔202</w:t>
            </w:r>
            <w:r>
              <w:rPr>
                <w:rFonts w:hint="eastAsia" w:ascii="Times New Roman" w:hAnsi="Times New Roman" w:eastAsia="宋体" w:cs="Times New Roman"/>
                <w:snapToGrid w:val="0"/>
                <w:kern w:val="0"/>
                <w:sz w:val="24"/>
                <w:szCs w:val="24"/>
                <w:lang w:val="en-US" w:eastAsia="zh-CN" w:bidi="en-US"/>
              </w:rPr>
              <w:t>5</w:t>
            </w:r>
            <w:r>
              <w:rPr>
                <w:rFonts w:hint="default" w:ascii="Times New Roman" w:hAnsi="Times New Roman" w:eastAsia="宋体" w:cs="Times New Roman"/>
                <w:snapToGrid w:val="0"/>
                <w:kern w:val="0"/>
                <w:sz w:val="24"/>
                <w:szCs w:val="24"/>
                <w:lang w:val="en-US" w:eastAsia="zh-CN" w:bidi="en-US"/>
              </w:rPr>
              <w:t>〕</w:t>
            </w:r>
            <w:r>
              <w:rPr>
                <w:rFonts w:hint="eastAsia" w:ascii="Times New Roman" w:hAnsi="Times New Roman" w:eastAsia="宋体" w:cs="Times New Roman"/>
                <w:snapToGrid w:val="0"/>
                <w:kern w:val="0"/>
                <w:sz w:val="24"/>
                <w:szCs w:val="24"/>
                <w:lang w:val="en-US" w:eastAsia="zh-CN" w:bidi="en-US"/>
              </w:rPr>
              <w:t>466</w:t>
            </w:r>
            <w:r>
              <w:rPr>
                <w:rFonts w:hint="default" w:ascii="Times New Roman" w:hAnsi="Times New Roman" w:eastAsia="宋体" w:cs="Times New Roman"/>
                <w:snapToGrid w:val="0"/>
                <w:kern w:val="0"/>
                <w:sz w:val="24"/>
                <w:szCs w:val="24"/>
                <w:lang w:val="en-US" w:eastAsia="zh-CN" w:bidi="en-US"/>
              </w:rPr>
              <w:t>号），本项目</w:t>
            </w:r>
            <w:r>
              <w:rPr>
                <w:rFonts w:hint="default" w:ascii="Times New Roman" w:hAnsi="Times New Roman" w:eastAsia="宋体" w:cs="Times New Roman"/>
                <w:snapToGrid w:val="0"/>
                <w:kern w:val="0"/>
                <w:sz w:val="24"/>
                <w:lang w:eastAsia="zh-CN" w:bidi="en-US"/>
              </w:rPr>
              <w:t>不属于其中禁止准入类、许可准入类项目，</w:t>
            </w:r>
            <w:r>
              <w:rPr>
                <w:rFonts w:hint="default" w:ascii="Times New Roman" w:hAnsi="Times New Roman" w:eastAsia="宋体" w:cs="Times New Roman"/>
                <w:snapToGrid w:val="0"/>
                <w:kern w:val="0"/>
                <w:sz w:val="24"/>
                <w:szCs w:val="24"/>
                <w:lang w:val="en-US" w:eastAsia="zh-CN" w:bidi="en-US"/>
              </w:rPr>
              <w:t>不在负面清单</w:t>
            </w:r>
            <w:r>
              <w:rPr>
                <w:rFonts w:hint="eastAsia" w:cs="Times New Roman"/>
                <w:snapToGrid w:val="0"/>
                <w:kern w:val="0"/>
                <w:sz w:val="24"/>
                <w:szCs w:val="24"/>
                <w:lang w:val="en-US" w:eastAsia="zh-CN" w:bidi="en-US"/>
              </w:rPr>
              <w:t>范围</w:t>
            </w:r>
            <w:r>
              <w:rPr>
                <w:rFonts w:hint="default" w:ascii="Times New Roman" w:hAnsi="Times New Roman" w:eastAsia="宋体" w:cs="Times New Roman"/>
                <w:snapToGrid w:val="0"/>
                <w:kern w:val="0"/>
                <w:sz w:val="24"/>
                <w:szCs w:val="24"/>
                <w:lang w:val="en-US" w:eastAsia="zh-CN" w:bidi="en-US"/>
              </w:rPr>
              <w:t>内，</w:t>
            </w:r>
            <w:r>
              <w:rPr>
                <w:rFonts w:hint="default" w:ascii="Times New Roman" w:hAnsi="Times New Roman" w:eastAsia="宋体" w:cs="Times New Roman"/>
                <w:snapToGrid w:val="0"/>
                <w:kern w:val="0"/>
                <w:sz w:val="24"/>
                <w:szCs w:val="24"/>
                <w:highlight w:val="none"/>
                <w:lang w:val="en-US" w:eastAsia="zh-CN" w:bidi="en-US"/>
              </w:rPr>
              <w:t>项目已在</w:t>
            </w:r>
            <w:r>
              <w:rPr>
                <w:rFonts w:hint="eastAsia" w:cs="Times New Roman"/>
                <w:snapToGrid w:val="0"/>
                <w:color w:val="auto"/>
                <w:kern w:val="0"/>
                <w:sz w:val="24"/>
                <w:szCs w:val="24"/>
                <w:highlight w:val="none"/>
                <w:lang w:val="en-US" w:eastAsia="zh-CN" w:bidi="en-US"/>
              </w:rPr>
              <w:t>沧州临港经济技术开发区经济发展局</w:t>
            </w:r>
            <w:r>
              <w:rPr>
                <w:rFonts w:hint="default" w:ascii="Times New Roman" w:hAnsi="Times New Roman" w:eastAsia="宋体" w:cs="Times New Roman"/>
                <w:snapToGrid w:val="0"/>
                <w:color w:val="auto"/>
                <w:kern w:val="0"/>
                <w:sz w:val="24"/>
                <w:szCs w:val="24"/>
                <w:highlight w:val="none"/>
                <w:lang w:val="en-US" w:eastAsia="zh-CN" w:bidi="en-US"/>
              </w:rPr>
              <w:t>备案：</w:t>
            </w:r>
            <w:r>
              <w:rPr>
                <w:rFonts w:hint="eastAsia" w:cs="Times New Roman"/>
                <w:snapToGrid w:val="0"/>
                <w:color w:val="auto"/>
                <w:kern w:val="0"/>
                <w:sz w:val="24"/>
                <w:szCs w:val="24"/>
                <w:highlight w:val="none"/>
                <w:lang w:val="en-US" w:eastAsia="zh-CN" w:bidi="en-US"/>
              </w:rPr>
              <w:t>沧港经</w:t>
            </w:r>
            <w:r>
              <w:rPr>
                <w:rFonts w:hint="eastAsia" w:ascii="Times New Roman" w:hAnsi="Times New Roman" w:eastAsia="宋体" w:cs="Times New Roman"/>
                <w:snapToGrid w:val="0"/>
                <w:color w:val="auto"/>
                <w:kern w:val="0"/>
                <w:sz w:val="24"/>
                <w:szCs w:val="24"/>
                <w:highlight w:val="none"/>
                <w:lang w:val="en-US" w:eastAsia="zh-CN" w:bidi="en-US"/>
              </w:rPr>
              <w:t>备字〔2025〕</w:t>
            </w:r>
            <w:r>
              <w:rPr>
                <w:rFonts w:hint="eastAsia" w:cs="Times New Roman"/>
                <w:snapToGrid w:val="0"/>
                <w:color w:val="auto"/>
                <w:kern w:val="0"/>
                <w:sz w:val="24"/>
                <w:szCs w:val="24"/>
                <w:highlight w:val="none"/>
                <w:lang w:val="en-US" w:eastAsia="zh-CN" w:bidi="en-US"/>
              </w:rPr>
              <w:t>75</w:t>
            </w:r>
            <w:r>
              <w:rPr>
                <w:rFonts w:hint="eastAsia" w:ascii="Times New Roman" w:hAnsi="Times New Roman" w:eastAsia="宋体" w:cs="Times New Roman"/>
                <w:snapToGrid w:val="0"/>
                <w:color w:val="auto"/>
                <w:kern w:val="0"/>
                <w:sz w:val="24"/>
                <w:szCs w:val="24"/>
                <w:highlight w:val="none"/>
                <w:lang w:val="en-US" w:eastAsia="zh-CN" w:bidi="en-US"/>
              </w:rPr>
              <w:t>号</w:t>
            </w:r>
            <w:r>
              <w:rPr>
                <w:rFonts w:hint="default" w:ascii="Times New Roman" w:hAnsi="Times New Roman" w:eastAsia="宋体" w:cs="Times New Roman"/>
                <w:snapToGrid w:val="0"/>
                <w:kern w:val="0"/>
                <w:sz w:val="24"/>
                <w:szCs w:val="24"/>
                <w:highlight w:val="none"/>
                <w:lang w:val="en-US" w:eastAsia="zh-CN" w:bidi="en-US"/>
              </w:rPr>
              <w:t>，符合地方政策要求。</w:t>
            </w:r>
          </w:p>
          <w:p w14:paraId="73AF1172">
            <w:pPr>
              <w:keepNext w:val="0"/>
              <w:keepLines w:val="0"/>
              <w:suppressLineNumbers w:val="0"/>
              <w:adjustRightInd w:val="0"/>
              <w:spacing w:before="0" w:beforeAutospacing="0" w:after="0" w:afterAutospacing="0" w:line="360" w:lineRule="auto"/>
              <w:ind w:left="0" w:right="0"/>
              <w:jc w:val="left"/>
              <w:textAlignment w:val="baseline"/>
              <w:rPr>
                <w:rFonts w:hint="default" w:ascii="Times New Roman" w:hAnsi="Times New Roman" w:eastAsia="宋体" w:cs="Times New Roman"/>
                <w:b/>
                <w:bCs/>
                <w:snapToGrid w:val="0"/>
                <w:kern w:val="0"/>
                <w:sz w:val="24"/>
                <w:szCs w:val="24"/>
                <w:lang w:val="en-US" w:eastAsia="zh-CN" w:bidi="en-US"/>
              </w:rPr>
            </w:pPr>
            <w:r>
              <w:rPr>
                <w:rFonts w:hint="default" w:ascii="Times New Roman" w:hAnsi="Times New Roman" w:eastAsia="宋体" w:cs="Times New Roman"/>
                <w:b/>
                <w:bCs/>
                <w:snapToGrid w:val="0"/>
                <w:kern w:val="0"/>
                <w:sz w:val="24"/>
                <w:szCs w:val="24"/>
                <w:lang w:val="en-US" w:eastAsia="zh-CN" w:bidi="en-US"/>
              </w:rPr>
              <w:t>3、选址符合性分析</w:t>
            </w:r>
          </w:p>
          <w:p w14:paraId="22E52F7C">
            <w:pPr>
              <w:keepNext w:val="0"/>
              <w:keepLines w:val="0"/>
              <w:suppressLineNumbers w:val="0"/>
              <w:adjustRightInd w:val="0"/>
              <w:spacing w:before="0" w:beforeAutospacing="0" w:after="0" w:afterAutospacing="0" w:line="360" w:lineRule="auto"/>
              <w:ind w:left="0" w:right="0" w:firstLine="480" w:firstLineChars="200"/>
              <w:jc w:val="left"/>
              <w:textAlignment w:val="baseline"/>
              <w:rPr>
                <w:rFonts w:hint="default" w:ascii="Times New Roman" w:hAnsi="Times New Roman" w:eastAsia="宋体" w:cs="Times New Roman"/>
                <w:snapToGrid w:val="0"/>
                <w:kern w:val="0"/>
                <w:sz w:val="24"/>
                <w:szCs w:val="24"/>
                <w:lang w:val="en-US" w:eastAsia="zh-CN" w:bidi="en-US"/>
              </w:rPr>
            </w:pPr>
            <w:r>
              <w:rPr>
                <w:rFonts w:hint="default" w:ascii="Times New Roman" w:hAnsi="Times New Roman" w:eastAsia="宋体" w:cs="Times New Roman"/>
                <w:snapToGrid w:val="0"/>
                <w:kern w:val="0"/>
                <w:sz w:val="24"/>
                <w:szCs w:val="24"/>
                <w:lang w:val="en-US" w:eastAsia="zh-CN" w:bidi="en-US"/>
              </w:rPr>
              <w:t>项目位于</w:t>
            </w:r>
            <w:r>
              <w:rPr>
                <w:rFonts w:hint="eastAsia" w:ascii="Times New Roman" w:hAnsi="Times New Roman" w:eastAsia="宋体" w:cs="Times New Roman"/>
                <w:color w:val="000000"/>
                <w:kern w:val="2"/>
                <w:sz w:val="24"/>
                <w:highlight w:val="none"/>
                <w:lang w:eastAsia="zh-CN" w:bidi="ar-SA"/>
              </w:rPr>
              <w:t>沧州临港经济技术开发区西区</w:t>
            </w:r>
            <w:r>
              <w:rPr>
                <w:rFonts w:hint="default" w:ascii="Times New Roman" w:hAnsi="Times New Roman" w:eastAsia="宋体" w:cs="Times New Roman"/>
                <w:snapToGrid w:val="0"/>
                <w:kern w:val="0"/>
                <w:sz w:val="24"/>
                <w:szCs w:val="24"/>
                <w:lang w:val="en-US" w:eastAsia="zh-CN" w:bidi="en-US"/>
              </w:rPr>
              <w:t>，项目评价范围内无国家、省、市规定的重点文物保护单位、风景名胜区、革命历史古迹、饮用水水源地等环境敏感点。本项目各工序污染源采取相应的污染控制措施后，均可实现达标排放，不会对区域环境产生明显影响，综上所述，项目选址是合理可行的。</w:t>
            </w:r>
          </w:p>
          <w:p w14:paraId="68A4BBF7">
            <w:pPr>
              <w:keepNext w:val="0"/>
              <w:keepLines w:val="0"/>
              <w:suppressLineNumbers w:val="0"/>
              <w:autoSpaceDE w:val="0"/>
              <w:autoSpaceDN w:val="0"/>
              <w:adjustRightInd w:val="0"/>
              <w:snapToGrid w:val="0"/>
              <w:spacing w:before="0" w:beforeAutospacing="0" w:after="0" w:afterAutospacing="0" w:line="360" w:lineRule="auto"/>
              <w:ind w:left="0" w:right="0"/>
              <w:rPr>
                <w:rFonts w:hint="default" w:ascii="Times New Roman" w:hAnsi="Times New Roman" w:eastAsia="宋体" w:cs="Times New Roman"/>
                <w:b/>
                <w:bCs/>
                <w:color w:val="auto"/>
                <w:kern w:val="0"/>
                <w:sz w:val="24"/>
                <w:highlight w:val="none"/>
                <w:lang w:val="en-US" w:eastAsia="zh-CN"/>
              </w:rPr>
            </w:pPr>
            <w:r>
              <w:rPr>
                <w:rFonts w:hint="eastAsia" w:ascii="Times New Roman" w:hAnsi="Times New Roman" w:eastAsia="宋体" w:cs="Times New Roman"/>
                <w:b/>
                <w:bCs/>
                <w:color w:val="auto"/>
                <w:kern w:val="0"/>
                <w:sz w:val="24"/>
                <w:highlight w:val="none"/>
                <w:lang w:val="en-US" w:eastAsia="zh-CN"/>
              </w:rPr>
              <w:t>4</w:t>
            </w:r>
            <w:r>
              <w:rPr>
                <w:rFonts w:hint="default" w:ascii="Times New Roman" w:hAnsi="Times New Roman" w:eastAsia="宋体" w:cs="Times New Roman"/>
                <w:b/>
                <w:bCs/>
                <w:color w:val="auto"/>
                <w:kern w:val="0"/>
                <w:sz w:val="24"/>
                <w:highlight w:val="none"/>
                <w:lang w:val="en-US" w:eastAsia="zh-CN"/>
              </w:rPr>
              <w:t>、与“十四五”相关规划符合性分析</w:t>
            </w:r>
          </w:p>
          <w:p w14:paraId="603F246E">
            <w:pPr>
              <w:keepNext w:val="0"/>
              <w:keepLines w:val="0"/>
              <w:suppressLineNumbers w:val="0"/>
              <w:autoSpaceDE w:val="0"/>
              <w:autoSpaceDN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kern w:val="0"/>
                <w:sz w:val="24"/>
                <w:highlight w:val="none"/>
                <w:lang w:val="en-US" w:eastAsia="zh-CN"/>
              </w:rPr>
            </w:pPr>
            <w:r>
              <w:rPr>
                <w:rFonts w:hint="default" w:ascii="Times New Roman" w:hAnsi="Times New Roman" w:eastAsia="宋体" w:cs="Times New Roman"/>
                <w:color w:val="auto"/>
                <w:kern w:val="0"/>
                <w:sz w:val="24"/>
                <w:highlight w:val="none"/>
                <w:lang w:val="en-US" w:eastAsia="zh-CN"/>
              </w:rPr>
              <w:t>本项目与《河北省人民政府关于印发河北省生态环境保护</w:t>
            </w:r>
            <w:r>
              <w:rPr>
                <w:rFonts w:hint="eastAsia" w:ascii="Times New Roman" w:hAnsi="Times New Roman" w:eastAsia="宋体" w:cs="Times New Roman"/>
                <w:color w:val="auto"/>
                <w:kern w:val="0"/>
                <w:sz w:val="24"/>
                <w:highlight w:val="none"/>
                <w:lang w:val="en-US" w:eastAsia="zh-CN"/>
              </w:rPr>
              <w:t>“</w:t>
            </w:r>
            <w:r>
              <w:rPr>
                <w:rFonts w:hint="default" w:ascii="Times New Roman" w:hAnsi="Times New Roman" w:eastAsia="宋体" w:cs="Times New Roman"/>
                <w:color w:val="auto"/>
                <w:kern w:val="0"/>
                <w:sz w:val="24"/>
                <w:highlight w:val="none"/>
                <w:lang w:val="en-US" w:eastAsia="zh-CN"/>
              </w:rPr>
              <w:t>十四五</w:t>
            </w:r>
            <w:r>
              <w:rPr>
                <w:rFonts w:hint="eastAsia" w:ascii="Times New Roman" w:hAnsi="Times New Roman" w:eastAsia="宋体" w:cs="Times New Roman"/>
                <w:color w:val="auto"/>
                <w:kern w:val="0"/>
                <w:sz w:val="24"/>
                <w:highlight w:val="none"/>
                <w:lang w:val="en-US" w:eastAsia="zh-CN"/>
              </w:rPr>
              <w:t>”</w:t>
            </w:r>
            <w:r>
              <w:rPr>
                <w:rFonts w:hint="default" w:ascii="Times New Roman" w:hAnsi="Times New Roman" w:eastAsia="宋体" w:cs="Times New Roman"/>
                <w:color w:val="auto"/>
                <w:kern w:val="0"/>
                <w:sz w:val="24"/>
                <w:highlight w:val="none"/>
                <w:lang w:val="en-US" w:eastAsia="zh-CN"/>
              </w:rPr>
              <w:t>规划的通知》、《河北省建设京津冀生态环境支撑区</w:t>
            </w:r>
            <w:r>
              <w:rPr>
                <w:rFonts w:hint="eastAsia" w:ascii="Times New Roman" w:hAnsi="Times New Roman" w:eastAsia="宋体" w:cs="Times New Roman"/>
                <w:color w:val="auto"/>
                <w:kern w:val="0"/>
                <w:sz w:val="24"/>
                <w:highlight w:val="none"/>
                <w:lang w:val="en-US" w:eastAsia="zh-CN"/>
              </w:rPr>
              <w:t>“</w:t>
            </w:r>
            <w:r>
              <w:rPr>
                <w:rFonts w:hint="default" w:ascii="Times New Roman" w:hAnsi="Times New Roman" w:eastAsia="宋体" w:cs="Times New Roman"/>
                <w:color w:val="auto"/>
                <w:kern w:val="0"/>
                <w:sz w:val="24"/>
                <w:highlight w:val="none"/>
                <w:lang w:val="en-US" w:eastAsia="zh-CN"/>
              </w:rPr>
              <w:t>十四五</w:t>
            </w:r>
            <w:r>
              <w:rPr>
                <w:rFonts w:hint="eastAsia" w:ascii="Times New Roman" w:hAnsi="Times New Roman" w:eastAsia="宋体" w:cs="Times New Roman"/>
                <w:color w:val="auto"/>
                <w:kern w:val="0"/>
                <w:sz w:val="24"/>
                <w:highlight w:val="none"/>
                <w:lang w:val="en-US" w:eastAsia="zh-CN"/>
              </w:rPr>
              <w:t>”</w:t>
            </w:r>
            <w:r>
              <w:rPr>
                <w:rFonts w:hint="default" w:ascii="Times New Roman" w:hAnsi="Times New Roman" w:eastAsia="宋体" w:cs="Times New Roman"/>
                <w:color w:val="auto"/>
                <w:kern w:val="0"/>
                <w:sz w:val="24"/>
                <w:highlight w:val="none"/>
                <w:lang w:val="en-US" w:eastAsia="zh-CN"/>
              </w:rPr>
              <w:t>规划》、《沧州市生态环境保护</w:t>
            </w:r>
            <w:r>
              <w:rPr>
                <w:rFonts w:hint="eastAsia" w:ascii="Times New Roman" w:hAnsi="Times New Roman" w:eastAsia="宋体" w:cs="Times New Roman"/>
                <w:color w:val="auto"/>
                <w:kern w:val="0"/>
                <w:sz w:val="24"/>
                <w:highlight w:val="none"/>
                <w:lang w:val="en-US" w:eastAsia="zh-CN"/>
              </w:rPr>
              <w:t>“</w:t>
            </w:r>
            <w:r>
              <w:rPr>
                <w:rFonts w:hint="default" w:ascii="Times New Roman" w:hAnsi="Times New Roman" w:eastAsia="宋体" w:cs="Times New Roman"/>
                <w:color w:val="auto"/>
                <w:kern w:val="0"/>
                <w:sz w:val="24"/>
                <w:highlight w:val="none"/>
                <w:lang w:val="en-US" w:eastAsia="zh-CN"/>
              </w:rPr>
              <w:t>十四五</w:t>
            </w:r>
            <w:r>
              <w:rPr>
                <w:rFonts w:hint="eastAsia" w:ascii="Times New Roman" w:hAnsi="Times New Roman" w:eastAsia="宋体" w:cs="Times New Roman"/>
                <w:color w:val="auto"/>
                <w:kern w:val="0"/>
                <w:sz w:val="24"/>
                <w:highlight w:val="none"/>
                <w:lang w:val="en-US" w:eastAsia="zh-CN"/>
              </w:rPr>
              <w:t>”</w:t>
            </w:r>
            <w:r>
              <w:rPr>
                <w:rFonts w:hint="default" w:ascii="Times New Roman" w:hAnsi="Times New Roman" w:eastAsia="宋体" w:cs="Times New Roman"/>
                <w:color w:val="auto"/>
                <w:kern w:val="0"/>
                <w:sz w:val="24"/>
                <w:highlight w:val="none"/>
                <w:lang w:val="en-US" w:eastAsia="zh-CN"/>
              </w:rPr>
              <w:t>规划》</w:t>
            </w:r>
            <w:r>
              <w:rPr>
                <w:rFonts w:hint="eastAsia" w:ascii="Times New Roman" w:hAnsi="Times New Roman" w:eastAsia="宋体" w:cs="Times New Roman"/>
                <w:color w:val="auto"/>
                <w:kern w:val="0"/>
                <w:sz w:val="24"/>
                <w:highlight w:val="none"/>
                <w:lang w:val="en-US" w:eastAsia="zh-CN"/>
              </w:rPr>
              <w:t>、《沧州渤海新区黄骅市生态环境保护“十四五”规划》</w:t>
            </w:r>
            <w:r>
              <w:rPr>
                <w:rFonts w:hint="default" w:ascii="Times New Roman" w:hAnsi="Times New Roman" w:eastAsia="宋体" w:cs="Times New Roman"/>
                <w:color w:val="auto"/>
                <w:kern w:val="0"/>
                <w:sz w:val="24"/>
                <w:highlight w:val="none"/>
                <w:lang w:val="en-US" w:eastAsia="zh-CN"/>
              </w:rPr>
              <w:t>符合性分析见下表。</w:t>
            </w:r>
          </w:p>
          <w:p w14:paraId="30F091A7">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Autospacing="0" w:line="240" w:lineRule="auto"/>
              <w:ind w:left="0" w:right="0" w:firstLine="422" w:firstLineChars="200"/>
              <w:jc w:val="center"/>
              <w:textAlignment w:val="auto"/>
              <w:rPr>
                <w:rFonts w:hint="default" w:ascii="Times New Roman" w:hAnsi="Times New Roman" w:eastAsia="宋体" w:cs="Times New Roman"/>
                <w:b/>
                <w:bCs/>
                <w:kern w:val="0"/>
                <w:sz w:val="24"/>
                <w:lang w:val="en-US" w:eastAsia="zh-CN"/>
              </w:rPr>
            </w:pPr>
            <w:r>
              <w:rPr>
                <w:rFonts w:hint="default" w:ascii="Times New Roman" w:hAnsi="Times New Roman" w:eastAsia="宋体" w:cs="Times New Roman"/>
                <w:b/>
                <w:bCs/>
                <w:color w:val="000000"/>
                <w:kern w:val="0"/>
                <w:sz w:val="21"/>
                <w:szCs w:val="21"/>
                <w:lang w:val="en-US" w:eastAsia="zh-CN" w:bidi="ar-SA"/>
              </w:rPr>
              <w:t>与“十四五”相关规划符合性分析一览表</w:t>
            </w:r>
          </w:p>
          <w:tbl>
            <w:tblPr>
              <w:tblStyle w:val="38"/>
              <w:tblW w:w="4998" w:type="pct"/>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3"/>
              <w:gridCol w:w="4301"/>
              <w:gridCol w:w="2037"/>
              <w:gridCol w:w="496"/>
            </w:tblGrid>
            <w:tr w14:paraId="343021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833" w:type="dxa"/>
                  <w:noWrap w:val="0"/>
                  <w:vAlign w:val="center"/>
                </w:tcPr>
                <w:p w14:paraId="0D049A4B">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名称</w:t>
                  </w:r>
                </w:p>
              </w:tc>
              <w:tc>
                <w:tcPr>
                  <w:tcW w:w="4301" w:type="dxa"/>
                  <w:noWrap w:val="0"/>
                  <w:vAlign w:val="center"/>
                </w:tcPr>
                <w:p w14:paraId="58EC22FC">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内容</w:t>
                  </w:r>
                </w:p>
              </w:tc>
              <w:tc>
                <w:tcPr>
                  <w:tcW w:w="2037" w:type="dxa"/>
                  <w:noWrap w:val="0"/>
                  <w:vAlign w:val="center"/>
                </w:tcPr>
                <w:p w14:paraId="6D886689">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本项目</w:t>
                  </w:r>
                </w:p>
              </w:tc>
              <w:tc>
                <w:tcPr>
                  <w:tcW w:w="496" w:type="dxa"/>
                  <w:noWrap w:val="0"/>
                  <w:vAlign w:val="center"/>
                </w:tcPr>
                <w:p w14:paraId="7E2EEE1C">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相符性</w:t>
                  </w:r>
                </w:p>
              </w:tc>
            </w:tr>
            <w:tr w14:paraId="512230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8" w:hRule="atLeast"/>
              </w:trPr>
              <w:tc>
                <w:tcPr>
                  <w:tcW w:w="833" w:type="dxa"/>
                  <w:vMerge w:val="restart"/>
                  <w:noWrap w:val="0"/>
                  <w:vAlign w:val="center"/>
                </w:tcPr>
                <w:p w14:paraId="54BD0555">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《河北省人民政府关于印发</w:t>
                  </w:r>
                  <w:r>
                    <w:rPr>
                      <w:rFonts w:hint="eastAsia" w:ascii="Times New Roman" w:hAnsi="Times New Roman" w:eastAsia="宋体" w:cs="Times New Roman"/>
                      <w:color w:val="auto"/>
                      <w:szCs w:val="21"/>
                      <w:lang w:val="en-US" w:eastAsia="zh-CN"/>
                    </w:rPr>
                    <w:t>&lt;</w:t>
                  </w:r>
                  <w:r>
                    <w:rPr>
                      <w:rFonts w:hint="default" w:ascii="Times New Roman" w:hAnsi="Times New Roman" w:eastAsia="宋体" w:cs="Times New Roman"/>
                      <w:color w:val="auto"/>
                      <w:szCs w:val="21"/>
                      <w:lang w:val="en-US" w:eastAsia="zh-CN"/>
                    </w:rPr>
                    <w:t>河北省生态环境保护</w:t>
                  </w:r>
                  <w:r>
                    <w:rPr>
                      <w:rFonts w:hint="eastAsia" w:ascii="Times New Roman" w:hAnsi="Times New Roman" w:eastAsia="宋体" w:cs="Times New Roman"/>
                      <w:color w:val="auto"/>
                      <w:szCs w:val="21"/>
                      <w:lang w:val="en-US" w:eastAsia="zh-CN"/>
                    </w:rPr>
                    <w:t>“</w:t>
                  </w:r>
                  <w:r>
                    <w:rPr>
                      <w:rFonts w:hint="default" w:ascii="Times New Roman" w:hAnsi="Times New Roman" w:eastAsia="宋体" w:cs="Times New Roman"/>
                      <w:color w:val="auto"/>
                      <w:szCs w:val="21"/>
                      <w:lang w:val="en-US" w:eastAsia="zh-CN"/>
                    </w:rPr>
                    <w:t>十四五</w:t>
                  </w:r>
                  <w:r>
                    <w:rPr>
                      <w:rFonts w:hint="eastAsia" w:ascii="Times New Roman" w:hAnsi="Times New Roman" w:eastAsia="宋体" w:cs="Times New Roman"/>
                      <w:color w:val="auto"/>
                      <w:szCs w:val="21"/>
                      <w:lang w:val="en-US" w:eastAsia="zh-CN"/>
                    </w:rPr>
                    <w:t>”</w:t>
                  </w:r>
                  <w:r>
                    <w:rPr>
                      <w:rFonts w:hint="default" w:ascii="Times New Roman" w:hAnsi="Times New Roman" w:eastAsia="宋体" w:cs="Times New Roman"/>
                      <w:color w:val="auto"/>
                      <w:szCs w:val="21"/>
                      <w:lang w:val="en-US" w:eastAsia="zh-CN"/>
                    </w:rPr>
                    <w:t>规划</w:t>
                  </w:r>
                  <w:r>
                    <w:rPr>
                      <w:rFonts w:hint="eastAsia" w:ascii="Times New Roman" w:hAnsi="Times New Roman" w:eastAsia="宋体" w:cs="Times New Roman"/>
                      <w:color w:val="auto"/>
                      <w:szCs w:val="21"/>
                      <w:lang w:val="en-US" w:eastAsia="zh-CN"/>
                    </w:rPr>
                    <w:t>&gt;</w:t>
                  </w:r>
                  <w:r>
                    <w:rPr>
                      <w:rFonts w:hint="default" w:ascii="Times New Roman" w:hAnsi="Times New Roman" w:eastAsia="宋体" w:cs="Times New Roman"/>
                      <w:color w:val="auto"/>
                      <w:szCs w:val="21"/>
                      <w:lang w:val="en-US" w:eastAsia="zh-CN"/>
                    </w:rPr>
                    <w:t>的通知》</w:t>
                  </w:r>
                  <w:r>
                    <w:rPr>
                      <w:rFonts w:hint="eastAsia" w:ascii="Times New Roman" w:hAnsi="Times New Roman" w:eastAsia="宋体" w:cs="Times New Roman"/>
                      <w:color w:val="auto"/>
                      <w:szCs w:val="21"/>
                      <w:lang w:val="en-US" w:eastAsia="zh-CN"/>
                    </w:rPr>
                    <w:t>（冀政字[2022]2号）</w:t>
                  </w:r>
                </w:p>
              </w:tc>
              <w:tc>
                <w:tcPr>
                  <w:tcW w:w="4301" w:type="dxa"/>
                  <w:noWrap w:val="0"/>
                  <w:vAlign w:val="center"/>
                </w:tcPr>
                <w:p w14:paraId="75171FA0">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both"/>
                    <w:textAlignment w:val="auto"/>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建立生态环境分区管控体系。衔接国土空间规划分区和用途管制要求，将生态保护红线、环境质量底线、资源利用上线的硬约束落实到环境管控单元，建立差别化的生态环境准入清单，加强</w:t>
                  </w:r>
                  <w:r>
                    <w:rPr>
                      <w:rFonts w:hint="eastAsia" w:ascii="Times New Roman" w:hAnsi="Times New Roman" w:eastAsia="宋体" w:cs="Times New Roman"/>
                      <w:color w:val="auto"/>
                      <w:szCs w:val="21"/>
                      <w:lang w:val="en-US" w:eastAsia="zh-CN"/>
                    </w:rPr>
                    <w:t>“</w:t>
                  </w:r>
                  <w:r>
                    <w:rPr>
                      <w:rFonts w:hint="default" w:ascii="Times New Roman" w:hAnsi="Times New Roman" w:eastAsia="宋体" w:cs="Times New Roman"/>
                      <w:color w:val="auto"/>
                      <w:szCs w:val="21"/>
                      <w:lang w:val="en-US" w:eastAsia="zh-CN"/>
                    </w:rPr>
                    <w:t>三线一单</w:t>
                  </w:r>
                  <w:r>
                    <w:rPr>
                      <w:rFonts w:hint="eastAsia" w:ascii="Times New Roman" w:hAnsi="Times New Roman" w:eastAsia="宋体" w:cs="Times New Roman"/>
                      <w:color w:val="auto"/>
                      <w:szCs w:val="21"/>
                      <w:lang w:val="en-US" w:eastAsia="zh-CN"/>
                    </w:rPr>
                    <w:t>”</w:t>
                  </w:r>
                  <w:r>
                    <w:rPr>
                      <w:rFonts w:hint="default" w:ascii="Times New Roman" w:hAnsi="Times New Roman" w:eastAsia="宋体" w:cs="Times New Roman"/>
                      <w:color w:val="auto"/>
                      <w:szCs w:val="21"/>
                      <w:lang w:val="en-US" w:eastAsia="zh-CN"/>
                    </w:rPr>
                    <w:t>成果在政策制定、环境准入、园区管理、执法监管等方面的应用。健全以环评制度为主体的源头预防体系，严格规划环评审查和项目环评准入，开展重大经济技术政策的生态环境影响分析和重大生态环境政策的社会经济影响评估。</w:t>
                  </w:r>
                </w:p>
              </w:tc>
              <w:tc>
                <w:tcPr>
                  <w:tcW w:w="2037" w:type="dxa"/>
                  <w:noWrap w:val="0"/>
                  <w:vAlign w:val="center"/>
                </w:tcPr>
                <w:p w14:paraId="23B733C5">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both"/>
                    <w:textAlignment w:val="auto"/>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项目符合《关于实施2023年沧州市生态环境分区管控动态更新</w:t>
                  </w:r>
                  <w:r>
                    <w:rPr>
                      <w:rFonts w:hint="eastAsia" w:cs="Times New Roman"/>
                      <w:color w:val="auto"/>
                      <w:szCs w:val="21"/>
                      <w:lang w:val="en-US" w:eastAsia="zh-CN"/>
                    </w:rPr>
                    <w:t>成果</w:t>
                  </w:r>
                  <w:r>
                    <w:rPr>
                      <w:rFonts w:hint="default" w:ascii="Times New Roman" w:hAnsi="Times New Roman" w:eastAsia="宋体" w:cs="Times New Roman"/>
                      <w:color w:val="auto"/>
                      <w:szCs w:val="21"/>
                      <w:lang w:val="en-US" w:eastAsia="zh-CN"/>
                    </w:rPr>
                    <w:t>的通知》（沧生态环保办[2024]89号）</w:t>
                  </w:r>
                  <w:r>
                    <w:rPr>
                      <w:rFonts w:hint="eastAsia" w:ascii="Times New Roman" w:hAnsi="Times New Roman" w:eastAsia="宋体" w:cs="Times New Roman"/>
                      <w:color w:val="auto"/>
                      <w:szCs w:val="21"/>
                      <w:lang w:val="en-US" w:eastAsia="zh-CN"/>
                    </w:rPr>
                    <w:t>等相关文件</w:t>
                  </w:r>
                  <w:r>
                    <w:rPr>
                      <w:rFonts w:hint="default" w:ascii="Times New Roman" w:hAnsi="Times New Roman" w:eastAsia="宋体" w:cs="Times New Roman"/>
                      <w:color w:val="auto"/>
                      <w:szCs w:val="21"/>
                      <w:lang w:val="en-US" w:eastAsia="zh-CN"/>
                    </w:rPr>
                    <w:t>要求。</w:t>
                  </w:r>
                </w:p>
              </w:tc>
              <w:tc>
                <w:tcPr>
                  <w:tcW w:w="496" w:type="dxa"/>
                  <w:noWrap w:val="0"/>
                  <w:vAlign w:val="center"/>
                </w:tcPr>
                <w:p w14:paraId="10205036">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en-US"/>
                    </w:rPr>
                    <w:t>符合</w:t>
                  </w:r>
                </w:p>
              </w:tc>
            </w:tr>
            <w:tr w14:paraId="05D88D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833" w:type="dxa"/>
                  <w:vMerge w:val="continue"/>
                  <w:noWrap w:val="0"/>
                  <w:vAlign w:val="center"/>
                </w:tcPr>
                <w:p w14:paraId="30A4FB57">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color w:val="auto"/>
                      <w:szCs w:val="21"/>
                      <w:lang w:val="en-US" w:eastAsia="zh-CN"/>
                    </w:rPr>
                  </w:pPr>
                </w:p>
              </w:tc>
              <w:tc>
                <w:tcPr>
                  <w:tcW w:w="4301" w:type="dxa"/>
                  <w:noWrap w:val="0"/>
                  <w:vAlign w:val="center"/>
                </w:tcPr>
                <w:p w14:paraId="1404EE45">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both"/>
                    <w:textAlignment w:val="auto"/>
                    <w:rPr>
                      <w:rFonts w:hint="eastAsia" w:ascii="Times New Roman" w:hAnsi="Times New Roman" w:eastAsia="宋体" w:cs="Times New Roman"/>
                      <w:color w:val="auto"/>
                      <w:szCs w:val="21"/>
                      <w:lang w:val="en-US" w:eastAsia="zh-CN"/>
                    </w:rPr>
                  </w:pPr>
                  <w:r>
                    <w:rPr>
                      <w:rFonts w:hint="default" w:ascii="Times New Roman" w:hAnsi="Times New Roman" w:cs="Times New Roman"/>
                      <w:color w:val="000000"/>
                      <w:szCs w:val="21"/>
                      <w:shd w:val="clear" w:color="auto" w:fill="FFFFFF"/>
                    </w:rPr>
                    <w:t>深化重点行业挥发性有机物（VOCs）治理。以石化、化工、涂装、医药、包装印刷、油品储运销等行业领域为重点，安全高效推进挥发性有机物（VOCs）综合治理，实施原辅材料和产品源头替代、无组织排放和末端深度治理等提升改造工程。取消非必要的挥发性有机物（VOCs）废气排放系统旁路，必须保留的加强监管与治理。推行加油站夏季高温时段错时装卸油，提倡城市主城区和县城建筑墙体涂刷、建筑装饰以及道路划线、栏杆喷涂、沥青铺装等户外工程错时作业。加强汽修行业挥发性有机物（VOCs）综合治理，加大餐饮油烟污染治理力度</w:t>
                  </w:r>
                  <w:r>
                    <w:rPr>
                      <w:rFonts w:hint="eastAsia" w:ascii="Times New Roman" w:hAnsi="Times New Roman" w:cs="Times New Roman"/>
                      <w:color w:val="000000"/>
                      <w:szCs w:val="21"/>
                      <w:shd w:val="clear" w:color="auto" w:fill="FFFFFF"/>
                      <w:lang w:eastAsia="zh-CN"/>
                    </w:rPr>
                    <w:t>。</w:t>
                  </w:r>
                </w:p>
              </w:tc>
              <w:tc>
                <w:tcPr>
                  <w:tcW w:w="2037" w:type="dxa"/>
                  <w:noWrap w:val="0"/>
                  <w:vAlign w:val="center"/>
                </w:tcPr>
                <w:p w14:paraId="44F04185">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both"/>
                    <w:textAlignment w:val="auto"/>
                    <w:rPr>
                      <w:rFonts w:hint="default" w:ascii="Times New Roman" w:hAnsi="Times New Roman" w:eastAsia="宋体" w:cs="Times New Roman"/>
                      <w:color w:val="FF0000"/>
                      <w:szCs w:val="21"/>
                      <w:lang w:val="en-US" w:eastAsia="zh-CN"/>
                    </w:rPr>
                  </w:pPr>
                  <w:r>
                    <w:rPr>
                      <w:rFonts w:hint="default" w:ascii="Times New Roman" w:hAnsi="Times New Roman" w:eastAsia="宋体" w:cs="Times New Roman"/>
                      <w:color w:val="auto"/>
                      <w:szCs w:val="21"/>
                      <w:lang w:val="en-US" w:eastAsia="zh-CN"/>
                    </w:rPr>
                    <w:t>项目生产过程中产生的有机废气采用</w:t>
                  </w:r>
                  <w:r>
                    <w:rPr>
                      <w:rFonts w:hint="eastAsia" w:ascii="Times New Roman" w:hAnsi="Times New Roman" w:eastAsia="宋体" w:cs="Times New Roman"/>
                      <w:color w:val="auto"/>
                      <w:szCs w:val="21"/>
                      <w:lang w:val="en-US" w:eastAsia="zh-CN"/>
                    </w:rPr>
                    <w:t>集气装置收集</w:t>
                  </w:r>
                  <w:r>
                    <w:rPr>
                      <w:rFonts w:hint="default" w:ascii="Times New Roman" w:hAnsi="Times New Roman" w:eastAsia="宋体" w:cs="Times New Roman"/>
                      <w:color w:val="auto"/>
                      <w:szCs w:val="21"/>
                      <w:lang w:val="en-US" w:eastAsia="zh-CN"/>
                    </w:rPr>
                    <w:t>，</w:t>
                  </w:r>
                  <w:r>
                    <w:rPr>
                      <w:rFonts w:hint="eastAsia" w:ascii="Times New Roman" w:hAnsi="Times New Roman" w:eastAsia="宋体" w:cs="Times New Roman"/>
                      <w:color w:val="auto"/>
                      <w:szCs w:val="21"/>
                      <w:lang w:val="en-US" w:eastAsia="zh-CN"/>
                    </w:rPr>
                    <w:t>经二级活性炭吸附装置处理后由15m排气筒排放，</w:t>
                  </w:r>
                  <w:r>
                    <w:rPr>
                      <w:rFonts w:hint="default" w:ascii="Times New Roman" w:hAnsi="Times New Roman" w:eastAsia="宋体" w:cs="Times New Roman"/>
                      <w:color w:val="auto"/>
                      <w:szCs w:val="21"/>
                      <w:lang w:val="en-US" w:eastAsia="zh-CN"/>
                    </w:rPr>
                    <w:t>污染物无组织排放满足《合成树脂工业污染物排放标准》（GB31572-2015，含2024年修改单）表9中企业边界大气污染物浓度限值</w:t>
                  </w:r>
                  <w:r>
                    <w:rPr>
                      <w:rFonts w:hint="eastAsia" w:cs="Times New Roman"/>
                      <w:szCs w:val="21"/>
                      <w:lang w:eastAsia="zh-CN"/>
                    </w:rPr>
                    <w:t>、《工业企业挥发性有机物排放控制标准》（DB13/2322-20</w:t>
                  </w:r>
                  <w:r>
                    <w:rPr>
                      <w:rFonts w:hint="eastAsia" w:cs="Times New Roman"/>
                      <w:szCs w:val="21"/>
                      <w:lang w:val="en-US" w:eastAsia="zh-CN"/>
                    </w:rPr>
                    <w:t>25</w:t>
                  </w:r>
                  <w:r>
                    <w:rPr>
                      <w:rFonts w:hint="eastAsia" w:cs="Times New Roman"/>
                      <w:szCs w:val="21"/>
                      <w:lang w:eastAsia="zh-CN"/>
                    </w:rPr>
                    <w:t>）表</w:t>
                  </w:r>
                  <w:r>
                    <w:rPr>
                      <w:rFonts w:hint="eastAsia" w:cs="Times New Roman"/>
                      <w:szCs w:val="21"/>
                      <w:lang w:val="en-US" w:eastAsia="zh-CN"/>
                    </w:rPr>
                    <w:t>2</w:t>
                  </w:r>
                  <w:r>
                    <w:rPr>
                      <w:rFonts w:hint="eastAsia" w:cs="Times New Roman"/>
                      <w:szCs w:val="21"/>
                      <w:lang w:eastAsia="zh-CN"/>
                    </w:rPr>
                    <w:t>中厂房外设置监控点排放限值</w:t>
                  </w:r>
                  <w:r>
                    <w:rPr>
                      <w:rFonts w:hint="eastAsia" w:cs="Times New Roman"/>
                      <w:color w:val="auto"/>
                      <w:szCs w:val="21"/>
                      <w:lang w:val="en-US" w:eastAsia="zh-CN"/>
                    </w:rPr>
                    <w:t>。</w:t>
                  </w:r>
                </w:p>
              </w:tc>
              <w:tc>
                <w:tcPr>
                  <w:tcW w:w="496" w:type="dxa"/>
                  <w:noWrap w:val="0"/>
                  <w:vAlign w:val="center"/>
                </w:tcPr>
                <w:p w14:paraId="1F1FA676">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en-US"/>
                    </w:rPr>
                    <w:t>符合</w:t>
                  </w:r>
                </w:p>
              </w:tc>
            </w:tr>
            <w:tr w14:paraId="383861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33" w:type="dxa"/>
                  <w:vMerge w:val="continue"/>
                  <w:noWrap w:val="0"/>
                  <w:vAlign w:val="center"/>
                </w:tcPr>
                <w:p w14:paraId="707C20EC">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color w:val="auto"/>
                      <w:szCs w:val="21"/>
                      <w:lang w:val="en-US" w:eastAsia="zh-CN"/>
                    </w:rPr>
                  </w:pPr>
                </w:p>
              </w:tc>
              <w:tc>
                <w:tcPr>
                  <w:tcW w:w="4301" w:type="dxa"/>
                  <w:noWrap w:val="0"/>
                  <w:vAlign w:val="center"/>
                </w:tcPr>
                <w:p w14:paraId="3E2A2D67">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both"/>
                    <w:textAlignment w:val="auto"/>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强化工业企业土壤污染风险防控。新（改、扩）建项目涉及有毒有害物质可能造成土壤污染的，落实土壤和地下水污染防治要求。开展典型行业企业用地及周边土壤污染状况调查，持续推进耕地周边涉重金属行业企业排查整治。动态更新土壤污染重点监管单位名录，将土壤污染防治义务依法纳入排污许可管理。加强企业拆除活动污染防治监管，落实拆除活动污染防治措施。</w:t>
                  </w:r>
                </w:p>
              </w:tc>
              <w:tc>
                <w:tcPr>
                  <w:tcW w:w="2037" w:type="dxa"/>
                  <w:noWrap w:val="0"/>
                  <w:vAlign w:val="center"/>
                </w:tcPr>
                <w:p w14:paraId="7C19C503">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both"/>
                    <w:textAlignment w:val="auto"/>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企业严格落实分区防渗要求，避免污染土壤。</w:t>
                  </w:r>
                </w:p>
              </w:tc>
              <w:tc>
                <w:tcPr>
                  <w:tcW w:w="496" w:type="dxa"/>
                  <w:noWrap w:val="0"/>
                  <w:vAlign w:val="center"/>
                </w:tcPr>
                <w:p w14:paraId="7343E406">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en-US"/>
                    </w:rPr>
                    <w:t>符合</w:t>
                  </w:r>
                </w:p>
              </w:tc>
            </w:tr>
            <w:tr w14:paraId="14A437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1" w:hRule="atLeast"/>
              </w:trPr>
              <w:tc>
                <w:tcPr>
                  <w:tcW w:w="833" w:type="dxa"/>
                  <w:vMerge w:val="continue"/>
                  <w:noWrap w:val="0"/>
                  <w:vAlign w:val="center"/>
                </w:tcPr>
                <w:p w14:paraId="7742E9E6">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color w:val="auto"/>
                      <w:szCs w:val="21"/>
                      <w:lang w:val="en-US" w:eastAsia="zh-CN"/>
                    </w:rPr>
                  </w:pPr>
                </w:p>
              </w:tc>
              <w:tc>
                <w:tcPr>
                  <w:tcW w:w="4301" w:type="dxa"/>
                  <w:noWrap w:val="0"/>
                  <w:vAlign w:val="center"/>
                </w:tcPr>
                <w:p w14:paraId="0C9842A9">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both"/>
                    <w:textAlignment w:val="auto"/>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加大源头管控力度。严格执行危险废物名录管理制度，动态更新危险废物环境重点监管单位清单。严把涉危险废物工业项目环境准入关，落实工业危险废物排污许可制度。组织危险废物相关企业实施强制性清洁生产审核。鼓励生产者责任延伸，支持研发、推广减少工业危险废物产生量和降低工业危险废物危害性的生产工艺和设备。</w:t>
                  </w:r>
                </w:p>
              </w:tc>
              <w:tc>
                <w:tcPr>
                  <w:tcW w:w="2037" w:type="dxa"/>
                  <w:noWrap w:val="0"/>
                  <w:vAlign w:val="center"/>
                </w:tcPr>
                <w:p w14:paraId="7497F4C6">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both"/>
                    <w:textAlignment w:val="auto"/>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本项目危险废物</w:t>
                  </w:r>
                  <w:r>
                    <w:rPr>
                      <w:rFonts w:hint="eastAsia" w:ascii="Times New Roman" w:hAnsi="Times New Roman" w:eastAsia="宋体" w:cs="Times New Roman"/>
                      <w:color w:val="auto"/>
                      <w:szCs w:val="21"/>
                      <w:lang w:val="en-US" w:eastAsia="zh-CN"/>
                    </w:rPr>
                    <w:t>于</w:t>
                  </w:r>
                  <w:r>
                    <w:rPr>
                      <w:rFonts w:hint="default" w:ascii="Times New Roman" w:hAnsi="Times New Roman" w:eastAsia="宋体" w:cs="Times New Roman"/>
                      <w:color w:val="auto"/>
                      <w:szCs w:val="21"/>
                      <w:lang w:val="en-US" w:eastAsia="zh-CN"/>
                    </w:rPr>
                    <w:t>危废间暂存，委托有资质单位处理，危废间建设符合相关防渗要求，并按照要求设置标志牌</w:t>
                  </w:r>
                  <w:r>
                    <w:rPr>
                      <w:rFonts w:hint="eastAsia" w:ascii="Times New Roman" w:hAnsi="Times New Roman" w:eastAsia="宋体" w:cs="Times New Roman"/>
                      <w:color w:val="auto"/>
                      <w:szCs w:val="21"/>
                      <w:lang w:val="en-US" w:eastAsia="zh-CN"/>
                    </w:rPr>
                    <w:t>。</w:t>
                  </w:r>
                </w:p>
              </w:tc>
              <w:tc>
                <w:tcPr>
                  <w:tcW w:w="496" w:type="dxa"/>
                  <w:noWrap w:val="0"/>
                  <w:vAlign w:val="center"/>
                </w:tcPr>
                <w:p w14:paraId="73E962BF">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en-US"/>
                    </w:rPr>
                    <w:t>符合</w:t>
                  </w:r>
                </w:p>
              </w:tc>
            </w:tr>
            <w:tr w14:paraId="5544E8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33" w:type="dxa"/>
                  <w:vMerge w:val="restart"/>
                  <w:noWrap w:val="0"/>
                  <w:vAlign w:val="center"/>
                </w:tcPr>
                <w:p w14:paraId="4A90D948">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en-US"/>
                    </w:rPr>
                    <w:t>《</w:t>
                  </w:r>
                  <w:r>
                    <w:rPr>
                      <w:rFonts w:hint="eastAsia" w:ascii="Times New Roman" w:hAnsi="Times New Roman" w:eastAsia="宋体" w:cs="Times New Roman"/>
                      <w:color w:val="auto"/>
                      <w:szCs w:val="21"/>
                      <w:lang w:eastAsia="zh-CN"/>
                    </w:rPr>
                    <w:t>河北省人民政府办公厅关于印发</w:t>
                  </w:r>
                  <w:r>
                    <w:rPr>
                      <w:rFonts w:hint="eastAsia" w:ascii="Times New Roman" w:hAnsi="Times New Roman" w:eastAsia="宋体" w:cs="Times New Roman"/>
                      <w:color w:val="auto"/>
                      <w:szCs w:val="21"/>
                      <w:lang w:val="en-US" w:eastAsia="zh-CN"/>
                    </w:rPr>
                    <w:t>&lt;</w:t>
                  </w:r>
                  <w:r>
                    <w:rPr>
                      <w:rFonts w:hint="default" w:ascii="Times New Roman" w:hAnsi="Times New Roman" w:eastAsia="宋体" w:cs="Times New Roman"/>
                      <w:color w:val="auto"/>
                      <w:szCs w:val="21"/>
                      <w:lang w:eastAsia="en-US"/>
                    </w:rPr>
                    <w:t>河北省建设京津冀生态环境支撑区</w:t>
                  </w:r>
                  <w:r>
                    <w:rPr>
                      <w:rFonts w:hint="eastAsia" w:ascii="Times New Roman" w:hAnsi="Times New Roman" w:eastAsia="宋体" w:cs="Times New Roman"/>
                      <w:color w:val="auto"/>
                      <w:szCs w:val="21"/>
                      <w:lang w:eastAsia="zh-CN"/>
                    </w:rPr>
                    <w:t>“</w:t>
                  </w:r>
                  <w:r>
                    <w:rPr>
                      <w:rFonts w:hint="default" w:ascii="Times New Roman" w:hAnsi="Times New Roman" w:eastAsia="宋体" w:cs="Times New Roman"/>
                      <w:color w:val="auto"/>
                      <w:szCs w:val="21"/>
                      <w:lang w:eastAsia="en-US"/>
                    </w:rPr>
                    <w:t>十四五</w:t>
                  </w:r>
                  <w:r>
                    <w:rPr>
                      <w:rFonts w:hint="eastAsia" w:ascii="Times New Roman" w:hAnsi="Times New Roman" w:eastAsia="宋体" w:cs="Times New Roman"/>
                      <w:color w:val="auto"/>
                      <w:szCs w:val="21"/>
                      <w:lang w:eastAsia="zh-CN"/>
                    </w:rPr>
                    <w:t>”</w:t>
                  </w:r>
                  <w:r>
                    <w:rPr>
                      <w:rFonts w:hint="default" w:ascii="Times New Roman" w:hAnsi="Times New Roman" w:eastAsia="宋体" w:cs="Times New Roman"/>
                      <w:color w:val="auto"/>
                      <w:szCs w:val="21"/>
                      <w:lang w:eastAsia="en-US"/>
                    </w:rPr>
                    <w:t>规划</w:t>
                  </w:r>
                  <w:r>
                    <w:rPr>
                      <w:rFonts w:hint="eastAsia" w:ascii="Times New Roman" w:hAnsi="Times New Roman" w:eastAsia="宋体" w:cs="Times New Roman"/>
                      <w:color w:val="auto"/>
                      <w:szCs w:val="21"/>
                      <w:lang w:val="en-US" w:eastAsia="zh-CN"/>
                    </w:rPr>
                    <w:t>&gt;</w:t>
                  </w:r>
                  <w:r>
                    <w:rPr>
                      <w:rFonts w:hint="default" w:ascii="Times New Roman" w:hAnsi="Times New Roman" w:eastAsia="宋体" w:cs="Times New Roman"/>
                      <w:color w:val="auto"/>
                      <w:szCs w:val="21"/>
                      <w:lang w:eastAsia="en-US"/>
                    </w:rPr>
                    <w:t>》</w:t>
                  </w:r>
                  <w:r>
                    <w:rPr>
                      <w:rFonts w:hint="eastAsia" w:ascii="Times New Roman" w:hAnsi="Times New Roman" w:eastAsia="宋体" w:cs="Times New Roman"/>
                      <w:color w:val="auto"/>
                      <w:szCs w:val="21"/>
                      <w:lang w:eastAsia="zh-CN"/>
                    </w:rPr>
                    <w:t>（冀政办字</w:t>
                  </w:r>
                  <w:r>
                    <w:rPr>
                      <w:rFonts w:hint="eastAsia" w:ascii="Times New Roman" w:hAnsi="Times New Roman" w:eastAsia="宋体" w:cs="Times New Roman"/>
                      <w:color w:val="auto"/>
                      <w:szCs w:val="21"/>
                      <w:lang w:val="en-US" w:eastAsia="zh-CN"/>
                    </w:rPr>
                    <w:t>[2021]144号）</w:t>
                  </w:r>
                </w:p>
              </w:tc>
              <w:tc>
                <w:tcPr>
                  <w:tcW w:w="4301" w:type="dxa"/>
                  <w:noWrap w:val="0"/>
                  <w:vAlign w:val="center"/>
                </w:tcPr>
                <w:p w14:paraId="6A9611E0">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both"/>
                    <w:textAlignment w:val="auto"/>
                    <w:rPr>
                      <w:rFonts w:hint="eastAsia" w:ascii="Times New Roman" w:hAnsi="Times New Roman" w:eastAsia="宋体" w:cs="Times New Roman"/>
                      <w:color w:val="auto"/>
                      <w:szCs w:val="21"/>
                      <w:lang w:val="en-US" w:eastAsia="zh-CN"/>
                    </w:rPr>
                  </w:pPr>
                  <w:r>
                    <w:rPr>
                      <w:rFonts w:hint="default" w:ascii="Times New Roman" w:hAnsi="Times New Roman" w:cs="Times New Roman"/>
                      <w:color w:val="000000"/>
                      <w:szCs w:val="21"/>
                    </w:rPr>
                    <w:t>根据《河北省建设京津冀生态环境支撑区</w:t>
                  </w:r>
                  <w:r>
                    <w:rPr>
                      <w:rFonts w:hint="eastAsia" w:ascii="Times New Roman" w:hAnsi="Times New Roman" w:cs="Times New Roman"/>
                      <w:color w:val="000000"/>
                      <w:szCs w:val="21"/>
                      <w:lang w:eastAsia="zh-CN"/>
                    </w:rPr>
                    <w:t>“</w:t>
                  </w:r>
                  <w:r>
                    <w:rPr>
                      <w:rFonts w:hint="default" w:ascii="Times New Roman" w:hAnsi="Times New Roman" w:cs="Times New Roman"/>
                      <w:color w:val="000000"/>
                      <w:szCs w:val="21"/>
                    </w:rPr>
                    <w:t>十四五</w:t>
                  </w:r>
                  <w:r>
                    <w:rPr>
                      <w:rFonts w:hint="eastAsia" w:ascii="Times New Roman" w:hAnsi="Times New Roman" w:cs="Times New Roman"/>
                      <w:color w:val="000000"/>
                      <w:szCs w:val="21"/>
                      <w:lang w:eastAsia="zh-CN"/>
                    </w:rPr>
                    <w:t>”</w:t>
                  </w:r>
                  <w:r>
                    <w:rPr>
                      <w:rFonts w:hint="default" w:ascii="Times New Roman" w:hAnsi="Times New Roman" w:cs="Times New Roman"/>
                      <w:color w:val="000000"/>
                      <w:szCs w:val="21"/>
                    </w:rPr>
                    <w:t>规划》全省生态功能分区表，本项目位于</w:t>
                  </w:r>
                  <w:r>
                    <w:rPr>
                      <w:rFonts w:hint="eastAsia" w:ascii="Times New Roman" w:hAnsi="Times New Roman" w:cs="Times New Roman"/>
                      <w:color w:val="000000"/>
                      <w:szCs w:val="21"/>
                    </w:rPr>
                    <w:t>沧州临港经济技术开发区</w:t>
                  </w:r>
                  <w:r>
                    <w:rPr>
                      <w:rFonts w:hint="default" w:ascii="Times New Roman" w:hAnsi="Times New Roman" w:cs="Times New Roman"/>
                      <w:color w:val="000000"/>
                      <w:szCs w:val="21"/>
                    </w:rPr>
                    <w:t>，属于沿海生态防护区，主体生态功能是提供海洋生态服务，保障海洋生态安全</w:t>
                  </w:r>
                  <w:r>
                    <w:rPr>
                      <w:rFonts w:hint="eastAsia" w:ascii="Times New Roman" w:hAnsi="Times New Roman" w:cs="Times New Roman"/>
                      <w:color w:val="000000"/>
                      <w:szCs w:val="21"/>
                      <w:lang w:eastAsia="zh-CN"/>
                    </w:rPr>
                    <w:t>。</w:t>
                  </w:r>
                </w:p>
              </w:tc>
              <w:tc>
                <w:tcPr>
                  <w:tcW w:w="2037" w:type="dxa"/>
                  <w:noWrap w:val="0"/>
                  <w:vAlign w:val="center"/>
                </w:tcPr>
                <w:p w14:paraId="64F806BE">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both"/>
                    <w:textAlignment w:val="auto"/>
                    <w:rPr>
                      <w:rFonts w:hint="eastAsia" w:ascii="Times New Roman" w:hAnsi="Times New Roman" w:eastAsia="宋体" w:cs="Times New Roman"/>
                      <w:color w:val="auto"/>
                      <w:szCs w:val="21"/>
                      <w:lang w:val="en-US" w:eastAsia="zh-CN"/>
                    </w:rPr>
                  </w:pPr>
                  <w:r>
                    <w:rPr>
                      <w:rFonts w:hint="default" w:ascii="Times New Roman" w:hAnsi="Times New Roman" w:cs="Times New Roman"/>
                      <w:color w:val="000000"/>
                      <w:szCs w:val="21"/>
                    </w:rPr>
                    <w:t>项目</w:t>
                  </w:r>
                  <w:r>
                    <w:rPr>
                      <w:rFonts w:hint="eastAsia" w:ascii="Times New Roman" w:hAnsi="Times New Roman" w:cs="Times New Roman"/>
                      <w:color w:val="000000"/>
                      <w:szCs w:val="21"/>
                    </w:rPr>
                    <w:t>位于沧州临港经济技术开发区西区，对海洋生态无影响</w:t>
                  </w:r>
                  <w:r>
                    <w:rPr>
                      <w:rFonts w:hint="eastAsia" w:ascii="Times New Roman" w:hAnsi="Times New Roman" w:cs="Times New Roman"/>
                      <w:color w:val="000000"/>
                      <w:szCs w:val="21"/>
                      <w:lang w:eastAsia="zh-CN"/>
                    </w:rPr>
                    <w:t>。</w:t>
                  </w:r>
                </w:p>
              </w:tc>
              <w:tc>
                <w:tcPr>
                  <w:tcW w:w="496" w:type="dxa"/>
                  <w:noWrap w:val="0"/>
                  <w:vAlign w:val="center"/>
                </w:tcPr>
                <w:p w14:paraId="602B3275">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eastAsia="zh-CN"/>
                    </w:rPr>
                    <w:t>符合</w:t>
                  </w:r>
                </w:p>
              </w:tc>
            </w:tr>
            <w:tr w14:paraId="63DA06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33" w:type="dxa"/>
                  <w:vMerge w:val="continue"/>
                  <w:noWrap w:val="0"/>
                  <w:vAlign w:val="center"/>
                </w:tcPr>
                <w:p w14:paraId="1A37E121">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color w:val="auto"/>
                      <w:szCs w:val="21"/>
                      <w:lang w:val="en-US" w:eastAsia="zh-CN"/>
                    </w:rPr>
                  </w:pPr>
                </w:p>
              </w:tc>
              <w:tc>
                <w:tcPr>
                  <w:tcW w:w="4301" w:type="dxa"/>
                  <w:noWrap w:val="0"/>
                  <w:vAlign w:val="center"/>
                </w:tcPr>
                <w:p w14:paraId="2B361425">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both"/>
                    <w:textAlignment w:val="auto"/>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完善生态环境分区管控体系。立足资源环境承载能力，落实并完善</w:t>
                  </w:r>
                  <w:r>
                    <w:rPr>
                      <w:rFonts w:hint="eastAsia" w:ascii="Times New Roman" w:hAnsi="Times New Roman" w:eastAsia="宋体" w:cs="Times New Roman"/>
                      <w:color w:val="auto"/>
                      <w:szCs w:val="21"/>
                      <w:lang w:val="en-US" w:eastAsia="zh-CN"/>
                    </w:rPr>
                    <w:t>“</w:t>
                  </w:r>
                  <w:r>
                    <w:rPr>
                      <w:rFonts w:hint="default" w:ascii="Times New Roman" w:hAnsi="Times New Roman" w:eastAsia="宋体" w:cs="Times New Roman"/>
                      <w:color w:val="auto"/>
                      <w:szCs w:val="21"/>
                      <w:lang w:val="en-US" w:eastAsia="zh-CN"/>
                    </w:rPr>
                    <w:t>三线一单</w:t>
                  </w:r>
                  <w:r>
                    <w:rPr>
                      <w:rFonts w:hint="eastAsia" w:ascii="Times New Roman" w:hAnsi="Times New Roman" w:eastAsia="宋体" w:cs="Times New Roman"/>
                      <w:color w:val="auto"/>
                      <w:szCs w:val="21"/>
                      <w:lang w:val="en-US" w:eastAsia="zh-CN"/>
                    </w:rPr>
                    <w:t>”</w:t>
                  </w:r>
                  <w:r>
                    <w:rPr>
                      <w:rFonts w:hint="default" w:ascii="Times New Roman" w:hAnsi="Times New Roman" w:eastAsia="宋体" w:cs="Times New Roman"/>
                      <w:color w:val="auto"/>
                      <w:szCs w:val="21"/>
                      <w:lang w:val="en-US" w:eastAsia="zh-CN"/>
                    </w:rPr>
                    <w:t>生态环境分区管控体系，建立动态更新和调整机制，完善环境管控单元环境准入清单，严格执行高耗能、高排放项目环境准入及管控要求。加强</w:t>
                  </w:r>
                  <w:r>
                    <w:rPr>
                      <w:rFonts w:hint="eastAsia" w:ascii="Times New Roman" w:hAnsi="Times New Roman" w:eastAsia="宋体" w:cs="Times New Roman"/>
                      <w:color w:val="auto"/>
                      <w:szCs w:val="21"/>
                      <w:lang w:val="en-US" w:eastAsia="zh-CN"/>
                    </w:rPr>
                    <w:t>“</w:t>
                  </w:r>
                  <w:r>
                    <w:rPr>
                      <w:rFonts w:hint="default" w:ascii="Times New Roman" w:hAnsi="Times New Roman" w:eastAsia="宋体" w:cs="Times New Roman"/>
                      <w:color w:val="auto"/>
                      <w:szCs w:val="21"/>
                      <w:lang w:val="en-US" w:eastAsia="zh-CN"/>
                    </w:rPr>
                    <w:t>三线一单</w:t>
                  </w:r>
                  <w:r>
                    <w:rPr>
                      <w:rFonts w:hint="eastAsia" w:ascii="Times New Roman" w:hAnsi="Times New Roman" w:eastAsia="宋体" w:cs="Times New Roman"/>
                      <w:color w:val="auto"/>
                      <w:szCs w:val="21"/>
                      <w:lang w:val="en-US" w:eastAsia="zh-CN"/>
                    </w:rPr>
                    <w:t>”</w:t>
                  </w:r>
                  <w:r>
                    <w:rPr>
                      <w:rFonts w:hint="default" w:ascii="Times New Roman" w:hAnsi="Times New Roman" w:eastAsia="宋体" w:cs="Times New Roman"/>
                      <w:color w:val="auto"/>
                      <w:szCs w:val="21"/>
                      <w:lang w:val="en-US" w:eastAsia="zh-CN"/>
                    </w:rPr>
                    <w:t>成果与国土空间规划协调联动，强化在政策制定、环境准入、园区管理、执法监管等方面的应用，推动污染物排放和生态环境质量目标联动管理。不断健全环境影响评价等生态环境源头预防体系，依法开展国土空间规划、以及重点区域、重点流域、重点行业的建设和开发利用规划环境影响评价，严格建设项目生态环境准入，指导资源开发、城镇建设、产业布局和重大工程项目选址，防范区域生态环境风险。</w:t>
                  </w:r>
                </w:p>
              </w:tc>
              <w:tc>
                <w:tcPr>
                  <w:tcW w:w="2037" w:type="dxa"/>
                  <w:noWrap w:val="0"/>
                  <w:vAlign w:val="center"/>
                </w:tcPr>
                <w:p w14:paraId="2BC241E5">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both"/>
                    <w:textAlignment w:val="auto"/>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项目符合《关于实施2023年沧州市生态环境分区管控动态更新</w:t>
                  </w:r>
                  <w:r>
                    <w:rPr>
                      <w:rFonts w:hint="eastAsia" w:cs="Times New Roman"/>
                      <w:color w:val="auto"/>
                      <w:szCs w:val="21"/>
                      <w:lang w:val="en-US" w:eastAsia="zh-CN"/>
                    </w:rPr>
                    <w:t>成果</w:t>
                  </w:r>
                  <w:r>
                    <w:rPr>
                      <w:rFonts w:hint="default" w:ascii="Times New Roman" w:hAnsi="Times New Roman" w:eastAsia="宋体" w:cs="Times New Roman"/>
                      <w:color w:val="auto"/>
                      <w:szCs w:val="21"/>
                      <w:lang w:val="en-US" w:eastAsia="zh-CN"/>
                    </w:rPr>
                    <w:t>的通知》（沧生态环保办[2024]89号）</w:t>
                  </w:r>
                  <w:r>
                    <w:rPr>
                      <w:rFonts w:hint="eastAsia" w:ascii="Times New Roman" w:hAnsi="Times New Roman" w:eastAsia="宋体" w:cs="Times New Roman"/>
                      <w:color w:val="auto"/>
                      <w:szCs w:val="21"/>
                      <w:lang w:val="en-US" w:eastAsia="zh-CN"/>
                    </w:rPr>
                    <w:t>等</w:t>
                  </w:r>
                  <w:r>
                    <w:rPr>
                      <w:rFonts w:hint="default" w:ascii="Times New Roman" w:hAnsi="Times New Roman" w:eastAsia="宋体" w:cs="Times New Roman"/>
                      <w:color w:val="auto"/>
                      <w:szCs w:val="21"/>
                      <w:lang w:val="en-US" w:eastAsia="zh-CN"/>
                    </w:rPr>
                    <w:t>相关</w:t>
                  </w:r>
                  <w:r>
                    <w:rPr>
                      <w:rFonts w:hint="eastAsia" w:ascii="Times New Roman" w:hAnsi="Times New Roman" w:eastAsia="宋体" w:cs="Times New Roman"/>
                      <w:color w:val="auto"/>
                      <w:szCs w:val="21"/>
                      <w:lang w:val="en-US" w:eastAsia="zh-CN"/>
                    </w:rPr>
                    <w:t>文件</w:t>
                  </w:r>
                  <w:r>
                    <w:rPr>
                      <w:rFonts w:hint="default" w:ascii="Times New Roman" w:hAnsi="Times New Roman" w:eastAsia="宋体" w:cs="Times New Roman"/>
                      <w:color w:val="auto"/>
                      <w:szCs w:val="21"/>
                      <w:lang w:val="en-US" w:eastAsia="zh-CN"/>
                    </w:rPr>
                    <w:t>要求。</w:t>
                  </w:r>
                </w:p>
              </w:tc>
              <w:tc>
                <w:tcPr>
                  <w:tcW w:w="496" w:type="dxa"/>
                  <w:noWrap w:val="0"/>
                  <w:vAlign w:val="center"/>
                </w:tcPr>
                <w:p w14:paraId="04EA2A8C">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en-US"/>
                    </w:rPr>
                    <w:t>符合</w:t>
                  </w:r>
                </w:p>
              </w:tc>
            </w:tr>
            <w:tr w14:paraId="60334F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833" w:type="dxa"/>
                  <w:vMerge w:val="continue"/>
                  <w:noWrap w:val="0"/>
                  <w:vAlign w:val="center"/>
                </w:tcPr>
                <w:p w14:paraId="02F489CA">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color w:val="auto"/>
                      <w:szCs w:val="21"/>
                      <w:lang w:eastAsia="en-US"/>
                    </w:rPr>
                  </w:pPr>
                </w:p>
              </w:tc>
              <w:tc>
                <w:tcPr>
                  <w:tcW w:w="4301" w:type="dxa"/>
                  <w:noWrap w:val="0"/>
                  <w:vAlign w:val="center"/>
                </w:tcPr>
                <w:p w14:paraId="4EC269E0">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both"/>
                    <w:textAlignment w:val="auto"/>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en-US"/>
                    </w:rPr>
                    <w:t>强化土地资源节约利用。严格保护耕地和永久基本农田，大力开展土地整治和高标准农田建设，加强工矿废弃地复垦和中低产田改良。加强重点生态用地保护，严控具有重要生态功能的未利用地开发，合理引导环京津生态过渡带、雄安新区城市森林建设区、地下水超采区等区域的非优质耕地及盐渍化耕地向林果草调整。严格落实建设用地总量与强度双控，推动产业集中集聚集群发展，提高产业用地开发强度，加强城市地下空间综合开发利用，加大城镇低效闲置土地再开发力度，推动单位地区生产总值建设用地使用面积稳步下降。保护优质土壤资源。到2025年，全省耕地保有量和永久基本农田保护面积不低于国家确定目标</w:t>
                  </w:r>
                  <w:r>
                    <w:rPr>
                      <w:rFonts w:hint="default" w:ascii="Times New Roman" w:hAnsi="Times New Roman" w:eastAsia="宋体" w:cs="Times New Roman"/>
                      <w:color w:val="auto"/>
                      <w:szCs w:val="21"/>
                      <w:lang w:val="en-US" w:eastAsia="zh-CN"/>
                    </w:rPr>
                    <w:t>。</w:t>
                  </w:r>
                </w:p>
              </w:tc>
              <w:tc>
                <w:tcPr>
                  <w:tcW w:w="2037" w:type="dxa"/>
                  <w:noWrap w:val="0"/>
                  <w:vAlign w:val="center"/>
                </w:tcPr>
                <w:p w14:paraId="1ACA0A8A">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both"/>
                    <w:textAlignment w:val="auto"/>
                    <w:rPr>
                      <w:rFonts w:hint="default" w:ascii="Times New Roman" w:hAnsi="Times New Roman" w:eastAsia="宋体" w:cs="Times New Roman"/>
                      <w:color w:val="auto"/>
                      <w:szCs w:val="21"/>
                      <w:lang w:val="en-US" w:eastAsia="en-US"/>
                    </w:rPr>
                  </w:pPr>
                  <w:r>
                    <w:rPr>
                      <w:rFonts w:hint="default" w:ascii="Times New Roman" w:hAnsi="Times New Roman" w:eastAsia="宋体" w:cs="Times New Roman"/>
                      <w:color w:val="auto"/>
                      <w:szCs w:val="21"/>
                      <w:lang w:val="en-US" w:eastAsia="zh-CN"/>
                    </w:rPr>
                    <w:t>项目</w:t>
                  </w:r>
                  <w:r>
                    <w:rPr>
                      <w:rFonts w:hint="eastAsia" w:ascii="Times New Roman" w:hAnsi="Times New Roman" w:eastAsia="宋体" w:cs="Times New Roman"/>
                      <w:color w:val="auto"/>
                      <w:szCs w:val="21"/>
                      <w:lang w:val="en-US" w:eastAsia="zh-CN"/>
                    </w:rPr>
                    <w:t>在</w:t>
                  </w:r>
                  <w:r>
                    <w:rPr>
                      <w:rFonts w:hint="default" w:ascii="Times New Roman" w:hAnsi="Times New Roman" w:eastAsia="宋体" w:cs="Times New Roman"/>
                      <w:color w:val="auto"/>
                      <w:szCs w:val="21"/>
                      <w:lang w:val="en-US" w:eastAsia="zh-CN"/>
                    </w:rPr>
                    <w:t>原有车间</w:t>
                  </w:r>
                  <w:r>
                    <w:rPr>
                      <w:rFonts w:hint="eastAsia" w:ascii="Times New Roman" w:hAnsi="Times New Roman" w:eastAsia="宋体" w:cs="Times New Roman"/>
                      <w:color w:val="auto"/>
                      <w:szCs w:val="21"/>
                      <w:lang w:val="en-US" w:eastAsia="zh-CN"/>
                    </w:rPr>
                    <w:t>进行建设</w:t>
                  </w:r>
                  <w:r>
                    <w:rPr>
                      <w:rFonts w:hint="default" w:ascii="Times New Roman" w:hAnsi="Times New Roman" w:eastAsia="宋体" w:cs="Times New Roman"/>
                      <w:color w:val="auto"/>
                      <w:szCs w:val="21"/>
                      <w:lang w:val="en-US" w:eastAsia="zh-CN"/>
                    </w:rPr>
                    <w:t>，不占用</w:t>
                  </w:r>
                  <w:r>
                    <w:rPr>
                      <w:rFonts w:hint="default" w:ascii="Times New Roman" w:hAnsi="Times New Roman" w:eastAsia="宋体" w:cs="Times New Roman"/>
                      <w:color w:val="auto"/>
                      <w:szCs w:val="21"/>
                      <w:lang w:val="en-US" w:eastAsia="en-US"/>
                    </w:rPr>
                    <w:t>保护耕地和永久基本农田</w:t>
                  </w:r>
                  <w:r>
                    <w:rPr>
                      <w:rFonts w:hint="default" w:ascii="Times New Roman" w:hAnsi="Times New Roman" w:eastAsia="宋体" w:cs="Times New Roman"/>
                      <w:color w:val="auto"/>
                      <w:szCs w:val="21"/>
                      <w:lang w:val="en-US" w:eastAsia="zh-CN"/>
                    </w:rPr>
                    <w:t>。</w:t>
                  </w:r>
                </w:p>
              </w:tc>
              <w:tc>
                <w:tcPr>
                  <w:tcW w:w="496" w:type="dxa"/>
                  <w:noWrap w:val="0"/>
                  <w:vAlign w:val="center"/>
                </w:tcPr>
                <w:p w14:paraId="6F56C509">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en-US"/>
                    </w:rPr>
                    <w:t>符合</w:t>
                  </w:r>
                </w:p>
              </w:tc>
            </w:tr>
            <w:tr w14:paraId="1E47EB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 w:hRule="atLeast"/>
              </w:trPr>
              <w:tc>
                <w:tcPr>
                  <w:tcW w:w="833" w:type="dxa"/>
                  <w:vMerge w:val="restart"/>
                  <w:noWrap w:val="0"/>
                  <w:vAlign w:val="center"/>
                </w:tcPr>
                <w:p w14:paraId="6CA754C3">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color w:val="auto"/>
                      <w:szCs w:val="21"/>
                      <w:lang w:eastAsia="en-US"/>
                    </w:rPr>
                  </w:pPr>
                  <w:r>
                    <w:rPr>
                      <w:rFonts w:hint="default" w:ascii="Times New Roman" w:hAnsi="Times New Roman" w:eastAsia="宋体" w:cs="Times New Roman"/>
                      <w:color w:val="auto"/>
                      <w:szCs w:val="21"/>
                      <w:lang w:val="en-US" w:eastAsia="zh-CN"/>
                    </w:rPr>
                    <w:t>《沧州市生态环境保护</w:t>
                  </w:r>
                  <w:r>
                    <w:rPr>
                      <w:rFonts w:hint="eastAsia" w:ascii="Times New Roman" w:hAnsi="Times New Roman" w:eastAsia="宋体" w:cs="Times New Roman"/>
                      <w:color w:val="auto"/>
                      <w:szCs w:val="21"/>
                      <w:lang w:val="en-US" w:eastAsia="zh-CN"/>
                    </w:rPr>
                    <w:t>“</w:t>
                  </w:r>
                  <w:r>
                    <w:rPr>
                      <w:rFonts w:hint="default" w:ascii="Times New Roman" w:hAnsi="Times New Roman" w:eastAsia="宋体" w:cs="Times New Roman"/>
                      <w:color w:val="auto"/>
                      <w:szCs w:val="21"/>
                      <w:lang w:val="en-US" w:eastAsia="zh-CN"/>
                    </w:rPr>
                    <w:t>十四五</w:t>
                  </w:r>
                  <w:r>
                    <w:rPr>
                      <w:rFonts w:hint="eastAsia" w:ascii="Times New Roman" w:hAnsi="Times New Roman" w:eastAsia="宋体" w:cs="Times New Roman"/>
                      <w:color w:val="auto"/>
                      <w:szCs w:val="21"/>
                      <w:lang w:val="en-US" w:eastAsia="zh-CN"/>
                    </w:rPr>
                    <w:t>”</w:t>
                  </w:r>
                  <w:r>
                    <w:rPr>
                      <w:rFonts w:hint="default" w:ascii="Times New Roman" w:hAnsi="Times New Roman" w:eastAsia="宋体" w:cs="Times New Roman"/>
                      <w:color w:val="auto"/>
                      <w:szCs w:val="21"/>
                      <w:lang w:val="en-US" w:eastAsia="zh-CN"/>
                    </w:rPr>
                    <w:t>规划》</w:t>
                  </w:r>
                </w:p>
              </w:tc>
              <w:tc>
                <w:tcPr>
                  <w:tcW w:w="4301" w:type="dxa"/>
                  <w:noWrap w:val="0"/>
                  <w:vAlign w:val="center"/>
                </w:tcPr>
                <w:p w14:paraId="3E174E51">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both"/>
                    <w:textAlignment w:val="auto"/>
                    <w:rPr>
                      <w:rFonts w:hint="default" w:ascii="Times New Roman" w:hAnsi="Times New Roman" w:eastAsia="宋体" w:cs="Times New Roman"/>
                      <w:color w:val="auto"/>
                      <w:szCs w:val="21"/>
                      <w:lang w:val="en-US" w:eastAsia="en-US"/>
                    </w:rPr>
                  </w:pPr>
                  <w:r>
                    <w:rPr>
                      <w:rFonts w:hint="default" w:ascii="Times New Roman" w:hAnsi="Times New Roman" w:eastAsia="宋体" w:cs="Times New Roman"/>
                      <w:color w:val="auto"/>
                      <w:szCs w:val="21"/>
                      <w:lang w:val="en-US" w:eastAsia="en-US"/>
                    </w:rPr>
                    <w:t>建立健全以</w:t>
                  </w:r>
                  <w:r>
                    <w:rPr>
                      <w:rFonts w:hint="eastAsia" w:ascii="Times New Roman" w:hAnsi="Times New Roman" w:eastAsia="宋体" w:cs="Times New Roman"/>
                      <w:color w:val="auto"/>
                      <w:szCs w:val="21"/>
                      <w:lang w:val="en-US" w:eastAsia="zh-CN"/>
                    </w:rPr>
                    <w:t>“</w:t>
                  </w:r>
                  <w:r>
                    <w:rPr>
                      <w:rFonts w:hint="default" w:ascii="Times New Roman" w:hAnsi="Times New Roman" w:eastAsia="宋体" w:cs="Times New Roman"/>
                      <w:color w:val="auto"/>
                      <w:szCs w:val="21"/>
                      <w:lang w:val="en-US" w:eastAsia="en-US"/>
                    </w:rPr>
                    <w:t>三线一单</w:t>
                  </w:r>
                  <w:r>
                    <w:rPr>
                      <w:rFonts w:hint="eastAsia" w:ascii="Times New Roman" w:hAnsi="Times New Roman" w:eastAsia="宋体" w:cs="Times New Roman"/>
                      <w:color w:val="auto"/>
                      <w:szCs w:val="21"/>
                      <w:lang w:val="en-US" w:eastAsia="zh-CN"/>
                    </w:rPr>
                    <w:t>”</w:t>
                  </w:r>
                  <w:r>
                    <w:rPr>
                      <w:rFonts w:hint="default" w:ascii="Times New Roman" w:hAnsi="Times New Roman" w:eastAsia="宋体" w:cs="Times New Roman"/>
                      <w:color w:val="auto"/>
                      <w:szCs w:val="21"/>
                      <w:lang w:val="en-US" w:eastAsia="en-US"/>
                    </w:rPr>
                    <w:t>（生态保护红线、环境质量底线、资源利用上线和生态环境准入清单）为核心的生态环境分区管控体系。衔接国土空间规划分区和用途管制要求，将生态保护红线、环境质量底线、资源利用上线的硬约束落实到环境管控单元，从空间布局、污染物排放管控、环境风险防控和资源利用效率等维度，建立生态环境准入清单，实施全市差别化生态环境管控。突出抓好产业园区规划环评，严格规划环评审查和项目环评准入。</w:t>
                  </w:r>
                </w:p>
              </w:tc>
              <w:tc>
                <w:tcPr>
                  <w:tcW w:w="2037" w:type="dxa"/>
                  <w:noWrap w:val="0"/>
                  <w:vAlign w:val="center"/>
                </w:tcPr>
                <w:p w14:paraId="0E2D2893">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both"/>
                    <w:textAlignment w:val="auto"/>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项目符合《关于实施2023年沧州市生态环境分区管控动态更新</w:t>
                  </w:r>
                  <w:r>
                    <w:rPr>
                      <w:rFonts w:hint="eastAsia" w:cs="Times New Roman"/>
                      <w:color w:val="auto"/>
                      <w:szCs w:val="21"/>
                      <w:lang w:val="en-US" w:eastAsia="zh-CN"/>
                    </w:rPr>
                    <w:t>成果</w:t>
                  </w:r>
                  <w:r>
                    <w:rPr>
                      <w:rFonts w:hint="default" w:ascii="Times New Roman" w:hAnsi="Times New Roman" w:eastAsia="宋体" w:cs="Times New Roman"/>
                      <w:color w:val="auto"/>
                      <w:szCs w:val="21"/>
                      <w:lang w:val="en-US" w:eastAsia="zh-CN"/>
                    </w:rPr>
                    <w:t>的通知》（沧生态环保办[2024]89号）</w:t>
                  </w:r>
                  <w:r>
                    <w:rPr>
                      <w:rFonts w:hint="eastAsia" w:ascii="Times New Roman" w:hAnsi="Times New Roman" w:eastAsia="宋体" w:cs="Times New Roman"/>
                      <w:color w:val="auto"/>
                      <w:szCs w:val="21"/>
                      <w:lang w:val="en-US" w:eastAsia="zh-CN"/>
                    </w:rPr>
                    <w:t>等</w:t>
                  </w:r>
                  <w:r>
                    <w:rPr>
                      <w:rFonts w:hint="default" w:ascii="Times New Roman" w:hAnsi="Times New Roman" w:eastAsia="宋体" w:cs="Times New Roman"/>
                      <w:color w:val="auto"/>
                      <w:szCs w:val="21"/>
                      <w:lang w:val="en-US" w:eastAsia="zh-CN"/>
                    </w:rPr>
                    <w:t>相关</w:t>
                  </w:r>
                  <w:r>
                    <w:rPr>
                      <w:rFonts w:hint="eastAsia" w:ascii="Times New Roman" w:hAnsi="Times New Roman" w:eastAsia="宋体" w:cs="Times New Roman"/>
                      <w:color w:val="auto"/>
                      <w:szCs w:val="21"/>
                      <w:lang w:val="en-US" w:eastAsia="zh-CN"/>
                    </w:rPr>
                    <w:t>文件</w:t>
                  </w:r>
                  <w:r>
                    <w:rPr>
                      <w:rFonts w:hint="default" w:ascii="Times New Roman" w:hAnsi="Times New Roman" w:eastAsia="宋体" w:cs="Times New Roman"/>
                      <w:color w:val="auto"/>
                      <w:szCs w:val="21"/>
                      <w:lang w:val="en-US" w:eastAsia="zh-CN"/>
                    </w:rPr>
                    <w:t>要求。</w:t>
                  </w:r>
                </w:p>
              </w:tc>
              <w:tc>
                <w:tcPr>
                  <w:tcW w:w="496" w:type="dxa"/>
                  <w:noWrap w:val="0"/>
                  <w:vAlign w:val="center"/>
                </w:tcPr>
                <w:p w14:paraId="05201A82">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符合</w:t>
                  </w:r>
                </w:p>
              </w:tc>
            </w:tr>
            <w:tr w14:paraId="0A668B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rPr>
              <w:tc>
                <w:tcPr>
                  <w:tcW w:w="833" w:type="dxa"/>
                  <w:vMerge w:val="continue"/>
                  <w:noWrap w:val="0"/>
                  <w:vAlign w:val="center"/>
                </w:tcPr>
                <w:p w14:paraId="3AC925CC">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color w:val="auto"/>
                      <w:szCs w:val="21"/>
                      <w:lang w:val="en-US" w:eastAsia="zh-CN"/>
                    </w:rPr>
                  </w:pPr>
                </w:p>
              </w:tc>
              <w:tc>
                <w:tcPr>
                  <w:tcW w:w="4301" w:type="dxa"/>
                  <w:noWrap w:val="0"/>
                  <w:vAlign w:val="center"/>
                </w:tcPr>
                <w:p w14:paraId="2CF6AC7F">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both"/>
                    <w:textAlignment w:val="auto"/>
                    <w:rPr>
                      <w:rFonts w:hint="default" w:ascii="Times New Roman" w:hAnsi="Times New Roman" w:eastAsia="宋体" w:cs="Times New Roman"/>
                      <w:color w:val="auto"/>
                      <w:szCs w:val="21"/>
                      <w:lang w:val="en-US" w:eastAsia="en-US"/>
                    </w:rPr>
                  </w:pPr>
                  <w:r>
                    <w:rPr>
                      <w:rFonts w:hint="default" w:ascii="Times New Roman" w:hAnsi="Times New Roman" w:eastAsia="宋体" w:cs="Times New Roman"/>
                      <w:color w:val="auto"/>
                      <w:szCs w:val="21"/>
                      <w:lang w:val="en-US" w:eastAsia="en-US"/>
                    </w:rPr>
                    <w:t>严格控制高耗能高排放项目盲目发展。严格落实产业政策，严把拟建项目准入关，严禁建设不符合政策规划的项目。加强能耗总量和强度双控、煤炭消费和污染物排放总量控制，坚决遏制</w:t>
                  </w:r>
                  <w:r>
                    <w:rPr>
                      <w:rFonts w:hint="eastAsia" w:ascii="Times New Roman" w:hAnsi="Times New Roman" w:eastAsia="宋体" w:cs="Times New Roman"/>
                      <w:color w:val="auto"/>
                      <w:szCs w:val="21"/>
                      <w:lang w:val="en-US" w:eastAsia="zh-CN"/>
                    </w:rPr>
                    <w:t>“</w:t>
                  </w:r>
                  <w:r>
                    <w:rPr>
                      <w:rFonts w:hint="default" w:ascii="Times New Roman" w:hAnsi="Times New Roman" w:eastAsia="宋体" w:cs="Times New Roman"/>
                      <w:color w:val="auto"/>
                      <w:szCs w:val="21"/>
                      <w:lang w:val="en-US" w:eastAsia="en-US"/>
                    </w:rPr>
                    <w:t>两高</w:t>
                  </w:r>
                  <w:r>
                    <w:rPr>
                      <w:rFonts w:hint="eastAsia" w:ascii="Times New Roman" w:hAnsi="Times New Roman" w:eastAsia="宋体" w:cs="Times New Roman"/>
                      <w:color w:val="auto"/>
                      <w:szCs w:val="21"/>
                      <w:lang w:val="en-US" w:eastAsia="zh-CN"/>
                    </w:rPr>
                    <w:t>”</w:t>
                  </w:r>
                  <w:r>
                    <w:rPr>
                      <w:rFonts w:hint="default" w:ascii="Times New Roman" w:hAnsi="Times New Roman" w:eastAsia="宋体" w:cs="Times New Roman"/>
                      <w:color w:val="auto"/>
                      <w:szCs w:val="21"/>
                      <w:lang w:val="en-US" w:eastAsia="en-US"/>
                    </w:rPr>
                    <w:t>项目发展，实行清单管理、分类处置、动态监控。严格执行钢铁、水泥熟料、平板玻璃、焦化、煤化工、铸造等行业产能置换规定，严禁新增产能，合理控制煤制油气产能规模。</w:t>
                  </w:r>
                </w:p>
              </w:tc>
              <w:tc>
                <w:tcPr>
                  <w:tcW w:w="2037" w:type="dxa"/>
                  <w:noWrap w:val="0"/>
                  <w:vAlign w:val="center"/>
                </w:tcPr>
                <w:p w14:paraId="7FDC957B">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both"/>
                    <w:textAlignment w:val="auto"/>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本项目符合国家及地方产业政策要求</w:t>
                  </w:r>
                  <w:r>
                    <w:rPr>
                      <w:rFonts w:hint="eastAsia" w:ascii="Times New Roman" w:hAnsi="Times New Roman" w:eastAsia="宋体" w:cs="Times New Roman"/>
                      <w:color w:val="auto"/>
                      <w:szCs w:val="21"/>
                      <w:lang w:val="en-US" w:eastAsia="zh-CN"/>
                    </w:rPr>
                    <w:t>。</w:t>
                  </w:r>
                </w:p>
              </w:tc>
              <w:tc>
                <w:tcPr>
                  <w:tcW w:w="496" w:type="dxa"/>
                  <w:noWrap w:val="0"/>
                  <w:vAlign w:val="center"/>
                </w:tcPr>
                <w:p w14:paraId="68517CFF">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符合</w:t>
                  </w:r>
                </w:p>
              </w:tc>
            </w:tr>
            <w:tr w14:paraId="0365ED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833" w:type="dxa"/>
                  <w:vMerge w:val="continue"/>
                  <w:noWrap w:val="0"/>
                  <w:vAlign w:val="center"/>
                </w:tcPr>
                <w:p w14:paraId="465C1B4F">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color w:val="auto"/>
                      <w:szCs w:val="21"/>
                      <w:lang w:val="en-US" w:eastAsia="zh-CN"/>
                    </w:rPr>
                  </w:pPr>
                </w:p>
              </w:tc>
              <w:tc>
                <w:tcPr>
                  <w:tcW w:w="4301" w:type="dxa"/>
                  <w:noWrap w:val="0"/>
                  <w:vAlign w:val="center"/>
                </w:tcPr>
                <w:p w14:paraId="75868E7F">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both"/>
                    <w:textAlignment w:val="auto"/>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深化涉挥发性有机物（VOCs）行业企业综合整治。以石化、化工、医药、工业涂装、包装印刷、油品储运等行业为重点，开展全面排查，建立涉VOCs重点行业企业、工业园区、企业集群台账，实施原辅材料和产品源头替代、无组织管控、末端治理改造等全流程治理。</w:t>
                  </w:r>
                </w:p>
              </w:tc>
              <w:tc>
                <w:tcPr>
                  <w:tcW w:w="2037" w:type="dxa"/>
                  <w:noWrap w:val="0"/>
                  <w:vAlign w:val="center"/>
                </w:tcPr>
                <w:p w14:paraId="61EBB559">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both"/>
                    <w:textAlignment w:val="auto"/>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本项目为</w:t>
                  </w:r>
                  <w:r>
                    <w:rPr>
                      <w:rFonts w:hint="eastAsia" w:cs="Times New Roman"/>
                      <w:color w:val="auto"/>
                      <w:szCs w:val="21"/>
                      <w:lang w:val="en-US" w:eastAsia="zh-CN"/>
                    </w:rPr>
                    <w:t>塑料零件及其他塑料制品制造行业</w:t>
                  </w:r>
                  <w:r>
                    <w:rPr>
                      <w:rFonts w:hint="eastAsia" w:ascii="Times New Roman" w:hAnsi="Times New Roman" w:eastAsia="宋体" w:cs="Times New Roman"/>
                      <w:color w:val="auto"/>
                      <w:szCs w:val="21"/>
                      <w:lang w:val="en-US" w:eastAsia="zh-CN"/>
                    </w:rPr>
                    <w:t>，生产中药包装袋，属于医药配套产业，</w:t>
                  </w:r>
                  <w:r>
                    <w:rPr>
                      <w:rFonts w:hint="eastAsia" w:ascii="Times New Roman" w:hAnsi="Times New Roman" w:cs="Times New Roman"/>
                      <w:color w:val="000000"/>
                      <w:szCs w:val="21"/>
                    </w:rPr>
                    <w:t>生产过程中</w:t>
                  </w:r>
                  <w:r>
                    <w:rPr>
                      <w:rFonts w:hint="default" w:ascii="Times New Roman" w:hAnsi="Times New Roman" w:cs="Times New Roman"/>
                      <w:color w:val="000000"/>
                      <w:szCs w:val="21"/>
                    </w:rPr>
                    <w:t>产生的有机废气</w:t>
                  </w:r>
                  <w:r>
                    <w:rPr>
                      <w:rFonts w:hint="eastAsia" w:ascii="Times New Roman" w:hAnsi="Times New Roman" w:cs="Times New Roman"/>
                      <w:color w:val="000000"/>
                      <w:szCs w:val="21"/>
                      <w:lang w:eastAsia="zh-CN"/>
                    </w:rPr>
                    <w:t>由集气装置收集</w:t>
                  </w:r>
                  <w:r>
                    <w:rPr>
                      <w:rFonts w:hint="eastAsia" w:ascii="Times New Roman" w:hAnsi="Times New Roman" w:cs="Times New Roman"/>
                      <w:color w:val="000000"/>
                      <w:szCs w:val="21"/>
                    </w:rPr>
                    <w:t>，经</w:t>
                  </w:r>
                  <w:r>
                    <w:rPr>
                      <w:rFonts w:hint="eastAsia" w:ascii="Times New Roman" w:hAnsi="Times New Roman" w:cs="Times New Roman"/>
                      <w:color w:val="000000"/>
                      <w:szCs w:val="21"/>
                      <w:lang w:eastAsia="zh-CN"/>
                    </w:rPr>
                    <w:t>二级活性炭吸附装置</w:t>
                  </w:r>
                  <w:r>
                    <w:rPr>
                      <w:rFonts w:hint="eastAsia" w:ascii="Times New Roman" w:hAnsi="Times New Roman" w:cs="Times New Roman"/>
                      <w:color w:val="000000"/>
                      <w:szCs w:val="21"/>
                    </w:rPr>
                    <w:t>处理后，污染物排放满足</w:t>
                  </w:r>
                  <w:r>
                    <w:rPr>
                      <w:rFonts w:hint="eastAsia" w:ascii="Times New Roman" w:hAnsi="Times New Roman" w:eastAsia="宋体" w:cs="Times New Roman"/>
                      <w:color w:val="auto"/>
                      <w:sz w:val="21"/>
                      <w:szCs w:val="21"/>
                      <w:highlight w:val="none"/>
                      <w:lang w:eastAsia="zh-CN"/>
                    </w:rPr>
                    <w:t>《合成树脂工业污染物排放标准》(GB31572-2015，含2024年修改单)表5大气污染物特别排放限值要求</w:t>
                  </w:r>
                  <w:r>
                    <w:rPr>
                      <w:rFonts w:hint="eastAsia" w:ascii="Times New Roman" w:hAnsi="Times New Roman" w:cs="Times New Roman"/>
                      <w:color w:val="auto"/>
                      <w:sz w:val="21"/>
                      <w:szCs w:val="21"/>
                      <w:highlight w:val="none"/>
                      <w:lang w:eastAsia="zh-CN"/>
                    </w:rPr>
                    <w:t>、</w:t>
                  </w:r>
                  <w:r>
                    <w:rPr>
                      <w:rFonts w:hint="default" w:ascii="Times New Roman" w:hAnsi="Times New Roman" w:cs="Times New Roman"/>
                      <w:szCs w:val="21"/>
                    </w:rPr>
                    <w:t>《工业企业挥发性有机物排放控制标准》（DB13/2322-20</w:t>
                  </w:r>
                  <w:r>
                    <w:rPr>
                      <w:rFonts w:hint="eastAsia" w:cs="Times New Roman"/>
                      <w:szCs w:val="21"/>
                      <w:lang w:val="en-US" w:eastAsia="zh-CN"/>
                    </w:rPr>
                    <w:t>25</w:t>
                  </w:r>
                  <w:r>
                    <w:rPr>
                      <w:rFonts w:hint="default" w:ascii="Times New Roman" w:hAnsi="Times New Roman" w:cs="Times New Roman"/>
                      <w:szCs w:val="21"/>
                    </w:rPr>
                    <w:t>）表1中</w:t>
                  </w:r>
                  <w:r>
                    <w:rPr>
                      <w:rFonts w:hint="eastAsia" w:cs="Times New Roman"/>
                      <w:szCs w:val="21"/>
                      <w:lang w:eastAsia="zh-CN"/>
                    </w:rPr>
                    <w:t>塑料制品制造行业排放限值要求、《印刷工业挥发性有机物排放标准》（</w:t>
                  </w:r>
                  <w:r>
                    <w:rPr>
                      <w:rFonts w:hint="eastAsia" w:cs="Times New Roman"/>
                      <w:szCs w:val="21"/>
                      <w:lang w:val="en-US" w:eastAsia="zh-CN"/>
                    </w:rPr>
                    <w:t>DB13/6188-2025）</w:t>
                  </w:r>
                  <w:r>
                    <w:rPr>
                      <w:rFonts w:hint="default" w:ascii="Times New Roman" w:hAnsi="Times New Roman" w:cs="Times New Roman"/>
                      <w:szCs w:val="21"/>
                    </w:rPr>
                    <w:t>表1中</w:t>
                  </w:r>
                  <w:r>
                    <w:rPr>
                      <w:rFonts w:hint="eastAsia" w:cs="Times New Roman"/>
                      <w:szCs w:val="21"/>
                      <w:lang w:eastAsia="zh-CN"/>
                    </w:rPr>
                    <w:t>排放限值要求</w:t>
                  </w:r>
                  <w:r>
                    <w:rPr>
                      <w:rFonts w:hint="eastAsia" w:ascii="Times New Roman" w:hAnsi="Times New Roman" w:cs="Times New Roman"/>
                      <w:szCs w:val="21"/>
                      <w:lang w:eastAsia="zh-CN"/>
                    </w:rPr>
                    <w:t>。</w:t>
                  </w:r>
                </w:p>
              </w:tc>
              <w:tc>
                <w:tcPr>
                  <w:tcW w:w="496" w:type="dxa"/>
                  <w:noWrap w:val="0"/>
                  <w:vAlign w:val="center"/>
                </w:tcPr>
                <w:p w14:paraId="693E3737">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color w:val="auto"/>
                      <w:szCs w:val="21"/>
                      <w:lang w:eastAsia="en-US"/>
                    </w:rPr>
                  </w:pPr>
                  <w:r>
                    <w:rPr>
                      <w:rFonts w:hint="default" w:ascii="Times New Roman" w:hAnsi="Times New Roman" w:eastAsia="宋体" w:cs="Times New Roman"/>
                      <w:color w:val="auto"/>
                      <w:szCs w:val="21"/>
                      <w:lang w:val="en-US" w:eastAsia="zh-CN"/>
                    </w:rPr>
                    <w:t>符合</w:t>
                  </w:r>
                </w:p>
              </w:tc>
            </w:tr>
            <w:tr w14:paraId="1410BD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rPr>
              <w:tc>
                <w:tcPr>
                  <w:tcW w:w="833" w:type="dxa"/>
                  <w:vMerge w:val="continue"/>
                  <w:noWrap w:val="0"/>
                  <w:vAlign w:val="center"/>
                </w:tcPr>
                <w:p w14:paraId="7C2AA58C">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color w:val="auto"/>
                      <w:szCs w:val="21"/>
                      <w:lang w:val="en-US" w:eastAsia="zh-CN"/>
                    </w:rPr>
                  </w:pPr>
                </w:p>
              </w:tc>
              <w:tc>
                <w:tcPr>
                  <w:tcW w:w="4301" w:type="dxa"/>
                  <w:noWrap w:val="0"/>
                  <w:vAlign w:val="center"/>
                </w:tcPr>
                <w:p w14:paraId="02BA16E8">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both"/>
                    <w:textAlignment w:val="auto"/>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强化有毒有害大气污染物风险管控，积极推进大气汞排放控制。全面开展消耗臭氧层物质（ODS）排放治理，实施含氢氯氟烃（HCFCs）淘汰和替代，推动三氯甲烷（HFC-23）的销毁和转化。对石化、化工、制药、农药、橡胶、塑料等行业恶臭、异味实施深度治理。</w:t>
                  </w:r>
                </w:p>
              </w:tc>
              <w:tc>
                <w:tcPr>
                  <w:tcW w:w="2037" w:type="dxa"/>
                  <w:noWrap w:val="0"/>
                  <w:vAlign w:val="center"/>
                </w:tcPr>
                <w:p w14:paraId="4D8AD1C6">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both"/>
                    <w:textAlignment w:val="auto"/>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本项目为</w:t>
                  </w:r>
                  <w:r>
                    <w:rPr>
                      <w:rFonts w:hint="eastAsia" w:cs="Times New Roman"/>
                      <w:color w:val="auto"/>
                      <w:szCs w:val="21"/>
                      <w:lang w:val="en-US" w:eastAsia="zh-CN"/>
                    </w:rPr>
                    <w:t>塑料零件及其他塑料制品制造行业</w:t>
                  </w:r>
                  <w:r>
                    <w:rPr>
                      <w:rFonts w:hint="eastAsia" w:ascii="Times New Roman" w:hAnsi="Times New Roman" w:eastAsia="宋体" w:cs="Times New Roman"/>
                      <w:color w:val="auto"/>
                      <w:szCs w:val="21"/>
                      <w:lang w:val="en-US" w:eastAsia="zh-CN"/>
                    </w:rPr>
                    <w:t>，生产中药包装袋，</w:t>
                  </w:r>
                  <w:r>
                    <w:rPr>
                      <w:rFonts w:hint="eastAsia" w:ascii="Times New Roman" w:hAnsi="Times New Roman" w:cs="Times New Roman"/>
                      <w:color w:val="000000"/>
                      <w:szCs w:val="21"/>
                    </w:rPr>
                    <w:t>不涉及汞排放；项目涉及的大气污染物均按照相关要求采取风险管控措施；</w:t>
                  </w:r>
                  <w:r>
                    <w:rPr>
                      <w:rFonts w:hint="eastAsia" w:ascii="Times New Roman" w:hAnsi="Times New Roman" w:eastAsia="宋体" w:cs="Times New Roman"/>
                      <w:color w:val="auto"/>
                      <w:szCs w:val="21"/>
                      <w:highlight w:val="none"/>
                      <w:lang w:val="en-US" w:eastAsia="zh-CN"/>
                    </w:rPr>
                    <w:t>少量恶臭气体经二级活性炭吸附装置处理后达标排放</w:t>
                  </w:r>
                  <w:r>
                    <w:rPr>
                      <w:rFonts w:hint="eastAsia" w:ascii="Times New Roman" w:hAnsi="Times New Roman" w:cs="Times New Roman"/>
                      <w:color w:val="000000"/>
                      <w:szCs w:val="21"/>
                      <w:lang w:eastAsia="zh-CN"/>
                    </w:rPr>
                    <w:t>。</w:t>
                  </w:r>
                </w:p>
              </w:tc>
              <w:tc>
                <w:tcPr>
                  <w:tcW w:w="496" w:type="dxa"/>
                  <w:noWrap w:val="0"/>
                  <w:vAlign w:val="center"/>
                </w:tcPr>
                <w:p w14:paraId="714B8FAB">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color w:val="auto"/>
                      <w:szCs w:val="21"/>
                      <w:lang w:eastAsia="en-US"/>
                    </w:rPr>
                  </w:pPr>
                  <w:r>
                    <w:rPr>
                      <w:rFonts w:hint="default" w:ascii="Times New Roman" w:hAnsi="Times New Roman" w:eastAsia="宋体" w:cs="Times New Roman"/>
                      <w:color w:val="auto"/>
                      <w:szCs w:val="21"/>
                      <w:lang w:val="en-US" w:eastAsia="zh-CN"/>
                    </w:rPr>
                    <w:t>符合</w:t>
                  </w:r>
                </w:p>
              </w:tc>
            </w:tr>
            <w:tr w14:paraId="4D0CE1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833" w:type="dxa"/>
                  <w:vMerge w:val="restart"/>
                  <w:noWrap w:val="0"/>
                  <w:vAlign w:val="center"/>
                </w:tcPr>
                <w:p w14:paraId="4250D3F5">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《沧州渤海新区黄骅市生态环境保护</w:t>
                  </w:r>
                  <w:r>
                    <w:rPr>
                      <w:rFonts w:hint="eastAsia" w:ascii="Times New Roman" w:hAnsi="Times New Roman" w:eastAsia="宋体" w:cs="Times New Roman"/>
                      <w:color w:val="auto"/>
                      <w:szCs w:val="21"/>
                      <w:lang w:val="en-US" w:eastAsia="zh-CN"/>
                    </w:rPr>
                    <w:t>“</w:t>
                  </w:r>
                  <w:r>
                    <w:rPr>
                      <w:rFonts w:hint="default" w:ascii="Times New Roman" w:hAnsi="Times New Roman" w:eastAsia="宋体" w:cs="Times New Roman"/>
                      <w:color w:val="auto"/>
                      <w:szCs w:val="21"/>
                      <w:lang w:val="en-US" w:eastAsia="zh-CN"/>
                    </w:rPr>
                    <w:t>十四五</w:t>
                  </w:r>
                  <w:r>
                    <w:rPr>
                      <w:rFonts w:hint="eastAsia" w:ascii="Times New Roman" w:hAnsi="Times New Roman" w:eastAsia="宋体" w:cs="Times New Roman"/>
                      <w:color w:val="auto"/>
                      <w:szCs w:val="21"/>
                      <w:lang w:val="en-US" w:eastAsia="zh-CN"/>
                    </w:rPr>
                    <w:t>”</w:t>
                  </w:r>
                  <w:r>
                    <w:rPr>
                      <w:rFonts w:hint="default" w:ascii="Times New Roman" w:hAnsi="Times New Roman" w:eastAsia="宋体" w:cs="Times New Roman"/>
                      <w:color w:val="auto"/>
                      <w:szCs w:val="21"/>
                      <w:lang w:val="en-US" w:eastAsia="zh-CN"/>
                    </w:rPr>
                    <w:t>规划》</w:t>
                  </w:r>
                </w:p>
              </w:tc>
              <w:tc>
                <w:tcPr>
                  <w:tcW w:w="4301" w:type="dxa"/>
                  <w:noWrap w:val="0"/>
                  <w:vAlign w:val="center"/>
                </w:tcPr>
                <w:p w14:paraId="67CBA2F8">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both"/>
                    <w:textAlignment w:val="auto"/>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深化挥发性有机物（VOCs）治理。以石化、化工、涂装、医药、包装印刷、油品储运销等行业领域为重点，安全高效推进挥发性有机物（VOCs）综合治理，实施原辅材料和产品源头替代、无组织排放和末端深度治理等提升改造工程。取消非必要的挥发性有机物（VOCs）废气排放系统旁路，必须保留的加强监管与治理。推行加油站夏季高温时段错时段装卸油，提倡建筑墙体涂刷、建筑装饰以及道路划线、栏杆喷涂、沥青铺装等户外工程错时作业。加强汽修行业挥发性有机物（VOCs）综合治理，加大餐饮油烟污染治理力度。</w:t>
                  </w:r>
                </w:p>
              </w:tc>
              <w:tc>
                <w:tcPr>
                  <w:tcW w:w="2037" w:type="dxa"/>
                  <w:noWrap w:val="0"/>
                  <w:vAlign w:val="center"/>
                </w:tcPr>
                <w:p w14:paraId="14BF2B81">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both"/>
                    <w:textAlignment w:val="auto"/>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本项目为</w:t>
                  </w:r>
                  <w:r>
                    <w:rPr>
                      <w:rFonts w:hint="eastAsia" w:cs="Times New Roman"/>
                      <w:color w:val="auto"/>
                      <w:szCs w:val="21"/>
                      <w:lang w:val="en-US" w:eastAsia="zh-CN"/>
                    </w:rPr>
                    <w:t>塑料零件及其他塑料制品制造行业</w:t>
                  </w:r>
                  <w:r>
                    <w:rPr>
                      <w:rFonts w:hint="eastAsia" w:ascii="Times New Roman" w:hAnsi="Times New Roman" w:eastAsia="宋体" w:cs="Times New Roman"/>
                      <w:color w:val="auto"/>
                      <w:szCs w:val="21"/>
                      <w:lang w:val="en-US" w:eastAsia="zh-CN"/>
                    </w:rPr>
                    <w:t>，</w:t>
                  </w:r>
                  <w:r>
                    <w:rPr>
                      <w:rFonts w:hint="eastAsia" w:ascii="Times New Roman" w:hAnsi="Times New Roman" w:cs="Times New Roman"/>
                      <w:color w:val="000000"/>
                      <w:szCs w:val="21"/>
                    </w:rPr>
                    <w:t>生产过程中</w:t>
                  </w:r>
                  <w:r>
                    <w:rPr>
                      <w:rFonts w:hint="default" w:ascii="Times New Roman" w:hAnsi="Times New Roman" w:cs="Times New Roman"/>
                      <w:color w:val="000000"/>
                      <w:szCs w:val="21"/>
                    </w:rPr>
                    <w:t>产生的有机废气</w:t>
                  </w:r>
                  <w:r>
                    <w:rPr>
                      <w:rFonts w:hint="eastAsia" w:ascii="Times New Roman" w:hAnsi="Times New Roman" w:cs="Times New Roman"/>
                      <w:color w:val="000000"/>
                      <w:szCs w:val="21"/>
                      <w:lang w:eastAsia="zh-CN"/>
                    </w:rPr>
                    <w:t>由集气装置收集</w:t>
                  </w:r>
                  <w:r>
                    <w:rPr>
                      <w:rFonts w:hint="eastAsia" w:ascii="Times New Roman" w:hAnsi="Times New Roman" w:cs="Times New Roman"/>
                      <w:color w:val="000000"/>
                      <w:szCs w:val="21"/>
                    </w:rPr>
                    <w:t>，经</w:t>
                  </w:r>
                  <w:r>
                    <w:rPr>
                      <w:rFonts w:hint="eastAsia" w:ascii="Times New Roman" w:hAnsi="Times New Roman" w:cs="Times New Roman"/>
                      <w:color w:val="000000"/>
                      <w:szCs w:val="21"/>
                      <w:lang w:eastAsia="zh-CN"/>
                    </w:rPr>
                    <w:t>二级活性炭吸附装置</w:t>
                  </w:r>
                  <w:r>
                    <w:rPr>
                      <w:rFonts w:hint="eastAsia" w:ascii="Times New Roman" w:hAnsi="Times New Roman" w:cs="Times New Roman"/>
                      <w:color w:val="000000"/>
                      <w:szCs w:val="21"/>
                    </w:rPr>
                    <w:t>处理后，污染物排放满足</w:t>
                  </w:r>
                  <w:r>
                    <w:rPr>
                      <w:rFonts w:hint="eastAsia" w:ascii="Times New Roman" w:hAnsi="Times New Roman" w:eastAsia="宋体" w:cs="Times New Roman"/>
                      <w:color w:val="auto"/>
                      <w:sz w:val="21"/>
                      <w:szCs w:val="21"/>
                      <w:highlight w:val="none"/>
                      <w:lang w:eastAsia="zh-CN"/>
                    </w:rPr>
                    <w:t>《合成树脂工业污染物排放标准》(GB31572-2015，含2024年修改单)表5大气污染物特别排放限值要求</w:t>
                  </w:r>
                  <w:r>
                    <w:rPr>
                      <w:rFonts w:hint="eastAsia" w:ascii="Times New Roman" w:hAnsi="Times New Roman" w:cs="Times New Roman"/>
                      <w:color w:val="auto"/>
                      <w:sz w:val="21"/>
                      <w:szCs w:val="21"/>
                      <w:highlight w:val="none"/>
                      <w:lang w:eastAsia="zh-CN"/>
                    </w:rPr>
                    <w:t>、</w:t>
                  </w:r>
                  <w:r>
                    <w:rPr>
                      <w:rFonts w:hint="default" w:ascii="Times New Roman" w:hAnsi="Times New Roman" w:cs="Times New Roman"/>
                      <w:szCs w:val="21"/>
                    </w:rPr>
                    <w:t>《工业企业挥发性有机物排放控制标准》（DB13/2322-20</w:t>
                  </w:r>
                  <w:r>
                    <w:rPr>
                      <w:rFonts w:hint="eastAsia" w:cs="Times New Roman"/>
                      <w:szCs w:val="21"/>
                      <w:lang w:val="en-US" w:eastAsia="zh-CN"/>
                    </w:rPr>
                    <w:t>25</w:t>
                  </w:r>
                  <w:r>
                    <w:rPr>
                      <w:rFonts w:hint="default" w:ascii="Times New Roman" w:hAnsi="Times New Roman" w:cs="Times New Roman"/>
                      <w:szCs w:val="21"/>
                    </w:rPr>
                    <w:t>）表1中</w:t>
                  </w:r>
                  <w:r>
                    <w:rPr>
                      <w:rFonts w:hint="eastAsia" w:cs="Times New Roman"/>
                      <w:szCs w:val="21"/>
                      <w:lang w:eastAsia="zh-CN"/>
                    </w:rPr>
                    <w:t>塑料制品制造行业排放限值要求、《印刷工业挥发性有机物排放标准》（</w:t>
                  </w:r>
                  <w:r>
                    <w:rPr>
                      <w:rFonts w:hint="eastAsia" w:cs="Times New Roman"/>
                      <w:szCs w:val="21"/>
                      <w:lang w:val="en-US" w:eastAsia="zh-CN"/>
                    </w:rPr>
                    <w:t>DB13/6188-2025）</w:t>
                  </w:r>
                  <w:r>
                    <w:rPr>
                      <w:rFonts w:hint="default" w:ascii="Times New Roman" w:hAnsi="Times New Roman" w:cs="Times New Roman"/>
                      <w:szCs w:val="21"/>
                    </w:rPr>
                    <w:t>表1中</w:t>
                  </w:r>
                  <w:r>
                    <w:rPr>
                      <w:rFonts w:hint="eastAsia" w:cs="Times New Roman"/>
                      <w:szCs w:val="21"/>
                      <w:lang w:eastAsia="zh-CN"/>
                    </w:rPr>
                    <w:t>排放限值要求</w:t>
                  </w:r>
                  <w:r>
                    <w:rPr>
                      <w:rFonts w:hint="eastAsia" w:ascii="Times New Roman" w:hAnsi="Times New Roman" w:cs="Times New Roman"/>
                      <w:szCs w:val="21"/>
                      <w:lang w:eastAsia="zh-CN"/>
                    </w:rPr>
                    <w:t>。</w:t>
                  </w:r>
                </w:p>
              </w:tc>
              <w:tc>
                <w:tcPr>
                  <w:tcW w:w="496" w:type="dxa"/>
                  <w:noWrap w:val="0"/>
                  <w:vAlign w:val="center"/>
                </w:tcPr>
                <w:p w14:paraId="62A5AD24">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符合</w:t>
                  </w:r>
                </w:p>
              </w:tc>
            </w:tr>
            <w:tr w14:paraId="4BF2A0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33" w:type="dxa"/>
                  <w:vMerge w:val="continue"/>
                  <w:noWrap w:val="0"/>
                  <w:vAlign w:val="center"/>
                </w:tcPr>
                <w:p w14:paraId="6AAEA7F5">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default" w:ascii="Times New Roman" w:hAnsi="Times New Roman" w:cs="Times New Roman"/>
                    </w:rPr>
                  </w:pPr>
                </w:p>
              </w:tc>
              <w:tc>
                <w:tcPr>
                  <w:tcW w:w="4301" w:type="dxa"/>
                  <w:noWrap w:val="0"/>
                  <w:vAlign w:val="center"/>
                </w:tcPr>
                <w:p w14:paraId="38381D3B">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both"/>
                    <w:textAlignment w:val="auto"/>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2.强化扬尘精细化管控。落实《河北省扬尘污染防治办法》，健全扬尘管控体系确定扬尘重点污染源和动态管理清单。严格执行河北省《河北省施工场地扬尘排放标准》，全力推进建筑工程、城市道路、公路、城乡裸露地面等扬尘源管控，压实企业主体责任，全面落实建筑施工</w:t>
                  </w:r>
                  <w:r>
                    <w:rPr>
                      <w:rFonts w:hint="eastAsia" w:ascii="Times New Roman" w:hAnsi="Times New Roman" w:eastAsia="宋体" w:cs="Times New Roman"/>
                      <w:color w:val="auto"/>
                      <w:szCs w:val="21"/>
                      <w:lang w:val="en-US" w:eastAsia="zh-CN"/>
                    </w:rPr>
                    <w:t>“</w:t>
                  </w:r>
                  <w:r>
                    <w:rPr>
                      <w:rFonts w:hint="default" w:ascii="Times New Roman" w:hAnsi="Times New Roman" w:eastAsia="宋体" w:cs="Times New Roman"/>
                      <w:color w:val="auto"/>
                      <w:szCs w:val="21"/>
                      <w:lang w:val="en-US" w:eastAsia="zh-CN"/>
                    </w:rPr>
                    <w:t>六个百分百</w:t>
                  </w:r>
                  <w:r>
                    <w:rPr>
                      <w:rFonts w:hint="eastAsia" w:ascii="Times New Roman" w:hAnsi="Times New Roman" w:eastAsia="宋体" w:cs="Times New Roman"/>
                      <w:color w:val="auto"/>
                      <w:szCs w:val="21"/>
                      <w:lang w:val="en-US" w:eastAsia="zh-CN"/>
                    </w:rPr>
                    <w:t>”</w:t>
                  </w:r>
                  <w:r>
                    <w:rPr>
                      <w:rFonts w:hint="default" w:ascii="Times New Roman" w:hAnsi="Times New Roman" w:eastAsia="宋体" w:cs="Times New Roman"/>
                      <w:color w:val="auto"/>
                      <w:szCs w:val="21"/>
                      <w:lang w:val="en-US" w:eastAsia="zh-CN"/>
                    </w:rPr>
                    <w:t>和视频监控、PM</w:t>
                  </w:r>
                  <w:r>
                    <w:rPr>
                      <w:rFonts w:hint="default" w:ascii="Times New Roman" w:hAnsi="Times New Roman" w:eastAsia="宋体" w:cs="Times New Roman"/>
                      <w:color w:val="auto"/>
                      <w:szCs w:val="21"/>
                      <w:vertAlign w:val="subscript"/>
                      <w:lang w:val="en-US" w:eastAsia="zh-CN"/>
                    </w:rPr>
                    <w:t>10</w:t>
                  </w:r>
                  <w:r>
                    <w:rPr>
                      <w:rFonts w:hint="default" w:ascii="Times New Roman" w:hAnsi="Times New Roman" w:eastAsia="宋体" w:cs="Times New Roman"/>
                      <w:color w:val="auto"/>
                      <w:szCs w:val="21"/>
                      <w:lang w:val="en-US" w:eastAsia="zh-CN"/>
                    </w:rPr>
                    <w:t>在线监测全覆盖。</w:t>
                  </w:r>
                </w:p>
              </w:tc>
              <w:tc>
                <w:tcPr>
                  <w:tcW w:w="2037" w:type="dxa"/>
                  <w:noWrap w:val="0"/>
                  <w:vAlign w:val="center"/>
                </w:tcPr>
                <w:p w14:paraId="57A6A598">
                  <w:pPr>
                    <w:keepNext w:val="0"/>
                    <w:keepLines w:val="0"/>
                    <w:suppressLineNumbers w:val="0"/>
                    <w:adjustRightInd w:val="0"/>
                    <w:snapToGrid w:val="0"/>
                    <w:spacing w:before="0" w:beforeAutospacing="0" w:after="0" w:afterAutospacing="0"/>
                    <w:ind w:left="0" w:right="0"/>
                    <w:jc w:val="both"/>
                    <w:rPr>
                      <w:rFonts w:hint="eastAsia" w:ascii="宋体" w:hAnsi="宋体" w:eastAsia="宋体" w:cs="宋体"/>
                      <w:kern w:val="2"/>
                      <w:sz w:val="21"/>
                      <w:szCs w:val="21"/>
                      <w:lang w:val="en-US" w:eastAsia="zh-CN" w:bidi="ar-SA"/>
                    </w:rPr>
                  </w:pPr>
                  <w:r>
                    <w:rPr>
                      <w:rFonts w:hint="eastAsia" w:ascii="宋体" w:hAnsi="宋体" w:eastAsia="宋体" w:cs="宋体"/>
                      <w:szCs w:val="21"/>
                    </w:rPr>
                    <w:t>本项目施工期严格执行《河北省施工场地扬尘排放标准》</w:t>
                  </w:r>
                  <w:r>
                    <w:rPr>
                      <w:rFonts w:hint="eastAsia" w:ascii="宋体" w:hAnsi="宋体" w:eastAsia="宋体" w:cs="宋体"/>
                      <w:kern w:val="0"/>
                      <w:szCs w:val="21"/>
                    </w:rPr>
                    <w:t>。</w:t>
                  </w:r>
                </w:p>
              </w:tc>
              <w:tc>
                <w:tcPr>
                  <w:tcW w:w="496" w:type="dxa"/>
                  <w:noWrap w:val="0"/>
                  <w:vAlign w:val="center"/>
                </w:tcPr>
                <w:p w14:paraId="272F6078">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kern w:val="2"/>
                      <w:sz w:val="21"/>
                      <w:szCs w:val="21"/>
                      <w:lang w:val="en-US" w:eastAsia="zh-CN" w:bidi="ar-SA"/>
                    </w:rPr>
                  </w:pPr>
                  <w:r>
                    <w:rPr>
                      <w:rFonts w:hint="eastAsia" w:ascii="宋体" w:hAnsi="宋体" w:eastAsia="宋体" w:cs="宋体"/>
                      <w:szCs w:val="21"/>
                    </w:rPr>
                    <w:t>符合</w:t>
                  </w:r>
                </w:p>
              </w:tc>
            </w:tr>
            <w:tr w14:paraId="5639E3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833" w:type="dxa"/>
                  <w:vMerge w:val="continue"/>
                  <w:noWrap w:val="0"/>
                  <w:vAlign w:val="center"/>
                </w:tcPr>
                <w:p w14:paraId="1A9781E2">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color w:val="auto"/>
                      <w:szCs w:val="21"/>
                      <w:lang w:val="en-US" w:eastAsia="zh-CN"/>
                    </w:rPr>
                  </w:pPr>
                </w:p>
              </w:tc>
              <w:tc>
                <w:tcPr>
                  <w:tcW w:w="4301" w:type="dxa"/>
                  <w:noWrap w:val="0"/>
                  <w:vAlign w:val="center"/>
                </w:tcPr>
                <w:p w14:paraId="7FDF079E">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both"/>
                    <w:textAlignment w:val="auto"/>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3.调查、评估重点工业行业危险废物产生、贮存、转移、利用、处置情况，统筹区域危险废物利用处置能力建设，严格危险废物经营许可审批进一步优化危险废物利用处置能力结构，调整建设布局。排查危险废物产废企业和经营企业，严防危险废物非法转移、倾倒、处置。鼓励危险废物产生单位自建、工业园区配套建设利用处置设施，实现就近安全利用处置。</w:t>
                  </w:r>
                </w:p>
              </w:tc>
              <w:tc>
                <w:tcPr>
                  <w:tcW w:w="2037" w:type="dxa"/>
                  <w:noWrap w:val="0"/>
                  <w:vAlign w:val="center"/>
                </w:tcPr>
                <w:p w14:paraId="61D3651B">
                  <w:pPr>
                    <w:keepNext w:val="0"/>
                    <w:keepLines w:val="0"/>
                    <w:suppressLineNumbers w:val="0"/>
                    <w:adjustRightInd w:val="0"/>
                    <w:snapToGrid w:val="0"/>
                    <w:spacing w:before="0" w:beforeAutospacing="0" w:after="0" w:afterAutospacing="0"/>
                    <w:ind w:left="0" w:right="0"/>
                    <w:jc w:val="both"/>
                    <w:rPr>
                      <w:rFonts w:hint="eastAsia" w:ascii="宋体" w:hAnsi="宋体" w:eastAsia="宋体" w:cs="宋体"/>
                      <w:kern w:val="2"/>
                      <w:sz w:val="21"/>
                      <w:szCs w:val="21"/>
                      <w:lang w:val="en-US" w:eastAsia="zh-CN" w:bidi="ar-SA"/>
                    </w:rPr>
                  </w:pPr>
                  <w:r>
                    <w:rPr>
                      <w:rFonts w:hint="eastAsia" w:ascii="宋体" w:hAnsi="宋体" w:eastAsia="宋体" w:cs="宋体"/>
                      <w:szCs w:val="21"/>
                    </w:rPr>
                    <w:t>本项目严格执行危险废物收集贮存转运相关规范。</w:t>
                  </w:r>
                </w:p>
              </w:tc>
              <w:tc>
                <w:tcPr>
                  <w:tcW w:w="496" w:type="dxa"/>
                  <w:noWrap w:val="0"/>
                  <w:vAlign w:val="center"/>
                </w:tcPr>
                <w:p w14:paraId="0A404A18">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kern w:val="2"/>
                      <w:sz w:val="21"/>
                      <w:szCs w:val="21"/>
                      <w:lang w:val="en-US" w:eastAsia="zh-CN" w:bidi="ar-SA"/>
                    </w:rPr>
                  </w:pPr>
                  <w:r>
                    <w:rPr>
                      <w:rFonts w:hint="eastAsia" w:ascii="宋体" w:hAnsi="宋体" w:eastAsia="宋体" w:cs="宋体"/>
                      <w:szCs w:val="21"/>
                    </w:rPr>
                    <w:t>符合</w:t>
                  </w:r>
                </w:p>
              </w:tc>
            </w:tr>
          </w:tbl>
          <w:p w14:paraId="56BD11E6">
            <w:pPr>
              <w:pStyle w:val="13"/>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leftChars="0" w:right="0" w:firstLine="480" w:firstLineChars="200"/>
              <w:jc w:val="both"/>
              <w:textAlignment w:val="auto"/>
              <w:rPr>
                <w:rFonts w:hint="eastAsia" w:ascii="Times New Roman" w:hAnsi="Times New Roman" w:eastAsia="宋体" w:cs="Times New Roman"/>
                <w:b/>
                <w:bCs/>
                <w:color w:val="auto"/>
                <w:kern w:val="0"/>
                <w:sz w:val="24"/>
                <w:szCs w:val="24"/>
                <w:highlight w:val="none"/>
                <w:lang w:val="en-US" w:eastAsia="zh-CN" w:bidi="ar-SA"/>
              </w:rPr>
            </w:pPr>
            <w:r>
              <w:rPr>
                <w:rFonts w:hint="eastAsia" w:ascii="Times New Roman" w:hAnsi="Times New Roman" w:eastAsia="宋体" w:cs="Times New Roman"/>
                <w:b w:val="0"/>
                <w:bCs w:val="0"/>
                <w:color w:val="auto"/>
                <w:kern w:val="0"/>
                <w:sz w:val="24"/>
                <w:szCs w:val="24"/>
                <w:highlight w:val="none"/>
                <w:lang w:val="en-US" w:eastAsia="zh-CN" w:bidi="ar-SA"/>
              </w:rPr>
              <w:t>根据上表，本项目符合</w:t>
            </w:r>
            <w:r>
              <w:rPr>
                <w:rFonts w:hint="default" w:ascii="Times New Roman" w:hAnsi="Times New Roman" w:eastAsia="宋体" w:cs="Times New Roman"/>
                <w:color w:val="auto"/>
                <w:kern w:val="0"/>
                <w:sz w:val="24"/>
                <w:highlight w:val="none"/>
                <w:lang w:val="en-US" w:eastAsia="zh-CN"/>
              </w:rPr>
              <w:t>《河北省人民政府关于印发河北省生态环境保护</w:t>
            </w:r>
            <w:r>
              <w:rPr>
                <w:rFonts w:hint="eastAsia" w:ascii="Times New Roman" w:hAnsi="Times New Roman" w:eastAsia="宋体" w:cs="Times New Roman"/>
                <w:color w:val="auto"/>
                <w:kern w:val="0"/>
                <w:sz w:val="24"/>
                <w:highlight w:val="none"/>
                <w:lang w:val="en-US" w:eastAsia="zh-CN"/>
              </w:rPr>
              <w:t>“</w:t>
            </w:r>
            <w:r>
              <w:rPr>
                <w:rFonts w:hint="default" w:ascii="Times New Roman" w:hAnsi="Times New Roman" w:eastAsia="宋体" w:cs="Times New Roman"/>
                <w:color w:val="auto"/>
                <w:kern w:val="0"/>
                <w:sz w:val="24"/>
                <w:highlight w:val="none"/>
                <w:lang w:val="en-US" w:eastAsia="zh-CN"/>
              </w:rPr>
              <w:t>十四五</w:t>
            </w:r>
            <w:r>
              <w:rPr>
                <w:rFonts w:hint="eastAsia" w:ascii="Times New Roman" w:hAnsi="Times New Roman" w:eastAsia="宋体" w:cs="Times New Roman"/>
                <w:color w:val="auto"/>
                <w:kern w:val="0"/>
                <w:sz w:val="24"/>
                <w:highlight w:val="none"/>
                <w:lang w:val="en-US" w:eastAsia="zh-CN"/>
              </w:rPr>
              <w:t>”</w:t>
            </w:r>
            <w:r>
              <w:rPr>
                <w:rFonts w:hint="default" w:ascii="Times New Roman" w:hAnsi="Times New Roman" w:eastAsia="宋体" w:cs="Times New Roman"/>
                <w:color w:val="auto"/>
                <w:kern w:val="0"/>
                <w:sz w:val="24"/>
                <w:highlight w:val="none"/>
                <w:lang w:val="en-US" w:eastAsia="zh-CN"/>
              </w:rPr>
              <w:t>规划的通知》、《河北省建设京津冀生态环境支撑区</w:t>
            </w:r>
            <w:r>
              <w:rPr>
                <w:rFonts w:hint="eastAsia" w:ascii="Times New Roman" w:hAnsi="Times New Roman" w:eastAsia="宋体" w:cs="Times New Roman"/>
                <w:color w:val="auto"/>
                <w:kern w:val="0"/>
                <w:sz w:val="24"/>
                <w:highlight w:val="none"/>
                <w:lang w:val="en-US" w:eastAsia="zh-CN"/>
              </w:rPr>
              <w:t>“</w:t>
            </w:r>
            <w:r>
              <w:rPr>
                <w:rFonts w:hint="default" w:ascii="Times New Roman" w:hAnsi="Times New Roman" w:eastAsia="宋体" w:cs="Times New Roman"/>
                <w:color w:val="auto"/>
                <w:kern w:val="0"/>
                <w:sz w:val="24"/>
                <w:highlight w:val="none"/>
                <w:lang w:val="en-US" w:eastAsia="zh-CN"/>
              </w:rPr>
              <w:t>十四五</w:t>
            </w:r>
            <w:r>
              <w:rPr>
                <w:rFonts w:hint="eastAsia" w:ascii="Times New Roman" w:hAnsi="Times New Roman" w:eastAsia="宋体" w:cs="Times New Roman"/>
                <w:color w:val="auto"/>
                <w:kern w:val="0"/>
                <w:sz w:val="24"/>
                <w:highlight w:val="none"/>
                <w:lang w:val="en-US" w:eastAsia="zh-CN"/>
              </w:rPr>
              <w:t>”</w:t>
            </w:r>
            <w:r>
              <w:rPr>
                <w:rFonts w:hint="default" w:ascii="Times New Roman" w:hAnsi="Times New Roman" w:eastAsia="宋体" w:cs="Times New Roman"/>
                <w:color w:val="auto"/>
                <w:kern w:val="0"/>
                <w:sz w:val="24"/>
                <w:highlight w:val="none"/>
                <w:lang w:val="en-US" w:eastAsia="zh-CN"/>
              </w:rPr>
              <w:t>规划》、《沧州市生态环境保护</w:t>
            </w:r>
            <w:r>
              <w:rPr>
                <w:rFonts w:hint="eastAsia" w:ascii="Times New Roman" w:hAnsi="Times New Roman" w:eastAsia="宋体" w:cs="Times New Roman"/>
                <w:color w:val="auto"/>
                <w:kern w:val="0"/>
                <w:sz w:val="24"/>
                <w:highlight w:val="none"/>
                <w:lang w:val="en-US" w:eastAsia="zh-CN"/>
              </w:rPr>
              <w:t>“</w:t>
            </w:r>
            <w:r>
              <w:rPr>
                <w:rFonts w:hint="default" w:ascii="Times New Roman" w:hAnsi="Times New Roman" w:eastAsia="宋体" w:cs="Times New Roman"/>
                <w:color w:val="auto"/>
                <w:kern w:val="0"/>
                <w:sz w:val="24"/>
                <w:highlight w:val="none"/>
                <w:lang w:val="en-US" w:eastAsia="zh-CN"/>
              </w:rPr>
              <w:t>十四五</w:t>
            </w:r>
            <w:r>
              <w:rPr>
                <w:rFonts w:hint="eastAsia" w:ascii="Times New Roman" w:hAnsi="Times New Roman" w:eastAsia="宋体" w:cs="Times New Roman"/>
                <w:color w:val="auto"/>
                <w:kern w:val="0"/>
                <w:sz w:val="24"/>
                <w:highlight w:val="none"/>
                <w:lang w:val="en-US" w:eastAsia="zh-CN"/>
              </w:rPr>
              <w:t>”</w:t>
            </w:r>
            <w:r>
              <w:rPr>
                <w:rFonts w:hint="default" w:ascii="Times New Roman" w:hAnsi="Times New Roman" w:eastAsia="宋体" w:cs="Times New Roman"/>
                <w:color w:val="auto"/>
                <w:kern w:val="0"/>
                <w:sz w:val="24"/>
                <w:highlight w:val="none"/>
                <w:lang w:val="en-US" w:eastAsia="zh-CN"/>
              </w:rPr>
              <w:t>规划》</w:t>
            </w:r>
            <w:r>
              <w:rPr>
                <w:rFonts w:hint="eastAsia" w:ascii="Times New Roman" w:hAnsi="Times New Roman" w:eastAsia="宋体" w:cs="Times New Roman"/>
                <w:color w:val="auto"/>
                <w:kern w:val="0"/>
                <w:sz w:val="24"/>
                <w:highlight w:val="none"/>
                <w:lang w:val="en-US" w:eastAsia="zh-CN"/>
              </w:rPr>
              <w:t>、《沧州渤海新区黄骅市生态环境保护“十四五”规划》中的相关要求。</w:t>
            </w:r>
          </w:p>
          <w:p w14:paraId="6C31585D">
            <w:pPr>
              <w:pStyle w:val="1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Autospacing="0" w:line="360" w:lineRule="auto"/>
              <w:ind w:left="0" w:leftChars="0" w:right="0" w:firstLine="0" w:firstLineChars="0"/>
              <w:jc w:val="left"/>
              <w:textAlignment w:val="auto"/>
              <w:rPr>
                <w:rFonts w:hint="default" w:ascii="Times New Roman" w:hAnsi="Times New Roman" w:eastAsia="宋体" w:cs="Times New Roman"/>
                <w:b/>
                <w:bCs/>
                <w:color w:val="auto"/>
                <w:kern w:val="0"/>
                <w:sz w:val="24"/>
                <w:szCs w:val="24"/>
                <w:highlight w:val="none"/>
                <w:lang w:val="en-US" w:eastAsia="zh-CN" w:bidi="ar-SA"/>
              </w:rPr>
            </w:pPr>
            <w:r>
              <w:rPr>
                <w:rFonts w:hint="eastAsia" w:ascii="Times New Roman" w:hAnsi="Times New Roman" w:eastAsia="宋体" w:cs="Times New Roman"/>
                <w:b/>
                <w:bCs/>
                <w:color w:val="auto"/>
                <w:kern w:val="0"/>
                <w:sz w:val="24"/>
                <w:szCs w:val="24"/>
                <w:highlight w:val="none"/>
                <w:lang w:val="en-US" w:eastAsia="zh-CN" w:bidi="ar-SA"/>
              </w:rPr>
              <w:t>5、</w:t>
            </w:r>
            <w:r>
              <w:rPr>
                <w:rFonts w:hint="default" w:ascii="Times New Roman" w:hAnsi="Times New Roman" w:eastAsia="宋体" w:cs="Times New Roman"/>
                <w:b/>
                <w:bCs/>
                <w:color w:val="auto"/>
                <w:kern w:val="0"/>
                <w:sz w:val="24"/>
                <w:szCs w:val="24"/>
                <w:highlight w:val="none"/>
                <w:lang w:val="en-US" w:eastAsia="zh-CN" w:bidi="ar-SA"/>
              </w:rPr>
              <w:t>与VOC</w:t>
            </w:r>
            <w:r>
              <w:rPr>
                <w:rFonts w:hint="default" w:ascii="Times New Roman" w:hAnsi="Times New Roman" w:eastAsia="宋体" w:cs="Times New Roman"/>
                <w:b/>
                <w:bCs/>
                <w:color w:val="auto"/>
                <w:kern w:val="0"/>
                <w:sz w:val="24"/>
                <w:szCs w:val="24"/>
                <w:highlight w:val="none"/>
                <w:vertAlign w:val="subscript"/>
                <w:lang w:val="en-US" w:eastAsia="zh-CN" w:bidi="ar-SA"/>
              </w:rPr>
              <w:t>S</w:t>
            </w:r>
            <w:r>
              <w:rPr>
                <w:rFonts w:hint="default" w:ascii="Times New Roman" w:hAnsi="Times New Roman" w:eastAsia="宋体" w:cs="Times New Roman"/>
                <w:b/>
                <w:bCs/>
                <w:color w:val="auto"/>
                <w:kern w:val="0"/>
                <w:sz w:val="24"/>
                <w:szCs w:val="24"/>
                <w:highlight w:val="none"/>
                <w:lang w:val="en-US" w:eastAsia="zh-CN" w:bidi="ar-SA"/>
              </w:rPr>
              <w:t>污染防治技术政策符合性分析</w:t>
            </w:r>
          </w:p>
          <w:p w14:paraId="2F97E65F">
            <w:pPr>
              <w:pStyle w:val="1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eastAsia" w:ascii="Times New Roman" w:hAnsi="Times New Roman" w:eastAsia="宋体" w:cs="Times New Roman"/>
                <w:b/>
                <w:bCs/>
                <w:color w:val="000000"/>
                <w:kern w:val="0"/>
                <w:sz w:val="21"/>
                <w:szCs w:val="21"/>
                <w:lang w:val="en-US" w:eastAsia="zh-CN" w:bidi="ar-SA"/>
              </w:rPr>
            </w:pPr>
            <w:r>
              <w:rPr>
                <w:rFonts w:hint="default" w:ascii="Times New Roman" w:hAnsi="Times New Roman" w:eastAsia="宋体" w:cs="Times New Roman"/>
                <w:snapToGrid w:val="0"/>
                <w:kern w:val="0"/>
                <w:sz w:val="24"/>
                <w:szCs w:val="24"/>
                <w:lang w:val="en-US" w:eastAsia="zh-CN" w:bidi="en-US"/>
              </w:rPr>
              <w:t>本项目与国家、地方环保管理政策符合性分析结果见</w:t>
            </w:r>
            <w:r>
              <w:rPr>
                <w:rFonts w:hint="eastAsia" w:ascii="Times New Roman" w:hAnsi="Times New Roman" w:eastAsia="宋体" w:cs="Times New Roman"/>
                <w:snapToGrid w:val="0"/>
                <w:kern w:val="0"/>
                <w:sz w:val="24"/>
                <w:szCs w:val="24"/>
                <w:lang w:val="en-US" w:eastAsia="zh-CN" w:bidi="en-US"/>
              </w:rPr>
              <w:t>下表</w:t>
            </w:r>
            <w:r>
              <w:rPr>
                <w:rFonts w:hint="default" w:ascii="Times New Roman" w:hAnsi="Times New Roman" w:eastAsia="宋体" w:cs="Times New Roman"/>
                <w:snapToGrid w:val="0"/>
                <w:kern w:val="0"/>
                <w:sz w:val="24"/>
                <w:szCs w:val="24"/>
                <w:lang w:val="en-US" w:eastAsia="zh-CN" w:bidi="en-US"/>
              </w:rPr>
              <w:t>。</w:t>
            </w:r>
          </w:p>
          <w:p w14:paraId="78EB163D">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Autospacing="0" w:line="240" w:lineRule="auto"/>
              <w:ind w:left="0" w:right="0" w:firstLine="422" w:firstLineChars="200"/>
              <w:jc w:val="center"/>
              <w:textAlignment w:val="auto"/>
              <w:rPr>
                <w:rFonts w:hint="eastAsia" w:ascii="宋体" w:hAnsi="宋体" w:eastAsia="宋体" w:cs="宋体"/>
                <w:color w:val="auto"/>
                <w:sz w:val="21"/>
                <w:szCs w:val="21"/>
              </w:rPr>
            </w:pPr>
            <w:r>
              <w:rPr>
                <w:rFonts w:hint="eastAsia" w:ascii="Times New Roman" w:hAnsi="Times New Roman" w:eastAsia="宋体" w:cs="Times New Roman"/>
                <w:b/>
                <w:bCs/>
                <w:color w:val="000000"/>
                <w:kern w:val="0"/>
                <w:sz w:val="21"/>
                <w:szCs w:val="21"/>
                <w:lang w:val="en-US" w:eastAsia="zh-CN" w:bidi="ar-SA"/>
              </w:rPr>
              <w:t>本项目与环保管理政策符合性分析结果一览表</w:t>
            </w:r>
          </w:p>
          <w:tbl>
            <w:tblPr>
              <w:tblStyle w:val="3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401"/>
              <w:gridCol w:w="1802"/>
              <w:gridCol w:w="2761"/>
              <w:gridCol w:w="2017"/>
              <w:gridCol w:w="689"/>
            </w:tblGrid>
            <w:tr w14:paraId="0D73BB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401" w:type="dxa"/>
                  <w:noWrap w:val="0"/>
                  <w:vAlign w:val="center"/>
                </w:tcPr>
                <w:p w14:paraId="3E3AA899">
                  <w:pPr>
                    <w:keepNext w:val="0"/>
                    <w:keepLines w:val="0"/>
                    <w:pageBreakBefore w:val="0"/>
                    <w:widowControl w:val="0"/>
                    <w:suppressLineNumbers w:val="0"/>
                    <w:kinsoku/>
                    <w:wordWrap/>
                    <w:overflowPunct/>
                    <w:topLinePunct w:val="0"/>
                    <w:autoSpaceDE/>
                    <w:autoSpaceDN/>
                    <w:bidi w:val="0"/>
                    <w:adjustRightInd w:val="0"/>
                    <w:snapToGrid/>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cs="Times New Roman"/>
                      <w:color w:val="000000"/>
                      <w:szCs w:val="21"/>
                    </w:rPr>
                  </w:pPr>
                  <w:r>
                    <w:rPr>
                      <w:rFonts w:hint="default" w:ascii="Times New Roman" w:hAnsi="Times New Roman" w:cs="Times New Roman"/>
                      <w:color w:val="000000"/>
                      <w:szCs w:val="21"/>
                    </w:rPr>
                    <w:t>序号</w:t>
                  </w:r>
                </w:p>
              </w:tc>
              <w:tc>
                <w:tcPr>
                  <w:tcW w:w="1802" w:type="dxa"/>
                  <w:noWrap w:val="0"/>
                  <w:vAlign w:val="center"/>
                </w:tcPr>
                <w:p w14:paraId="7AB35EC7">
                  <w:pPr>
                    <w:keepNext w:val="0"/>
                    <w:keepLines w:val="0"/>
                    <w:pageBreakBefore w:val="0"/>
                    <w:widowControl w:val="0"/>
                    <w:suppressLineNumbers w:val="0"/>
                    <w:kinsoku/>
                    <w:wordWrap/>
                    <w:overflowPunct/>
                    <w:topLinePunct w:val="0"/>
                    <w:autoSpaceDE/>
                    <w:autoSpaceDN/>
                    <w:bidi w:val="0"/>
                    <w:adjustRightInd w:val="0"/>
                    <w:snapToGrid/>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cs="Times New Roman"/>
                      <w:color w:val="000000"/>
                      <w:szCs w:val="21"/>
                    </w:rPr>
                  </w:pPr>
                  <w:r>
                    <w:rPr>
                      <w:rFonts w:hint="default" w:ascii="Times New Roman" w:hAnsi="Times New Roman" w:cs="Times New Roman"/>
                      <w:color w:val="000000"/>
                      <w:szCs w:val="21"/>
                    </w:rPr>
                    <w:t>政策文件名称</w:t>
                  </w:r>
                </w:p>
              </w:tc>
              <w:tc>
                <w:tcPr>
                  <w:tcW w:w="2761" w:type="dxa"/>
                  <w:noWrap w:val="0"/>
                  <w:vAlign w:val="center"/>
                </w:tcPr>
                <w:p w14:paraId="55C8D0CB">
                  <w:pPr>
                    <w:keepNext w:val="0"/>
                    <w:keepLines w:val="0"/>
                    <w:pageBreakBefore w:val="0"/>
                    <w:widowControl w:val="0"/>
                    <w:suppressLineNumbers w:val="0"/>
                    <w:kinsoku/>
                    <w:wordWrap/>
                    <w:overflowPunct/>
                    <w:topLinePunct w:val="0"/>
                    <w:autoSpaceDE/>
                    <w:autoSpaceDN/>
                    <w:bidi w:val="0"/>
                    <w:adjustRightInd w:val="0"/>
                    <w:snapToGrid/>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cs="Times New Roman"/>
                      <w:color w:val="000000"/>
                      <w:szCs w:val="21"/>
                    </w:rPr>
                  </w:pPr>
                  <w:r>
                    <w:rPr>
                      <w:rFonts w:hint="default" w:ascii="Times New Roman" w:hAnsi="Times New Roman" w:cs="Times New Roman"/>
                      <w:color w:val="000000"/>
                      <w:szCs w:val="21"/>
                    </w:rPr>
                    <w:t>相关要求</w:t>
                  </w:r>
                </w:p>
              </w:tc>
              <w:tc>
                <w:tcPr>
                  <w:tcW w:w="2017" w:type="dxa"/>
                  <w:noWrap w:val="0"/>
                  <w:vAlign w:val="center"/>
                </w:tcPr>
                <w:p w14:paraId="3FEA8827">
                  <w:pPr>
                    <w:keepNext w:val="0"/>
                    <w:keepLines w:val="0"/>
                    <w:pageBreakBefore w:val="0"/>
                    <w:widowControl w:val="0"/>
                    <w:suppressLineNumbers w:val="0"/>
                    <w:kinsoku/>
                    <w:wordWrap/>
                    <w:overflowPunct/>
                    <w:topLinePunct w:val="0"/>
                    <w:autoSpaceDE/>
                    <w:autoSpaceDN/>
                    <w:bidi w:val="0"/>
                    <w:adjustRightInd w:val="0"/>
                    <w:snapToGrid/>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cs="Times New Roman"/>
                      <w:color w:val="000000"/>
                      <w:szCs w:val="21"/>
                    </w:rPr>
                  </w:pPr>
                  <w:r>
                    <w:rPr>
                      <w:rFonts w:hint="default" w:ascii="Times New Roman" w:hAnsi="Times New Roman" w:cs="Times New Roman"/>
                      <w:color w:val="000000"/>
                      <w:szCs w:val="21"/>
                    </w:rPr>
                    <w:t>本项目相关内容</w:t>
                  </w:r>
                </w:p>
              </w:tc>
              <w:tc>
                <w:tcPr>
                  <w:tcW w:w="689" w:type="dxa"/>
                  <w:noWrap w:val="0"/>
                  <w:vAlign w:val="center"/>
                </w:tcPr>
                <w:p w14:paraId="3141459F">
                  <w:pPr>
                    <w:keepNext w:val="0"/>
                    <w:keepLines w:val="0"/>
                    <w:pageBreakBefore w:val="0"/>
                    <w:widowControl w:val="0"/>
                    <w:suppressLineNumbers w:val="0"/>
                    <w:kinsoku/>
                    <w:wordWrap/>
                    <w:overflowPunct/>
                    <w:topLinePunct w:val="0"/>
                    <w:autoSpaceDE/>
                    <w:autoSpaceDN/>
                    <w:bidi w:val="0"/>
                    <w:adjustRightInd w:val="0"/>
                    <w:snapToGrid/>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cs="Times New Roman"/>
                      <w:color w:val="000000"/>
                      <w:szCs w:val="21"/>
                    </w:rPr>
                  </w:pPr>
                  <w:r>
                    <w:rPr>
                      <w:rFonts w:hint="default" w:ascii="Times New Roman" w:hAnsi="Times New Roman" w:cs="Times New Roman"/>
                      <w:color w:val="000000"/>
                      <w:szCs w:val="21"/>
                    </w:rPr>
                    <w:t>对比结果</w:t>
                  </w:r>
                </w:p>
              </w:tc>
            </w:tr>
            <w:tr w14:paraId="208E36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401" w:type="dxa"/>
                  <w:vMerge w:val="restart"/>
                  <w:noWrap w:val="0"/>
                  <w:vAlign w:val="center"/>
                </w:tcPr>
                <w:p w14:paraId="0ADC0324">
                  <w:pPr>
                    <w:keepNext w:val="0"/>
                    <w:keepLines w:val="0"/>
                    <w:pageBreakBefore w:val="0"/>
                    <w:widowControl w:val="0"/>
                    <w:suppressLineNumbers w:val="0"/>
                    <w:kinsoku/>
                    <w:wordWrap/>
                    <w:overflowPunct/>
                    <w:topLinePunct w:val="0"/>
                    <w:autoSpaceDE/>
                    <w:autoSpaceDN/>
                    <w:bidi w:val="0"/>
                    <w:adjustRightInd w:val="0"/>
                    <w:snapToGrid/>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cs="Times New Roman"/>
                      <w:color w:val="000000"/>
                      <w:szCs w:val="21"/>
                    </w:rPr>
                  </w:pPr>
                  <w:r>
                    <w:rPr>
                      <w:rFonts w:hint="default" w:ascii="Times New Roman" w:hAnsi="Times New Roman" w:cs="Times New Roman"/>
                      <w:color w:val="000000"/>
                      <w:szCs w:val="21"/>
                    </w:rPr>
                    <w:t>1</w:t>
                  </w:r>
                </w:p>
              </w:tc>
              <w:tc>
                <w:tcPr>
                  <w:tcW w:w="1802" w:type="dxa"/>
                  <w:vMerge w:val="restart"/>
                  <w:noWrap w:val="0"/>
                  <w:vAlign w:val="center"/>
                </w:tcPr>
                <w:p w14:paraId="033627CD">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rightChars="0"/>
                    <w:jc w:val="center"/>
                    <w:textAlignment w:val="auto"/>
                    <w:rPr>
                      <w:rFonts w:hint="default" w:ascii="Times New Roman" w:hAnsi="Times New Roman" w:cs="Times New Roman"/>
                      <w:color w:val="000000"/>
                      <w:szCs w:val="21"/>
                    </w:rPr>
                  </w:pPr>
                  <w:r>
                    <w:rPr>
                      <w:rFonts w:hint="default" w:ascii="Times New Roman" w:hAnsi="Times New Roman" w:cs="Times New Roman"/>
                      <w:color w:val="000000"/>
                      <w:szCs w:val="21"/>
                    </w:rPr>
                    <w:t>《关于加快解决当前挥发性有机物治理突出问题的通知》(环大气[2021]65号)</w:t>
                  </w:r>
                </w:p>
              </w:tc>
              <w:tc>
                <w:tcPr>
                  <w:tcW w:w="2761" w:type="dxa"/>
                  <w:noWrap w:val="0"/>
                  <w:vAlign w:val="center"/>
                </w:tcPr>
                <w:p w14:paraId="1D20E66D">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rightChars="0"/>
                    <w:textAlignment w:val="auto"/>
                    <w:rPr>
                      <w:rFonts w:hint="default" w:ascii="Times New Roman" w:hAnsi="Times New Roman" w:cs="Times New Roman"/>
                      <w:color w:val="000000"/>
                      <w:szCs w:val="21"/>
                    </w:rPr>
                  </w:pPr>
                  <w:r>
                    <w:rPr>
                      <w:rFonts w:hint="default" w:ascii="Times New Roman" w:hAnsi="Times New Roman" w:cs="Times New Roman"/>
                      <w:color w:val="000000"/>
                      <w:szCs w:val="21"/>
                    </w:rPr>
                    <w:t>产生VOCs的生产环节优先采用密闭设备、在密闭空间中操作或采用全密闭集气罩收集方式，并保持负压运行。</w:t>
                  </w:r>
                </w:p>
              </w:tc>
              <w:tc>
                <w:tcPr>
                  <w:tcW w:w="2017" w:type="dxa"/>
                  <w:noWrap w:val="0"/>
                  <w:vAlign w:val="center"/>
                </w:tcPr>
                <w:p w14:paraId="388B7FBA">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rightChars="0"/>
                    <w:jc w:val="both"/>
                    <w:textAlignment w:val="auto"/>
                    <w:rPr>
                      <w:rFonts w:hint="eastAsia" w:ascii="Times New Roman" w:hAnsi="Times New Roman" w:eastAsia="宋体" w:cs="Times New Roman"/>
                      <w:color w:val="000000"/>
                      <w:szCs w:val="21"/>
                      <w:lang w:eastAsia="zh-CN"/>
                    </w:rPr>
                  </w:pPr>
                  <w:r>
                    <w:rPr>
                      <w:rFonts w:hint="default" w:ascii="Times New Roman" w:hAnsi="Times New Roman" w:cs="Times New Roman"/>
                      <w:color w:val="000000"/>
                      <w:szCs w:val="21"/>
                    </w:rPr>
                    <w:t>本项目涉VOC</w:t>
                  </w:r>
                  <w:r>
                    <w:rPr>
                      <w:rFonts w:hint="default" w:ascii="Times New Roman" w:hAnsi="Times New Roman" w:cs="Times New Roman"/>
                      <w:color w:val="000000"/>
                      <w:szCs w:val="21"/>
                      <w:vertAlign w:val="subscript"/>
                    </w:rPr>
                    <w:t>S</w:t>
                  </w:r>
                  <w:r>
                    <w:rPr>
                      <w:rFonts w:hint="eastAsia" w:ascii="Times New Roman" w:hAnsi="Times New Roman" w:cs="Times New Roman"/>
                      <w:color w:val="000000"/>
                      <w:szCs w:val="21"/>
                      <w:lang w:eastAsia="zh-CN"/>
                    </w:rPr>
                    <w:t>的生产环节在密闭操作间中进行，</w:t>
                  </w:r>
                  <w:r>
                    <w:rPr>
                      <w:rFonts w:hint="default" w:ascii="Times New Roman" w:hAnsi="Times New Roman" w:cs="Times New Roman"/>
                      <w:color w:val="000000"/>
                      <w:szCs w:val="21"/>
                    </w:rPr>
                    <w:t>废气</w:t>
                  </w:r>
                  <w:r>
                    <w:rPr>
                      <w:rFonts w:hint="eastAsia" w:ascii="Times New Roman" w:hAnsi="Times New Roman" w:cs="Times New Roman"/>
                      <w:color w:val="000000"/>
                      <w:szCs w:val="21"/>
                      <w:lang w:eastAsia="zh-CN"/>
                    </w:rPr>
                    <w:t>由集气装置</w:t>
                  </w:r>
                  <w:r>
                    <w:rPr>
                      <w:rFonts w:hint="default" w:ascii="Times New Roman" w:hAnsi="Times New Roman" w:cs="Times New Roman"/>
                      <w:color w:val="000000"/>
                      <w:szCs w:val="21"/>
                    </w:rPr>
                    <w:t>收集，并且保持负压运行</w:t>
                  </w:r>
                  <w:r>
                    <w:rPr>
                      <w:rFonts w:hint="eastAsia" w:ascii="Times New Roman" w:hAnsi="Times New Roman" w:cs="Times New Roman"/>
                      <w:color w:val="000000"/>
                      <w:szCs w:val="21"/>
                      <w:lang w:eastAsia="zh-CN"/>
                    </w:rPr>
                    <w:t>。</w:t>
                  </w:r>
                </w:p>
              </w:tc>
              <w:tc>
                <w:tcPr>
                  <w:tcW w:w="689" w:type="dxa"/>
                  <w:noWrap w:val="0"/>
                  <w:vAlign w:val="center"/>
                </w:tcPr>
                <w:p w14:paraId="58D92662">
                  <w:pPr>
                    <w:keepNext w:val="0"/>
                    <w:keepLines w:val="0"/>
                    <w:pageBreakBefore w:val="0"/>
                    <w:widowControl w:val="0"/>
                    <w:suppressLineNumbers w:val="0"/>
                    <w:kinsoku/>
                    <w:wordWrap/>
                    <w:overflowPunct/>
                    <w:topLinePunct w:val="0"/>
                    <w:autoSpaceDE/>
                    <w:autoSpaceDN/>
                    <w:bidi w:val="0"/>
                    <w:adjustRightInd w:val="0"/>
                    <w:snapToGrid/>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cs="Times New Roman"/>
                      <w:color w:val="000000"/>
                      <w:szCs w:val="21"/>
                    </w:rPr>
                  </w:pPr>
                  <w:r>
                    <w:rPr>
                      <w:rFonts w:hint="default" w:ascii="Times New Roman" w:hAnsi="Times New Roman" w:cs="Times New Roman"/>
                      <w:color w:val="000000"/>
                      <w:szCs w:val="21"/>
                    </w:rPr>
                    <w:t>符合</w:t>
                  </w:r>
                </w:p>
              </w:tc>
            </w:tr>
            <w:tr w14:paraId="263592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401" w:type="dxa"/>
                  <w:vMerge w:val="continue"/>
                  <w:noWrap w:val="0"/>
                  <w:vAlign w:val="center"/>
                </w:tcPr>
                <w:p w14:paraId="2D0873D7">
                  <w:pPr>
                    <w:keepNext w:val="0"/>
                    <w:keepLines w:val="0"/>
                    <w:pageBreakBefore w:val="0"/>
                    <w:widowControl w:val="0"/>
                    <w:suppressLineNumbers w:val="0"/>
                    <w:kinsoku/>
                    <w:wordWrap/>
                    <w:overflowPunct/>
                    <w:topLinePunct w:val="0"/>
                    <w:autoSpaceDE/>
                    <w:autoSpaceDN/>
                    <w:bidi w:val="0"/>
                    <w:adjustRightInd w:val="0"/>
                    <w:snapToGrid/>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cs="Times New Roman"/>
                      <w:color w:val="000000"/>
                      <w:szCs w:val="21"/>
                    </w:rPr>
                  </w:pPr>
                </w:p>
              </w:tc>
              <w:tc>
                <w:tcPr>
                  <w:tcW w:w="1802" w:type="dxa"/>
                  <w:vMerge w:val="continue"/>
                  <w:noWrap w:val="0"/>
                  <w:vAlign w:val="center"/>
                </w:tcPr>
                <w:p w14:paraId="76C109F2">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rightChars="0"/>
                    <w:jc w:val="center"/>
                    <w:textAlignment w:val="auto"/>
                    <w:rPr>
                      <w:rFonts w:hint="default" w:ascii="Times New Roman" w:hAnsi="Times New Roman" w:cs="Times New Roman"/>
                      <w:color w:val="000000"/>
                      <w:szCs w:val="21"/>
                    </w:rPr>
                  </w:pPr>
                </w:p>
              </w:tc>
              <w:tc>
                <w:tcPr>
                  <w:tcW w:w="2761" w:type="dxa"/>
                  <w:noWrap w:val="0"/>
                  <w:vAlign w:val="center"/>
                </w:tcPr>
                <w:p w14:paraId="461A4AF0">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rightChars="0"/>
                    <w:textAlignment w:val="auto"/>
                    <w:rPr>
                      <w:rFonts w:hint="default" w:ascii="Times New Roman" w:hAnsi="Times New Roman" w:cs="Times New Roman"/>
                      <w:color w:val="000000"/>
                      <w:szCs w:val="21"/>
                    </w:rPr>
                  </w:pPr>
                  <w:r>
                    <w:rPr>
                      <w:rFonts w:hint="default" w:ascii="Times New Roman" w:hAnsi="Times New Roman" w:cs="Times New Roman"/>
                      <w:color w:val="000000"/>
                      <w:szCs w:val="21"/>
                    </w:rPr>
                    <w:t>新建治理设施或对现有治理设施实施改造，应依据排放废气特征、VOCs组分及浓度、生产工况等，合理选择治理技术；对治理难度大、单一治理工艺难以稳定达标的，要采用多种技术的组合工艺。</w:t>
                  </w:r>
                </w:p>
              </w:tc>
              <w:tc>
                <w:tcPr>
                  <w:tcW w:w="2017" w:type="dxa"/>
                  <w:noWrap w:val="0"/>
                  <w:vAlign w:val="center"/>
                </w:tcPr>
                <w:p w14:paraId="15F146DC">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rightChars="0"/>
                    <w:jc w:val="both"/>
                    <w:textAlignment w:val="auto"/>
                    <w:rPr>
                      <w:rFonts w:hint="eastAsia" w:ascii="Times New Roman" w:hAnsi="Times New Roman" w:eastAsia="宋体" w:cs="Times New Roman"/>
                      <w:color w:val="000000"/>
                      <w:szCs w:val="21"/>
                      <w:lang w:eastAsia="zh-CN"/>
                    </w:rPr>
                  </w:pPr>
                  <w:r>
                    <w:rPr>
                      <w:rFonts w:hint="default" w:ascii="Times New Roman" w:hAnsi="Times New Roman" w:cs="Times New Roman"/>
                      <w:color w:val="000000"/>
                      <w:szCs w:val="21"/>
                    </w:rPr>
                    <w:t>本项目根据产生的有机废气种类及性质，采用</w:t>
                  </w:r>
                  <w:r>
                    <w:rPr>
                      <w:rFonts w:hint="eastAsia" w:ascii="Times New Roman" w:hAnsi="Times New Roman" w:cs="Times New Roman"/>
                      <w:color w:val="000000"/>
                      <w:szCs w:val="21"/>
                      <w:lang w:eastAsia="zh-CN"/>
                    </w:rPr>
                    <w:t>二级活性炭吸附</w:t>
                  </w:r>
                  <w:r>
                    <w:rPr>
                      <w:rFonts w:hint="default" w:ascii="Times New Roman" w:hAnsi="Times New Roman" w:cs="Times New Roman"/>
                      <w:color w:val="000000"/>
                      <w:szCs w:val="21"/>
                    </w:rPr>
                    <w:t>工艺进行处理，经治理后VOC</w:t>
                  </w:r>
                  <w:r>
                    <w:rPr>
                      <w:rFonts w:hint="default" w:ascii="Times New Roman" w:hAnsi="Times New Roman" w:cs="Times New Roman"/>
                      <w:color w:val="000000"/>
                      <w:szCs w:val="21"/>
                      <w:vertAlign w:val="subscript"/>
                    </w:rPr>
                    <w:t>S</w:t>
                  </w:r>
                  <w:r>
                    <w:rPr>
                      <w:rFonts w:hint="default" w:ascii="Times New Roman" w:hAnsi="Times New Roman" w:cs="Times New Roman"/>
                      <w:color w:val="000000"/>
                      <w:szCs w:val="21"/>
                    </w:rPr>
                    <w:t>可达标排放</w:t>
                  </w:r>
                  <w:r>
                    <w:rPr>
                      <w:rFonts w:hint="eastAsia" w:ascii="Times New Roman" w:hAnsi="Times New Roman" w:cs="Times New Roman"/>
                      <w:color w:val="000000"/>
                      <w:szCs w:val="21"/>
                      <w:lang w:eastAsia="zh-CN"/>
                    </w:rPr>
                    <w:t>。</w:t>
                  </w:r>
                </w:p>
              </w:tc>
              <w:tc>
                <w:tcPr>
                  <w:tcW w:w="689" w:type="dxa"/>
                  <w:noWrap w:val="0"/>
                  <w:vAlign w:val="center"/>
                </w:tcPr>
                <w:p w14:paraId="194E552C">
                  <w:pPr>
                    <w:keepNext w:val="0"/>
                    <w:keepLines w:val="0"/>
                    <w:pageBreakBefore w:val="0"/>
                    <w:widowControl w:val="0"/>
                    <w:suppressLineNumbers w:val="0"/>
                    <w:kinsoku/>
                    <w:wordWrap/>
                    <w:overflowPunct/>
                    <w:topLinePunct w:val="0"/>
                    <w:autoSpaceDE/>
                    <w:autoSpaceDN/>
                    <w:bidi w:val="0"/>
                    <w:adjustRightInd w:val="0"/>
                    <w:snapToGrid/>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cs="Times New Roman"/>
                      <w:color w:val="000000"/>
                      <w:szCs w:val="21"/>
                    </w:rPr>
                  </w:pPr>
                  <w:r>
                    <w:rPr>
                      <w:rFonts w:hint="default" w:ascii="Times New Roman" w:hAnsi="Times New Roman" w:cs="Times New Roman"/>
                      <w:color w:val="000000"/>
                      <w:szCs w:val="21"/>
                    </w:rPr>
                    <w:t>符合</w:t>
                  </w:r>
                </w:p>
              </w:tc>
            </w:tr>
            <w:tr w14:paraId="060ABB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401" w:type="dxa"/>
                  <w:vMerge w:val="restart"/>
                  <w:noWrap w:val="0"/>
                  <w:vAlign w:val="center"/>
                </w:tcPr>
                <w:p w14:paraId="2269B2A9">
                  <w:pPr>
                    <w:keepNext w:val="0"/>
                    <w:keepLines w:val="0"/>
                    <w:pageBreakBefore w:val="0"/>
                    <w:widowControl w:val="0"/>
                    <w:suppressLineNumbers w:val="0"/>
                    <w:kinsoku/>
                    <w:wordWrap/>
                    <w:overflowPunct/>
                    <w:topLinePunct w:val="0"/>
                    <w:autoSpaceDE/>
                    <w:autoSpaceDN/>
                    <w:bidi w:val="0"/>
                    <w:adjustRightInd w:val="0"/>
                    <w:snapToGrid/>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cs="Times New Roman"/>
                      <w:color w:val="000000"/>
                      <w:szCs w:val="21"/>
                    </w:rPr>
                  </w:pPr>
                  <w:r>
                    <w:rPr>
                      <w:rFonts w:hint="default" w:ascii="Times New Roman" w:hAnsi="Times New Roman" w:cs="Times New Roman"/>
                      <w:color w:val="000000"/>
                      <w:szCs w:val="21"/>
                    </w:rPr>
                    <w:t>2</w:t>
                  </w:r>
                </w:p>
              </w:tc>
              <w:tc>
                <w:tcPr>
                  <w:tcW w:w="1802" w:type="dxa"/>
                  <w:vMerge w:val="restart"/>
                  <w:shd w:val="clear" w:color="auto" w:fill="auto"/>
                  <w:noWrap w:val="0"/>
                  <w:vAlign w:val="center"/>
                </w:tcPr>
                <w:p w14:paraId="4A4CFBF2">
                  <w:pPr>
                    <w:keepNext w:val="0"/>
                    <w:keepLines w:val="0"/>
                    <w:suppressLineNumbers w:val="0"/>
                    <w:spacing w:before="0" w:beforeAutospacing="0" w:after="0" w:afterAutospacing="0"/>
                    <w:ind w:left="0" w:right="0"/>
                    <w:jc w:val="both"/>
                    <w:rPr>
                      <w:rFonts w:hint="default" w:ascii="Times New Roman" w:hAnsi="Times New Roman" w:cs="Times New Roman"/>
                      <w:color w:val="000000"/>
                      <w:szCs w:val="21"/>
                    </w:rPr>
                  </w:pPr>
                  <w:r>
                    <w:rPr>
                      <w:rFonts w:hint="eastAsia" w:ascii="Times New Roman" w:hAnsi="Times New Roman" w:eastAsia="宋体" w:cs="Times New Roman"/>
                      <w:color w:val="auto"/>
                      <w:sz w:val="21"/>
                      <w:szCs w:val="20"/>
                      <w:highlight w:val="none"/>
                      <w:lang w:val="en-US" w:eastAsia="zh-CN" w:bidi="ar-SA"/>
                    </w:rPr>
                    <w:t>《关于印发河北省空气质量持续改善行动计划实施方案的通知》（冀政发〔</w:t>
                  </w:r>
                  <w:r>
                    <w:rPr>
                      <w:rFonts w:hint="default" w:ascii="Times New Roman" w:hAnsi="Times New Roman" w:eastAsia="宋体" w:cs="Times New Roman"/>
                      <w:color w:val="auto"/>
                      <w:sz w:val="21"/>
                      <w:szCs w:val="20"/>
                      <w:highlight w:val="none"/>
                      <w:lang w:val="en-US" w:eastAsia="zh-CN" w:bidi="ar-SA"/>
                    </w:rPr>
                    <w:t>2024</w:t>
                  </w:r>
                  <w:r>
                    <w:rPr>
                      <w:rFonts w:hint="eastAsia" w:ascii="Times New Roman" w:hAnsi="Times New Roman" w:eastAsia="宋体" w:cs="Times New Roman"/>
                      <w:color w:val="auto"/>
                      <w:sz w:val="21"/>
                      <w:szCs w:val="20"/>
                      <w:highlight w:val="none"/>
                      <w:lang w:val="en-US" w:eastAsia="zh-CN" w:bidi="ar-SA"/>
                    </w:rPr>
                    <w:t>〕</w:t>
                  </w:r>
                  <w:r>
                    <w:rPr>
                      <w:rFonts w:hint="default" w:ascii="Times New Roman" w:hAnsi="Times New Roman" w:eastAsia="宋体" w:cs="Times New Roman"/>
                      <w:color w:val="auto"/>
                      <w:sz w:val="21"/>
                      <w:szCs w:val="20"/>
                      <w:highlight w:val="none"/>
                      <w:lang w:val="en-US" w:eastAsia="zh-CN" w:bidi="ar-SA"/>
                    </w:rPr>
                    <w:t>4</w:t>
                  </w:r>
                  <w:r>
                    <w:rPr>
                      <w:rFonts w:hint="eastAsia" w:ascii="Times New Roman" w:hAnsi="Times New Roman" w:eastAsia="宋体" w:cs="Times New Roman"/>
                      <w:color w:val="auto"/>
                      <w:sz w:val="21"/>
                      <w:szCs w:val="20"/>
                      <w:highlight w:val="none"/>
                      <w:lang w:val="en-US" w:eastAsia="zh-CN" w:bidi="ar-SA"/>
                    </w:rPr>
                    <w:t>号）</w:t>
                  </w:r>
                </w:p>
              </w:tc>
              <w:tc>
                <w:tcPr>
                  <w:tcW w:w="2761" w:type="dxa"/>
                  <w:shd w:val="clear" w:color="auto" w:fill="auto"/>
                  <w:noWrap w:val="0"/>
                  <w:vAlign w:val="center"/>
                </w:tcPr>
                <w:p w14:paraId="0864984E">
                  <w:pPr>
                    <w:pStyle w:val="93"/>
                    <w:keepNext w:val="0"/>
                    <w:keepLines w:val="0"/>
                    <w:pageBreakBefore w:val="0"/>
                    <w:suppressLineNumbers w:val="0"/>
                    <w:kinsoku/>
                    <w:wordWrap/>
                    <w:overflowPunct/>
                    <w:topLinePunct w:val="0"/>
                    <w:autoSpaceDE/>
                    <w:autoSpaceDN/>
                    <w:bidi w:val="0"/>
                    <w:adjustRightInd w:val="0"/>
                    <w:snapToGrid w:val="0"/>
                    <w:spacing w:beforeAutospacing="0" w:afterAutospacing="0" w:line="240" w:lineRule="auto"/>
                    <w:ind w:left="0" w:right="0" w:rightChars="0"/>
                    <w:jc w:val="both"/>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宋体" w:hAnsi="宋体" w:eastAsia="宋体" w:cs="宋体"/>
                      <w:color w:val="000000"/>
                      <w:kern w:val="0"/>
                      <w:sz w:val="21"/>
                      <w:szCs w:val="21"/>
                      <w:lang w:val="en-US" w:eastAsia="zh-CN" w:bidi="ar"/>
                    </w:rPr>
                    <w:t>严格环境准入。坚决遏制高耗能、高排放、低水平项目盲目上马。新改扩建项目严格落实国家和省产业规划、产业政策、生态环境分区管控方案、产能置换、重点污染物总量控制、污染物排放区域削减、碳排放达峰目标等相关要求，原则上采用清洁运输方式。</w:t>
                  </w:r>
                </w:p>
              </w:tc>
              <w:tc>
                <w:tcPr>
                  <w:tcW w:w="2017" w:type="dxa"/>
                  <w:shd w:val="clear" w:color="auto" w:fill="auto"/>
                  <w:noWrap w:val="0"/>
                  <w:vAlign w:val="center"/>
                </w:tcPr>
                <w:p w14:paraId="1A24B014">
                  <w:pPr>
                    <w:pStyle w:val="93"/>
                    <w:keepNext w:val="0"/>
                    <w:keepLines w:val="0"/>
                    <w:pageBreakBefore w:val="0"/>
                    <w:suppressLineNumbers w:val="0"/>
                    <w:kinsoku/>
                    <w:wordWrap/>
                    <w:overflowPunct/>
                    <w:topLinePunct w:val="0"/>
                    <w:autoSpaceDE/>
                    <w:autoSpaceDN/>
                    <w:bidi w:val="0"/>
                    <w:adjustRightInd w:val="0"/>
                    <w:snapToGrid w:val="0"/>
                    <w:spacing w:beforeAutospacing="0" w:afterAutospacing="0" w:line="240" w:lineRule="auto"/>
                    <w:ind w:left="0" w:right="0" w:rightChars="0"/>
                    <w:jc w:val="both"/>
                    <w:textAlignment w:val="auto"/>
                    <w:rPr>
                      <w:rFonts w:hint="eastAsia" w:ascii="Times New Roman" w:hAnsi="Times New Roman" w:eastAsia="宋体" w:cs="Times New Roman"/>
                      <w:color w:val="auto"/>
                      <w:kern w:val="0"/>
                      <w:sz w:val="21"/>
                      <w:szCs w:val="21"/>
                      <w:lang w:val="en-US" w:eastAsia="zh-CN" w:bidi="ar-SA"/>
                    </w:rPr>
                  </w:pPr>
                  <w:r>
                    <w:rPr>
                      <w:rFonts w:hint="eastAsia" w:ascii="宋体" w:hAnsi="宋体" w:eastAsia="宋体" w:cs="宋体"/>
                      <w:color w:val="000000"/>
                      <w:kern w:val="0"/>
                      <w:sz w:val="21"/>
                      <w:szCs w:val="21"/>
                      <w:lang w:val="en-US" w:eastAsia="zh-CN" w:bidi="ar"/>
                    </w:rPr>
                    <w:t>本项目符合相关环境准入政策，本项目不属于高耗能、高排放项目，严格落实污染物总量控制，污染物排放等相关要求。</w:t>
                  </w:r>
                </w:p>
              </w:tc>
              <w:tc>
                <w:tcPr>
                  <w:tcW w:w="689" w:type="dxa"/>
                  <w:shd w:val="clear" w:color="auto" w:fill="auto"/>
                  <w:noWrap w:val="0"/>
                  <w:vAlign w:val="center"/>
                </w:tcPr>
                <w:p w14:paraId="7BE7BAAE">
                  <w:pPr>
                    <w:pStyle w:val="93"/>
                    <w:keepNext w:val="0"/>
                    <w:keepLines w:val="0"/>
                    <w:pageBreakBefore w:val="0"/>
                    <w:suppressLineNumbers w:val="0"/>
                    <w:kinsoku/>
                    <w:wordWrap/>
                    <w:overflowPunct/>
                    <w:topLinePunct w:val="0"/>
                    <w:autoSpaceDE/>
                    <w:autoSpaceDN/>
                    <w:bidi w:val="0"/>
                    <w:adjustRightInd w:val="0"/>
                    <w:snapToGrid w:val="0"/>
                    <w:spacing w:beforeAutospacing="0" w:afterAutospacing="0" w:line="240" w:lineRule="auto"/>
                    <w:ind w:left="0" w:right="0" w:rightChars="0"/>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sz w:val="21"/>
                      <w:szCs w:val="21"/>
                    </w:rPr>
                    <w:t>符合</w:t>
                  </w:r>
                </w:p>
              </w:tc>
            </w:tr>
            <w:tr w14:paraId="4707BD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401" w:type="dxa"/>
                  <w:vMerge w:val="continue"/>
                  <w:noWrap w:val="0"/>
                  <w:vAlign w:val="center"/>
                </w:tcPr>
                <w:p w14:paraId="1148A579">
                  <w:pPr>
                    <w:keepNext w:val="0"/>
                    <w:keepLines w:val="0"/>
                    <w:pageBreakBefore w:val="0"/>
                    <w:widowControl w:val="0"/>
                    <w:suppressLineNumbers w:val="0"/>
                    <w:kinsoku/>
                    <w:wordWrap/>
                    <w:overflowPunct/>
                    <w:topLinePunct w:val="0"/>
                    <w:autoSpaceDE/>
                    <w:autoSpaceDN/>
                    <w:bidi w:val="0"/>
                    <w:adjustRightInd w:val="0"/>
                    <w:snapToGrid/>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cs="Times New Roman"/>
                      <w:color w:val="000000"/>
                      <w:szCs w:val="21"/>
                    </w:rPr>
                  </w:pPr>
                </w:p>
              </w:tc>
              <w:tc>
                <w:tcPr>
                  <w:tcW w:w="1802" w:type="dxa"/>
                  <w:vMerge w:val="continue"/>
                  <w:noWrap w:val="0"/>
                  <w:vAlign w:val="center"/>
                </w:tcPr>
                <w:p w14:paraId="0D5D259F">
                  <w:pPr>
                    <w:keepNext w:val="0"/>
                    <w:keepLines w:val="0"/>
                    <w:pageBreakBefore w:val="0"/>
                    <w:widowControl w:val="0"/>
                    <w:suppressLineNumbers w:val="0"/>
                    <w:kinsoku/>
                    <w:wordWrap/>
                    <w:overflowPunct/>
                    <w:topLinePunct w:val="0"/>
                    <w:autoSpaceDE/>
                    <w:autoSpaceDN/>
                    <w:bidi w:val="0"/>
                    <w:adjustRightInd w:val="0"/>
                    <w:snapToGrid/>
                    <w:spacing w:before="157" w:beforeLines="50" w:beforeAutospacing="0" w:after="157" w:afterLines="50" w:afterAutospacing="0" w:line="240" w:lineRule="auto"/>
                    <w:ind w:left="105" w:leftChars="50" w:right="105" w:rightChars="50"/>
                    <w:textAlignment w:val="auto"/>
                    <w:rPr>
                      <w:rFonts w:hint="default" w:ascii="Times New Roman" w:hAnsi="Times New Roman" w:cs="Times New Roman"/>
                      <w:color w:val="000000"/>
                      <w:szCs w:val="21"/>
                    </w:rPr>
                  </w:pPr>
                </w:p>
              </w:tc>
              <w:tc>
                <w:tcPr>
                  <w:tcW w:w="2761" w:type="dxa"/>
                  <w:shd w:val="clear" w:color="auto" w:fill="auto"/>
                  <w:noWrap w:val="0"/>
                  <w:vAlign w:val="center"/>
                </w:tcPr>
                <w:p w14:paraId="71063C27">
                  <w:pPr>
                    <w:pStyle w:val="93"/>
                    <w:keepNext w:val="0"/>
                    <w:keepLines w:val="0"/>
                    <w:pageBreakBefore w:val="0"/>
                    <w:suppressLineNumbers w:val="0"/>
                    <w:kinsoku/>
                    <w:wordWrap/>
                    <w:overflowPunct/>
                    <w:topLinePunct w:val="0"/>
                    <w:autoSpaceDE/>
                    <w:autoSpaceDN/>
                    <w:bidi w:val="0"/>
                    <w:adjustRightInd w:val="0"/>
                    <w:snapToGrid w:val="0"/>
                    <w:spacing w:beforeAutospacing="0" w:afterAutospacing="0" w:line="240" w:lineRule="auto"/>
                    <w:ind w:left="0" w:right="0" w:rightChars="0"/>
                    <w:jc w:val="both"/>
                    <w:textAlignment w:val="auto"/>
                    <w:rPr>
                      <w:rFonts w:hint="default" w:ascii="Times New Roman" w:hAnsi="Times New Roman" w:eastAsia="宋体" w:cs="Times New Roman"/>
                      <w:color w:val="auto"/>
                      <w:kern w:val="0"/>
                      <w:sz w:val="21"/>
                      <w:szCs w:val="21"/>
                      <w:lang w:val="en-US" w:eastAsia="zh-CN" w:bidi="ar-SA"/>
                    </w:rPr>
                  </w:pPr>
                  <w:r>
                    <w:rPr>
                      <w:rFonts w:hint="eastAsia" w:ascii="宋体" w:hAnsi="宋体" w:eastAsia="宋体" w:cs="宋体"/>
                      <w:color w:val="000000"/>
                      <w:kern w:val="0"/>
                      <w:sz w:val="21"/>
                      <w:szCs w:val="21"/>
                      <w:lang w:val="en-US" w:eastAsia="zh-CN" w:bidi="ar"/>
                    </w:rPr>
                    <w:t>实施工业炉窑清洁能源替代。有序推进电代煤，积极稳妥推进气代煤。原则上不再新增燃料类煤气发生炉，新改扩建加热炉、热处理炉、干燥炉、熔化炉原则上采用清洁低碳能源。安全稳妥推进使用高污染燃料的工业炉窑改用工业余热、电能、天然气等。</w:t>
                  </w:r>
                </w:p>
              </w:tc>
              <w:tc>
                <w:tcPr>
                  <w:tcW w:w="2017" w:type="dxa"/>
                  <w:shd w:val="clear" w:color="auto" w:fill="auto"/>
                  <w:noWrap w:val="0"/>
                  <w:vAlign w:val="center"/>
                </w:tcPr>
                <w:p w14:paraId="458952E5">
                  <w:pPr>
                    <w:pStyle w:val="93"/>
                    <w:keepNext w:val="0"/>
                    <w:keepLines w:val="0"/>
                    <w:pageBreakBefore w:val="0"/>
                    <w:suppressLineNumbers w:val="0"/>
                    <w:kinsoku/>
                    <w:wordWrap/>
                    <w:overflowPunct/>
                    <w:topLinePunct w:val="0"/>
                    <w:autoSpaceDE/>
                    <w:autoSpaceDN/>
                    <w:bidi w:val="0"/>
                    <w:adjustRightInd w:val="0"/>
                    <w:snapToGrid w:val="0"/>
                    <w:spacing w:beforeAutospacing="0" w:afterAutospacing="0" w:line="240" w:lineRule="auto"/>
                    <w:ind w:left="0" w:right="0" w:rightChars="0"/>
                    <w:jc w:val="both"/>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cs="Times New Roman"/>
                      <w:color w:val="auto"/>
                      <w:sz w:val="21"/>
                      <w:szCs w:val="21"/>
                      <w:lang w:eastAsia="zh-CN"/>
                    </w:rPr>
                    <w:t>本项目生产用热采用电，不涉及工业炉窑。</w:t>
                  </w:r>
                </w:p>
              </w:tc>
              <w:tc>
                <w:tcPr>
                  <w:tcW w:w="689" w:type="dxa"/>
                  <w:shd w:val="clear" w:color="auto" w:fill="auto"/>
                  <w:noWrap w:val="0"/>
                  <w:vAlign w:val="center"/>
                </w:tcPr>
                <w:p w14:paraId="02D7A281">
                  <w:pPr>
                    <w:pStyle w:val="93"/>
                    <w:keepNext w:val="0"/>
                    <w:keepLines w:val="0"/>
                    <w:pageBreakBefore w:val="0"/>
                    <w:suppressLineNumbers w:val="0"/>
                    <w:kinsoku/>
                    <w:wordWrap/>
                    <w:overflowPunct/>
                    <w:topLinePunct w:val="0"/>
                    <w:autoSpaceDE/>
                    <w:autoSpaceDN/>
                    <w:bidi w:val="0"/>
                    <w:adjustRightInd w:val="0"/>
                    <w:snapToGrid w:val="0"/>
                    <w:spacing w:beforeAutospacing="0" w:afterAutospacing="0" w:line="240" w:lineRule="auto"/>
                    <w:ind w:left="0" w:right="0" w:rightChars="0"/>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cs="Times New Roman"/>
                      <w:color w:val="auto"/>
                      <w:sz w:val="21"/>
                      <w:szCs w:val="21"/>
                      <w:lang w:eastAsia="zh-CN"/>
                    </w:rPr>
                    <w:t>符合</w:t>
                  </w:r>
                </w:p>
              </w:tc>
            </w:tr>
            <w:tr w14:paraId="50C642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401" w:type="dxa"/>
                  <w:vMerge w:val="continue"/>
                  <w:noWrap w:val="0"/>
                  <w:vAlign w:val="center"/>
                </w:tcPr>
                <w:p w14:paraId="20F11950">
                  <w:pPr>
                    <w:keepNext w:val="0"/>
                    <w:keepLines w:val="0"/>
                    <w:pageBreakBefore w:val="0"/>
                    <w:widowControl w:val="0"/>
                    <w:suppressLineNumbers w:val="0"/>
                    <w:kinsoku/>
                    <w:wordWrap/>
                    <w:overflowPunct/>
                    <w:topLinePunct w:val="0"/>
                    <w:autoSpaceDE/>
                    <w:autoSpaceDN/>
                    <w:bidi w:val="0"/>
                    <w:adjustRightInd w:val="0"/>
                    <w:snapToGrid/>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cs="Times New Roman"/>
                      <w:color w:val="000000"/>
                      <w:szCs w:val="21"/>
                    </w:rPr>
                  </w:pPr>
                </w:p>
              </w:tc>
              <w:tc>
                <w:tcPr>
                  <w:tcW w:w="1802" w:type="dxa"/>
                  <w:vMerge w:val="continue"/>
                  <w:noWrap w:val="0"/>
                  <w:vAlign w:val="center"/>
                </w:tcPr>
                <w:p w14:paraId="1CC3F9E1">
                  <w:pPr>
                    <w:keepNext w:val="0"/>
                    <w:keepLines w:val="0"/>
                    <w:pageBreakBefore w:val="0"/>
                    <w:widowControl w:val="0"/>
                    <w:suppressLineNumbers w:val="0"/>
                    <w:kinsoku/>
                    <w:wordWrap/>
                    <w:overflowPunct/>
                    <w:topLinePunct w:val="0"/>
                    <w:autoSpaceDE/>
                    <w:autoSpaceDN/>
                    <w:bidi w:val="0"/>
                    <w:adjustRightInd w:val="0"/>
                    <w:snapToGrid/>
                    <w:spacing w:before="157" w:beforeLines="50" w:beforeAutospacing="0" w:after="157" w:afterLines="50" w:afterAutospacing="0" w:line="240" w:lineRule="auto"/>
                    <w:ind w:left="105" w:leftChars="50" w:right="105" w:rightChars="50"/>
                    <w:textAlignment w:val="auto"/>
                    <w:rPr>
                      <w:rFonts w:hint="default" w:ascii="Times New Roman" w:hAnsi="Times New Roman" w:cs="Times New Roman"/>
                      <w:color w:val="000000"/>
                      <w:szCs w:val="21"/>
                    </w:rPr>
                  </w:pPr>
                </w:p>
              </w:tc>
              <w:tc>
                <w:tcPr>
                  <w:tcW w:w="2761" w:type="dxa"/>
                  <w:shd w:val="clear" w:color="auto" w:fill="auto"/>
                  <w:noWrap w:val="0"/>
                  <w:vAlign w:val="center"/>
                </w:tcPr>
                <w:p w14:paraId="6366B03B">
                  <w:pPr>
                    <w:pStyle w:val="93"/>
                    <w:keepNext w:val="0"/>
                    <w:keepLines w:val="0"/>
                    <w:pageBreakBefore w:val="0"/>
                    <w:suppressLineNumbers w:val="0"/>
                    <w:kinsoku/>
                    <w:wordWrap/>
                    <w:overflowPunct/>
                    <w:topLinePunct w:val="0"/>
                    <w:autoSpaceDE/>
                    <w:autoSpaceDN/>
                    <w:bidi w:val="0"/>
                    <w:adjustRightInd w:val="0"/>
                    <w:snapToGrid w:val="0"/>
                    <w:spacing w:beforeAutospacing="0" w:afterAutospacing="0" w:line="240" w:lineRule="auto"/>
                    <w:ind w:left="0" w:right="0" w:rightChars="0"/>
                    <w:jc w:val="both"/>
                    <w:textAlignment w:val="auto"/>
                    <w:rPr>
                      <w:rFonts w:hint="default"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强化</w:t>
                  </w:r>
                  <w:r>
                    <w:rPr>
                      <w:rFonts w:hint="default" w:ascii="Times New Roman" w:hAnsi="Times New Roman" w:eastAsia="宋体" w:cs="Times New Roman"/>
                      <w:color w:val="000000"/>
                      <w:kern w:val="0"/>
                      <w:sz w:val="21"/>
                      <w:szCs w:val="21"/>
                      <w:lang w:val="en-US" w:eastAsia="zh-CN" w:bidi="ar"/>
                    </w:rPr>
                    <w:t>VOCs</w:t>
                  </w:r>
                  <w:r>
                    <w:rPr>
                      <w:rFonts w:hint="eastAsia" w:ascii="宋体" w:hAnsi="宋体" w:eastAsia="宋体" w:cs="宋体"/>
                      <w:color w:val="000000"/>
                      <w:kern w:val="0"/>
                      <w:sz w:val="21"/>
                      <w:szCs w:val="21"/>
                      <w:lang w:val="en-US" w:eastAsia="zh-CN" w:bidi="ar"/>
                    </w:rPr>
                    <w:t>、恶臭异味治理。大力实施涉</w:t>
                  </w:r>
                  <w:r>
                    <w:rPr>
                      <w:rFonts w:hint="default" w:ascii="Times New Roman" w:hAnsi="Times New Roman" w:eastAsia="宋体" w:cs="Times New Roman"/>
                      <w:color w:val="000000"/>
                      <w:kern w:val="0"/>
                      <w:sz w:val="21"/>
                      <w:szCs w:val="21"/>
                      <w:lang w:val="en-US" w:eastAsia="zh-CN" w:bidi="ar"/>
                    </w:rPr>
                    <w:t>VOCs</w:t>
                  </w:r>
                  <w:r>
                    <w:rPr>
                      <w:rFonts w:hint="eastAsia" w:ascii="宋体" w:hAnsi="宋体" w:eastAsia="宋体" w:cs="宋体"/>
                      <w:color w:val="000000"/>
                      <w:kern w:val="0"/>
                      <w:sz w:val="21"/>
                      <w:szCs w:val="21"/>
                      <w:lang w:val="en-US" w:eastAsia="zh-CN" w:bidi="ar"/>
                    </w:rPr>
                    <w:t>原辅材料源头替代。严格控制生产和使用高</w:t>
                  </w:r>
                  <w:r>
                    <w:rPr>
                      <w:rFonts w:hint="default" w:ascii="Times New Roman" w:hAnsi="Times New Roman" w:eastAsia="宋体" w:cs="Times New Roman"/>
                      <w:color w:val="000000"/>
                      <w:kern w:val="0"/>
                      <w:sz w:val="21"/>
                      <w:szCs w:val="21"/>
                      <w:lang w:val="en-US" w:eastAsia="zh-CN" w:bidi="ar"/>
                    </w:rPr>
                    <w:t>VOCs</w:t>
                  </w:r>
                  <w:r>
                    <w:rPr>
                      <w:rFonts w:hint="eastAsia" w:ascii="宋体" w:hAnsi="宋体" w:eastAsia="宋体" w:cs="宋体"/>
                      <w:color w:val="000000"/>
                      <w:kern w:val="0"/>
                      <w:sz w:val="21"/>
                      <w:szCs w:val="21"/>
                      <w:lang w:val="en-US" w:eastAsia="zh-CN" w:bidi="ar"/>
                    </w:rPr>
                    <w:t>含量涂料、油墨、胶粘剂、清洗剂等建设项目，提高低（无）</w:t>
                  </w:r>
                  <w:r>
                    <w:rPr>
                      <w:rFonts w:hint="default" w:ascii="Times New Roman" w:hAnsi="Times New Roman" w:eastAsia="宋体" w:cs="Times New Roman"/>
                      <w:color w:val="000000"/>
                      <w:kern w:val="0"/>
                      <w:sz w:val="21"/>
                      <w:szCs w:val="21"/>
                      <w:lang w:val="en-US" w:eastAsia="zh-CN" w:bidi="ar"/>
                    </w:rPr>
                    <w:t>VOCs</w:t>
                  </w:r>
                  <w:r>
                    <w:rPr>
                      <w:rFonts w:hint="eastAsia" w:ascii="宋体" w:hAnsi="宋体" w:eastAsia="宋体" w:cs="宋体"/>
                      <w:color w:val="000000"/>
                      <w:kern w:val="0"/>
                      <w:sz w:val="21"/>
                      <w:szCs w:val="21"/>
                      <w:lang w:val="en-US" w:eastAsia="zh-CN" w:bidi="ar"/>
                    </w:rPr>
                    <w:t>含量产品比重。在生产、销售、进口、使用等环节严格执行</w:t>
                  </w:r>
                  <w:r>
                    <w:rPr>
                      <w:rFonts w:hint="default" w:ascii="Times New Roman" w:hAnsi="Times New Roman" w:eastAsia="宋体" w:cs="Times New Roman"/>
                      <w:color w:val="000000"/>
                      <w:kern w:val="0"/>
                      <w:sz w:val="21"/>
                      <w:szCs w:val="21"/>
                      <w:lang w:val="en-US" w:eastAsia="zh-CN" w:bidi="ar"/>
                    </w:rPr>
                    <w:t>VOCs</w:t>
                  </w:r>
                  <w:r>
                    <w:rPr>
                      <w:rFonts w:hint="eastAsia" w:ascii="宋体" w:hAnsi="宋体" w:eastAsia="宋体" w:cs="宋体"/>
                      <w:color w:val="000000"/>
                      <w:kern w:val="0"/>
                      <w:sz w:val="21"/>
                      <w:szCs w:val="21"/>
                      <w:lang w:val="en-US" w:eastAsia="zh-CN" w:bidi="ar"/>
                    </w:rPr>
                    <w:t>含量限值标准。推广使用低</w:t>
                  </w:r>
                  <w:r>
                    <w:rPr>
                      <w:rFonts w:hint="default" w:ascii="Times New Roman" w:hAnsi="Times New Roman" w:eastAsia="宋体" w:cs="Times New Roman"/>
                      <w:color w:val="000000"/>
                      <w:kern w:val="0"/>
                      <w:sz w:val="21"/>
                      <w:szCs w:val="21"/>
                      <w:lang w:val="en-US" w:eastAsia="zh-CN" w:bidi="ar"/>
                    </w:rPr>
                    <w:t>VOCs</w:t>
                  </w:r>
                  <w:r>
                    <w:rPr>
                      <w:rFonts w:hint="eastAsia" w:ascii="宋体" w:hAnsi="宋体" w:eastAsia="宋体" w:cs="宋体"/>
                      <w:color w:val="000000"/>
                      <w:kern w:val="0"/>
                      <w:sz w:val="21"/>
                      <w:szCs w:val="21"/>
                      <w:lang w:val="en-US" w:eastAsia="zh-CN" w:bidi="ar"/>
                    </w:rPr>
                    <w:t>含量涂料和胶粘剂。</w:t>
                  </w:r>
                </w:p>
              </w:tc>
              <w:tc>
                <w:tcPr>
                  <w:tcW w:w="2017" w:type="dxa"/>
                  <w:shd w:val="clear" w:color="auto" w:fill="auto"/>
                  <w:noWrap w:val="0"/>
                  <w:vAlign w:val="center"/>
                </w:tcPr>
                <w:p w14:paraId="40C1E897">
                  <w:pPr>
                    <w:pStyle w:val="93"/>
                    <w:keepNext w:val="0"/>
                    <w:keepLines w:val="0"/>
                    <w:pageBreakBefore w:val="0"/>
                    <w:suppressLineNumbers w:val="0"/>
                    <w:kinsoku/>
                    <w:wordWrap/>
                    <w:overflowPunct/>
                    <w:topLinePunct w:val="0"/>
                    <w:autoSpaceDE/>
                    <w:autoSpaceDN/>
                    <w:bidi w:val="0"/>
                    <w:adjustRightInd w:val="0"/>
                    <w:snapToGrid w:val="0"/>
                    <w:spacing w:beforeAutospacing="0" w:afterAutospacing="0" w:line="240" w:lineRule="auto"/>
                    <w:ind w:left="0" w:right="0" w:rightChars="0"/>
                    <w:jc w:val="both"/>
                    <w:textAlignment w:val="auto"/>
                    <w:rPr>
                      <w:rFonts w:hint="default" w:ascii="Times New Roman" w:hAnsi="Times New Roman" w:eastAsia="宋体" w:cs="Times New Roman"/>
                      <w:color w:val="auto"/>
                      <w:kern w:val="0"/>
                      <w:sz w:val="21"/>
                      <w:szCs w:val="21"/>
                      <w:lang w:val="en-US" w:eastAsia="zh-CN" w:bidi="ar-SA"/>
                    </w:rPr>
                  </w:pPr>
                  <w:r>
                    <w:rPr>
                      <w:rFonts w:hint="eastAsia"/>
                      <w:snapToGrid w:val="0"/>
                      <w:sz w:val="21"/>
                      <w:szCs w:val="21"/>
                      <w:lang w:eastAsia="zh-CN"/>
                    </w:rPr>
                    <w:t>项目</w:t>
                  </w:r>
                  <w:r>
                    <w:rPr>
                      <w:rFonts w:hint="eastAsia"/>
                      <w:sz w:val="21"/>
                      <w:szCs w:val="21"/>
                      <w:lang w:eastAsia="zh-CN"/>
                    </w:rPr>
                    <w:t>不涉及</w:t>
                  </w:r>
                  <w:r>
                    <w:rPr>
                      <w:rFonts w:hint="eastAsia" w:ascii="宋体" w:hAnsi="宋体" w:eastAsia="宋体" w:cs="宋体"/>
                      <w:color w:val="000000"/>
                      <w:kern w:val="0"/>
                      <w:sz w:val="21"/>
                      <w:szCs w:val="21"/>
                      <w:lang w:val="en-US" w:eastAsia="zh-CN" w:bidi="ar"/>
                    </w:rPr>
                    <w:t>高</w:t>
                  </w:r>
                  <w:r>
                    <w:rPr>
                      <w:rFonts w:hint="default" w:ascii="Times New Roman" w:hAnsi="Times New Roman" w:eastAsia="宋体" w:cs="Times New Roman"/>
                      <w:color w:val="000000"/>
                      <w:kern w:val="0"/>
                      <w:sz w:val="21"/>
                      <w:szCs w:val="21"/>
                      <w:lang w:val="en-US" w:eastAsia="zh-CN" w:bidi="ar"/>
                    </w:rPr>
                    <w:t>VOCs</w:t>
                  </w:r>
                  <w:r>
                    <w:rPr>
                      <w:rFonts w:hint="eastAsia" w:ascii="宋体" w:hAnsi="宋体" w:eastAsia="宋体" w:cs="宋体"/>
                      <w:color w:val="000000"/>
                      <w:kern w:val="0"/>
                      <w:sz w:val="21"/>
                      <w:szCs w:val="21"/>
                      <w:lang w:val="en-US" w:eastAsia="zh-CN" w:bidi="ar"/>
                    </w:rPr>
                    <w:t>含量涂料、油墨、胶粘剂、清洗剂使用</w:t>
                  </w:r>
                  <w:r>
                    <w:rPr>
                      <w:rFonts w:hint="eastAsia" w:hAnsi="宋体" w:cs="宋体"/>
                      <w:color w:val="000000"/>
                      <w:kern w:val="0"/>
                      <w:sz w:val="21"/>
                      <w:szCs w:val="21"/>
                      <w:lang w:val="en-US" w:eastAsia="zh-CN" w:bidi="ar"/>
                    </w:rPr>
                    <w:t>，项目所使用水性油墨、胶粘剂均为</w:t>
                  </w:r>
                  <w:r>
                    <w:rPr>
                      <w:rFonts w:hint="eastAsia" w:ascii="宋体" w:hAnsi="宋体" w:eastAsia="宋体" w:cs="宋体"/>
                      <w:color w:val="000000"/>
                      <w:kern w:val="0"/>
                      <w:sz w:val="21"/>
                      <w:szCs w:val="21"/>
                      <w:lang w:val="en-US" w:eastAsia="zh-CN" w:bidi="ar"/>
                    </w:rPr>
                    <w:t>低</w:t>
                  </w:r>
                  <w:r>
                    <w:rPr>
                      <w:rFonts w:hint="default" w:ascii="Times New Roman" w:hAnsi="Times New Roman" w:eastAsia="宋体" w:cs="Times New Roman"/>
                      <w:color w:val="000000"/>
                      <w:kern w:val="0"/>
                      <w:sz w:val="21"/>
                      <w:szCs w:val="21"/>
                      <w:lang w:val="en-US" w:eastAsia="zh-CN" w:bidi="ar"/>
                    </w:rPr>
                    <w:t>VOCs</w:t>
                  </w:r>
                  <w:r>
                    <w:rPr>
                      <w:rFonts w:hint="eastAsia" w:ascii="宋体" w:hAnsi="宋体" w:eastAsia="宋体" w:cs="宋体"/>
                      <w:color w:val="000000"/>
                      <w:kern w:val="0"/>
                      <w:sz w:val="21"/>
                      <w:szCs w:val="21"/>
                      <w:lang w:val="en-US" w:eastAsia="zh-CN" w:bidi="ar"/>
                    </w:rPr>
                    <w:t>含量</w:t>
                  </w:r>
                  <w:r>
                    <w:rPr>
                      <w:rFonts w:hint="eastAsia" w:hAnsi="宋体" w:cs="宋体"/>
                      <w:color w:val="000000"/>
                      <w:kern w:val="0"/>
                      <w:sz w:val="21"/>
                      <w:szCs w:val="21"/>
                      <w:lang w:val="en-US" w:eastAsia="zh-CN" w:bidi="ar"/>
                    </w:rPr>
                    <w:t>物料</w:t>
                  </w:r>
                  <w:r>
                    <w:rPr>
                      <w:rFonts w:hint="eastAsia" w:ascii="宋体" w:hAnsi="宋体" w:eastAsia="宋体" w:cs="宋体"/>
                      <w:color w:val="000000"/>
                      <w:kern w:val="0"/>
                      <w:sz w:val="21"/>
                      <w:szCs w:val="21"/>
                      <w:lang w:val="en-US" w:eastAsia="zh-CN" w:bidi="ar"/>
                    </w:rPr>
                    <w:t>。</w:t>
                  </w:r>
                </w:p>
              </w:tc>
              <w:tc>
                <w:tcPr>
                  <w:tcW w:w="689" w:type="dxa"/>
                  <w:shd w:val="clear" w:color="auto" w:fill="auto"/>
                  <w:noWrap w:val="0"/>
                  <w:vAlign w:val="center"/>
                </w:tcPr>
                <w:p w14:paraId="30C6F719">
                  <w:pPr>
                    <w:pStyle w:val="93"/>
                    <w:keepNext w:val="0"/>
                    <w:keepLines w:val="0"/>
                    <w:pageBreakBefore w:val="0"/>
                    <w:suppressLineNumbers w:val="0"/>
                    <w:kinsoku/>
                    <w:wordWrap/>
                    <w:overflowPunct/>
                    <w:topLinePunct w:val="0"/>
                    <w:autoSpaceDE/>
                    <w:autoSpaceDN/>
                    <w:bidi w:val="0"/>
                    <w:adjustRightInd w:val="0"/>
                    <w:snapToGrid w:val="0"/>
                    <w:spacing w:beforeAutospacing="0" w:afterAutospacing="0" w:line="240" w:lineRule="auto"/>
                    <w:ind w:left="0" w:right="0" w:rightChars="0"/>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cs="Times New Roman"/>
                      <w:color w:val="auto"/>
                      <w:sz w:val="21"/>
                      <w:szCs w:val="21"/>
                      <w:lang w:eastAsia="zh-CN"/>
                    </w:rPr>
                    <w:t>符合</w:t>
                  </w:r>
                </w:p>
              </w:tc>
            </w:tr>
            <w:tr w14:paraId="5990E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401" w:type="dxa"/>
                  <w:noWrap w:val="0"/>
                  <w:vAlign w:val="center"/>
                </w:tcPr>
                <w:p w14:paraId="7C5092DC">
                  <w:pPr>
                    <w:keepNext w:val="0"/>
                    <w:keepLines w:val="0"/>
                    <w:pageBreakBefore w:val="0"/>
                    <w:widowControl w:val="0"/>
                    <w:suppressLineNumbers w:val="0"/>
                    <w:kinsoku/>
                    <w:wordWrap/>
                    <w:overflowPunct/>
                    <w:topLinePunct w:val="0"/>
                    <w:autoSpaceDE/>
                    <w:autoSpaceDN/>
                    <w:bidi w:val="0"/>
                    <w:adjustRightInd w:val="0"/>
                    <w:snapToGrid/>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cs="Times New Roman"/>
                      <w:color w:val="000000"/>
                      <w:szCs w:val="21"/>
                    </w:rPr>
                  </w:pPr>
                  <w:r>
                    <w:rPr>
                      <w:rFonts w:hint="default" w:ascii="Times New Roman" w:hAnsi="Times New Roman" w:cs="Times New Roman"/>
                      <w:color w:val="000000"/>
                      <w:szCs w:val="21"/>
                    </w:rPr>
                    <w:t>3</w:t>
                  </w:r>
                </w:p>
              </w:tc>
              <w:tc>
                <w:tcPr>
                  <w:tcW w:w="1802" w:type="dxa"/>
                  <w:noWrap w:val="0"/>
                  <w:vAlign w:val="center"/>
                </w:tcPr>
                <w:p w14:paraId="25FEEB53">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rightChars="0"/>
                    <w:jc w:val="center"/>
                    <w:textAlignment w:val="auto"/>
                    <w:rPr>
                      <w:rFonts w:hint="default" w:ascii="Times New Roman" w:hAnsi="Times New Roman" w:cs="Times New Roman"/>
                      <w:color w:val="000000"/>
                      <w:szCs w:val="21"/>
                    </w:rPr>
                  </w:pPr>
                  <w:r>
                    <w:rPr>
                      <w:rFonts w:hint="default" w:ascii="Times New Roman" w:hAnsi="Times New Roman" w:cs="Times New Roman"/>
                      <w:color w:val="000000"/>
                      <w:szCs w:val="21"/>
                    </w:rPr>
                    <w:t>《沧州市深入打好重污染天气消除、臭氧污染防治、柴油货车污染治理和全市大气污染深度治理攻坚战行动方案》(沧气领办[2023]45号)</w:t>
                  </w:r>
                </w:p>
              </w:tc>
              <w:tc>
                <w:tcPr>
                  <w:tcW w:w="2761" w:type="dxa"/>
                  <w:noWrap w:val="0"/>
                  <w:vAlign w:val="center"/>
                </w:tcPr>
                <w:p w14:paraId="00800518">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rightChars="0"/>
                    <w:jc w:val="both"/>
                    <w:textAlignment w:val="auto"/>
                    <w:rPr>
                      <w:rFonts w:hint="eastAsia" w:ascii="Times New Roman" w:hAnsi="Times New Roman" w:eastAsia="宋体" w:cs="Times New Roman"/>
                      <w:color w:val="000000"/>
                      <w:szCs w:val="21"/>
                      <w:lang w:eastAsia="zh-CN"/>
                    </w:rPr>
                  </w:pPr>
                  <w:r>
                    <w:rPr>
                      <w:rFonts w:hint="default" w:ascii="Times New Roman" w:hAnsi="Times New Roman" w:cs="Times New Roman"/>
                      <w:color w:val="000000"/>
                      <w:szCs w:val="21"/>
                    </w:rPr>
                    <w:t>坚持</w:t>
                  </w:r>
                  <w:r>
                    <w:rPr>
                      <w:rFonts w:hint="eastAsia" w:ascii="Times New Roman" w:hAnsi="Times New Roman" w:cs="Times New Roman"/>
                      <w:color w:val="000000"/>
                      <w:szCs w:val="21"/>
                      <w:lang w:eastAsia="zh-CN"/>
                    </w:rPr>
                    <w:t>“</w:t>
                  </w:r>
                  <w:r>
                    <w:rPr>
                      <w:rFonts w:hint="default" w:ascii="Times New Roman" w:hAnsi="Times New Roman" w:cs="Times New Roman"/>
                      <w:color w:val="000000"/>
                      <w:szCs w:val="21"/>
                    </w:rPr>
                    <w:t>应收尽收、分质收集</w:t>
                  </w:r>
                  <w:r>
                    <w:rPr>
                      <w:rFonts w:hint="eastAsia" w:ascii="Times New Roman" w:hAnsi="Times New Roman" w:cs="Times New Roman"/>
                      <w:color w:val="000000"/>
                      <w:szCs w:val="21"/>
                      <w:lang w:eastAsia="zh-CN"/>
                    </w:rPr>
                    <w:t>”</w:t>
                  </w:r>
                  <w:r>
                    <w:rPr>
                      <w:rFonts w:hint="default" w:ascii="Times New Roman" w:hAnsi="Times New Roman" w:cs="Times New Roman"/>
                      <w:color w:val="000000"/>
                      <w:szCs w:val="21"/>
                    </w:rPr>
                    <w:t>的原则，严禁高浓度废气和低浓度废气混合稀释排放，确保排放浓度和去除效率</w:t>
                  </w:r>
                  <w:r>
                    <w:rPr>
                      <w:rFonts w:hint="eastAsia" w:ascii="Times New Roman" w:hAnsi="Times New Roman" w:cs="Times New Roman"/>
                      <w:color w:val="000000"/>
                      <w:szCs w:val="21"/>
                      <w:lang w:eastAsia="zh-CN"/>
                    </w:rPr>
                    <w:t>“</w:t>
                  </w:r>
                  <w:r>
                    <w:rPr>
                      <w:rFonts w:hint="default" w:ascii="Times New Roman" w:hAnsi="Times New Roman" w:cs="Times New Roman"/>
                      <w:color w:val="000000"/>
                      <w:szCs w:val="21"/>
                    </w:rPr>
                    <w:t>双达标</w:t>
                  </w:r>
                  <w:r>
                    <w:rPr>
                      <w:rFonts w:hint="eastAsia" w:ascii="Times New Roman" w:hAnsi="Times New Roman" w:cs="Times New Roman"/>
                      <w:color w:val="000000"/>
                      <w:szCs w:val="21"/>
                      <w:lang w:eastAsia="zh-CN"/>
                    </w:rPr>
                    <w:t>”。</w:t>
                  </w:r>
                </w:p>
              </w:tc>
              <w:tc>
                <w:tcPr>
                  <w:tcW w:w="2017" w:type="dxa"/>
                  <w:noWrap w:val="0"/>
                  <w:vAlign w:val="center"/>
                </w:tcPr>
                <w:p w14:paraId="2A7C3FA0">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rightChars="0"/>
                    <w:jc w:val="both"/>
                    <w:textAlignment w:val="auto"/>
                    <w:rPr>
                      <w:rFonts w:hint="eastAsia" w:ascii="Times New Roman" w:hAnsi="Times New Roman" w:eastAsia="宋体" w:cs="Times New Roman"/>
                      <w:color w:val="000000"/>
                      <w:szCs w:val="21"/>
                      <w:lang w:eastAsia="zh-CN"/>
                    </w:rPr>
                  </w:pPr>
                  <w:r>
                    <w:rPr>
                      <w:rFonts w:hint="default" w:ascii="Times New Roman" w:hAnsi="Times New Roman" w:cs="Times New Roman"/>
                      <w:color w:val="000000"/>
                      <w:szCs w:val="21"/>
                    </w:rPr>
                    <w:t>本项目根据产生的有机废气种类及性质，采用</w:t>
                  </w:r>
                  <w:r>
                    <w:rPr>
                      <w:rFonts w:hint="eastAsia" w:ascii="Times New Roman" w:hAnsi="Times New Roman" w:cs="Times New Roman"/>
                      <w:color w:val="000000"/>
                      <w:szCs w:val="21"/>
                      <w:lang w:eastAsia="zh-CN"/>
                    </w:rPr>
                    <w:t>二级活性炭吸附装置</w:t>
                  </w:r>
                  <w:r>
                    <w:rPr>
                      <w:rFonts w:hint="default" w:ascii="Times New Roman" w:hAnsi="Times New Roman" w:cs="Times New Roman"/>
                      <w:color w:val="000000"/>
                      <w:szCs w:val="21"/>
                    </w:rPr>
                    <w:t>进行处理，不存在稀释排放，经治理后VOC</w:t>
                  </w:r>
                  <w:r>
                    <w:rPr>
                      <w:rFonts w:hint="default" w:ascii="Times New Roman" w:hAnsi="Times New Roman" w:cs="Times New Roman"/>
                      <w:color w:val="000000"/>
                      <w:szCs w:val="21"/>
                      <w:vertAlign w:val="subscript"/>
                    </w:rPr>
                    <w:t>S</w:t>
                  </w:r>
                  <w:r>
                    <w:rPr>
                      <w:rFonts w:hint="default" w:ascii="Times New Roman" w:hAnsi="Times New Roman" w:cs="Times New Roman"/>
                      <w:color w:val="000000"/>
                      <w:szCs w:val="21"/>
                    </w:rPr>
                    <w:t>可达标排放</w:t>
                  </w:r>
                  <w:r>
                    <w:rPr>
                      <w:rFonts w:hint="eastAsia" w:ascii="Times New Roman" w:hAnsi="Times New Roman" w:cs="Times New Roman"/>
                      <w:color w:val="000000"/>
                      <w:szCs w:val="21"/>
                      <w:lang w:eastAsia="zh-CN"/>
                    </w:rPr>
                    <w:t>。</w:t>
                  </w:r>
                </w:p>
              </w:tc>
              <w:tc>
                <w:tcPr>
                  <w:tcW w:w="689" w:type="dxa"/>
                  <w:noWrap w:val="0"/>
                  <w:vAlign w:val="center"/>
                </w:tcPr>
                <w:p w14:paraId="55AB62EC">
                  <w:pPr>
                    <w:keepNext w:val="0"/>
                    <w:keepLines w:val="0"/>
                    <w:pageBreakBefore w:val="0"/>
                    <w:widowControl w:val="0"/>
                    <w:suppressLineNumbers w:val="0"/>
                    <w:kinsoku/>
                    <w:wordWrap/>
                    <w:overflowPunct/>
                    <w:topLinePunct w:val="0"/>
                    <w:autoSpaceDE/>
                    <w:autoSpaceDN/>
                    <w:bidi w:val="0"/>
                    <w:adjustRightInd w:val="0"/>
                    <w:snapToGrid/>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cs="Times New Roman"/>
                      <w:color w:val="000000"/>
                      <w:szCs w:val="21"/>
                    </w:rPr>
                  </w:pPr>
                  <w:r>
                    <w:rPr>
                      <w:rFonts w:hint="default" w:ascii="Times New Roman" w:hAnsi="Times New Roman" w:cs="Times New Roman"/>
                      <w:color w:val="000000"/>
                      <w:szCs w:val="21"/>
                    </w:rPr>
                    <w:t>符合</w:t>
                  </w:r>
                </w:p>
              </w:tc>
            </w:tr>
            <w:tr w14:paraId="6CA064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401" w:type="dxa"/>
                  <w:noWrap w:val="0"/>
                  <w:vAlign w:val="center"/>
                </w:tcPr>
                <w:p w14:paraId="191E114E">
                  <w:pPr>
                    <w:keepNext w:val="0"/>
                    <w:keepLines w:val="0"/>
                    <w:pageBreakBefore w:val="0"/>
                    <w:widowControl w:val="0"/>
                    <w:suppressLineNumbers w:val="0"/>
                    <w:kinsoku/>
                    <w:wordWrap/>
                    <w:overflowPunct/>
                    <w:topLinePunct w:val="0"/>
                    <w:autoSpaceDE/>
                    <w:autoSpaceDN/>
                    <w:bidi w:val="0"/>
                    <w:adjustRightInd w:val="0"/>
                    <w:snapToGrid/>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cs="Times New Roman"/>
                      <w:color w:val="000000"/>
                      <w:szCs w:val="21"/>
                    </w:rPr>
                  </w:pPr>
                  <w:r>
                    <w:rPr>
                      <w:rFonts w:hint="default" w:ascii="Times New Roman" w:hAnsi="Times New Roman" w:cs="Times New Roman"/>
                      <w:color w:val="000000"/>
                      <w:szCs w:val="21"/>
                    </w:rPr>
                    <w:t>4</w:t>
                  </w:r>
                </w:p>
              </w:tc>
              <w:tc>
                <w:tcPr>
                  <w:tcW w:w="1802" w:type="dxa"/>
                  <w:noWrap w:val="0"/>
                  <w:vAlign w:val="center"/>
                </w:tcPr>
                <w:p w14:paraId="3B8DE37D">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rightChars="0"/>
                    <w:jc w:val="center"/>
                    <w:textAlignment w:val="auto"/>
                    <w:rPr>
                      <w:rFonts w:hint="default" w:ascii="Times New Roman" w:hAnsi="Times New Roman" w:cs="Times New Roman"/>
                      <w:color w:val="000000"/>
                      <w:szCs w:val="21"/>
                    </w:rPr>
                  </w:pPr>
                  <w:r>
                    <w:rPr>
                      <w:rFonts w:hint="default" w:ascii="Times New Roman" w:hAnsi="Times New Roman" w:cs="Times New Roman"/>
                      <w:color w:val="000000"/>
                      <w:szCs w:val="21"/>
                    </w:rPr>
                    <w:t>《沧州市大气污染防治工作领导小组办公室关于印发&lt;沧州市2023年大气污染综合治理工作要点&gt;的通知》(沧气领办[2023]44号)</w:t>
                  </w:r>
                </w:p>
              </w:tc>
              <w:tc>
                <w:tcPr>
                  <w:tcW w:w="2761" w:type="dxa"/>
                  <w:noWrap w:val="0"/>
                  <w:vAlign w:val="center"/>
                </w:tcPr>
                <w:p w14:paraId="31B0B491">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rightChars="0"/>
                    <w:jc w:val="both"/>
                    <w:textAlignment w:val="auto"/>
                    <w:rPr>
                      <w:rFonts w:hint="default" w:ascii="Times New Roman" w:hAnsi="Times New Roman" w:cs="Times New Roman"/>
                      <w:color w:val="000000"/>
                      <w:szCs w:val="21"/>
                    </w:rPr>
                  </w:pPr>
                  <w:r>
                    <w:rPr>
                      <w:rFonts w:hint="default" w:ascii="Times New Roman" w:hAnsi="Times New Roman" w:cs="Times New Roman"/>
                      <w:color w:val="000000"/>
                      <w:szCs w:val="21"/>
                    </w:rPr>
                    <w:t>开展低效治理设施再排查行动，对存在使用单一光氧治理设施不能达到治理效果的限期进行提升改造。</w:t>
                  </w:r>
                </w:p>
              </w:tc>
              <w:tc>
                <w:tcPr>
                  <w:tcW w:w="2017" w:type="dxa"/>
                  <w:noWrap w:val="0"/>
                  <w:vAlign w:val="center"/>
                </w:tcPr>
                <w:p w14:paraId="533B56F2">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rightChars="0"/>
                    <w:jc w:val="both"/>
                    <w:textAlignment w:val="auto"/>
                    <w:rPr>
                      <w:rFonts w:hint="eastAsia" w:ascii="Times New Roman" w:hAnsi="Times New Roman" w:eastAsia="宋体" w:cs="Times New Roman"/>
                      <w:color w:val="000000"/>
                      <w:szCs w:val="21"/>
                      <w:lang w:eastAsia="zh-CN"/>
                    </w:rPr>
                  </w:pPr>
                  <w:r>
                    <w:rPr>
                      <w:rFonts w:hint="default" w:ascii="Times New Roman" w:hAnsi="Times New Roman" w:cs="Times New Roman"/>
                      <w:color w:val="000000"/>
                      <w:szCs w:val="21"/>
                    </w:rPr>
                    <w:t>本项目有机废气不使用光氧治理设施，采用</w:t>
                  </w:r>
                  <w:r>
                    <w:rPr>
                      <w:rFonts w:hint="eastAsia" w:ascii="Times New Roman" w:hAnsi="Times New Roman" w:cs="Times New Roman"/>
                      <w:color w:val="000000"/>
                      <w:szCs w:val="21"/>
                      <w:lang w:eastAsia="zh-CN"/>
                    </w:rPr>
                    <w:t>二级活性炭吸附</w:t>
                  </w:r>
                  <w:r>
                    <w:rPr>
                      <w:rFonts w:hint="default" w:ascii="Times New Roman" w:hAnsi="Times New Roman" w:cs="Times New Roman"/>
                      <w:color w:val="000000"/>
                      <w:szCs w:val="21"/>
                    </w:rPr>
                    <w:t>方式处理，不属于低效治理设施，VOC</w:t>
                  </w:r>
                  <w:r>
                    <w:rPr>
                      <w:rFonts w:hint="default" w:ascii="Times New Roman" w:hAnsi="Times New Roman" w:cs="Times New Roman"/>
                      <w:color w:val="000000"/>
                      <w:szCs w:val="21"/>
                      <w:vertAlign w:val="subscript"/>
                    </w:rPr>
                    <w:t>S</w:t>
                  </w:r>
                  <w:r>
                    <w:rPr>
                      <w:rFonts w:hint="default" w:ascii="Times New Roman" w:hAnsi="Times New Roman" w:cs="Times New Roman"/>
                      <w:color w:val="000000"/>
                      <w:szCs w:val="21"/>
                    </w:rPr>
                    <w:t>废气可达标排放</w:t>
                  </w:r>
                  <w:r>
                    <w:rPr>
                      <w:rFonts w:hint="eastAsia" w:ascii="Times New Roman" w:hAnsi="Times New Roman" w:cs="Times New Roman"/>
                      <w:color w:val="000000"/>
                      <w:szCs w:val="21"/>
                      <w:lang w:eastAsia="zh-CN"/>
                    </w:rPr>
                    <w:t>。</w:t>
                  </w:r>
                </w:p>
              </w:tc>
              <w:tc>
                <w:tcPr>
                  <w:tcW w:w="689" w:type="dxa"/>
                  <w:noWrap w:val="0"/>
                  <w:vAlign w:val="center"/>
                </w:tcPr>
                <w:p w14:paraId="34377C06">
                  <w:pPr>
                    <w:keepNext w:val="0"/>
                    <w:keepLines w:val="0"/>
                    <w:pageBreakBefore w:val="0"/>
                    <w:widowControl w:val="0"/>
                    <w:suppressLineNumbers w:val="0"/>
                    <w:kinsoku/>
                    <w:wordWrap/>
                    <w:overflowPunct/>
                    <w:topLinePunct w:val="0"/>
                    <w:autoSpaceDE/>
                    <w:autoSpaceDN/>
                    <w:bidi w:val="0"/>
                    <w:adjustRightInd w:val="0"/>
                    <w:snapToGrid/>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cs="Times New Roman"/>
                      <w:color w:val="000000"/>
                      <w:szCs w:val="21"/>
                    </w:rPr>
                  </w:pPr>
                  <w:r>
                    <w:rPr>
                      <w:rFonts w:hint="default" w:ascii="Times New Roman" w:hAnsi="Times New Roman" w:cs="Times New Roman"/>
                      <w:color w:val="000000"/>
                      <w:szCs w:val="21"/>
                    </w:rPr>
                    <w:t>符合</w:t>
                  </w:r>
                </w:p>
              </w:tc>
            </w:tr>
            <w:tr w14:paraId="167A13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401" w:type="dxa"/>
                  <w:noWrap w:val="0"/>
                  <w:vAlign w:val="center"/>
                </w:tcPr>
                <w:p w14:paraId="5A17499D">
                  <w:pPr>
                    <w:keepNext w:val="0"/>
                    <w:keepLines w:val="0"/>
                    <w:pageBreakBefore w:val="0"/>
                    <w:widowControl w:val="0"/>
                    <w:suppressLineNumbers w:val="0"/>
                    <w:kinsoku/>
                    <w:wordWrap/>
                    <w:overflowPunct/>
                    <w:topLinePunct w:val="0"/>
                    <w:autoSpaceDE/>
                    <w:autoSpaceDN/>
                    <w:bidi w:val="0"/>
                    <w:adjustRightInd w:val="0"/>
                    <w:snapToGrid/>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cs="Times New Roman"/>
                      <w:color w:val="000000"/>
                      <w:szCs w:val="21"/>
                    </w:rPr>
                  </w:pPr>
                  <w:r>
                    <w:rPr>
                      <w:rFonts w:hint="default" w:ascii="Times New Roman" w:hAnsi="Times New Roman" w:cs="Times New Roman"/>
                      <w:color w:val="000000"/>
                      <w:szCs w:val="21"/>
                    </w:rPr>
                    <w:t>5</w:t>
                  </w:r>
                </w:p>
              </w:tc>
              <w:tc>
                <w:tcPr>
                  <w:tcW w:w="1802" w:type="dxa"/>
                  <w:noWrap w:val="0"/>
                  <w:vAlign w:val="center"/>
                </w:tcPr>
                <w:p w14:paraId="40EEA5F3">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rightChars="0"/>
                    <w:jc w:val="center"/>
                    <w:textAlignment w:val="auto"/>
                    <w:rPr>
                      <w:rFonts w:hint="default" w:ascii="Times New Roman" w:hAnsi="Times New Roman" w:cs="Times New Roman"/>
                      <w:color w:val="000000"/>
                      <w:szCs w:val="21"/>
                    </w:rPr>
                  </w:pPr>
                  <w:r>
                    <w:rPr>
                      <w:rFonts w:hint="default" w:ascii="Times New Roman" w:hAnsi="Times New Roman" w:cs="Times New Roman"/>
                      <w:color w:val="000000"/>
                      <w:szCs w:val="21"/>
                    </w:rPr>
                    <w:t>《关于做好近期臭氧污染防治重点工作的通知》（冀环办字函[2024]91号）</w:t>
                  </w:r>
                </w:p>
              </w:tc>
              <w:tc>
                <w:tcPr>
                  <w:tcW w:w="2761" w:type="dxa"/>
                  <w:noWrap w:val="0"/>
                  <w:vAlign w:val="center"/>
                </w:tcPr>
                <w:p w14:paraId="07983CC8">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rightChars="0"/>
                    <w:jc w:val="both"/>
                    <w:textAlignment w:val="auto"/>
                    <w:rPr>
                      <w:rFonts w:hint="eastAsia" w:ascii="Times New Roman" w:hAnsi="Times New Roman" w:eastAsia="宋体" w:cs="Times New Roman"/>
                      <w:color w:val="000000"/>
                      <w:szCs w:val="21"/>
                      <w:lang w:eastAsia="zh-CN"/>
                    </w:rPr>
                  </w:pPr>
                  <w:r>
                    <w:rPr>
                      <w:rFonts w:hint="default" w:ascii="Times New Roman" w:hAnsi="Times New Roman" w:cs="Times New Roman"/>
                      <w:color w:val="000000"/>
                      <w:szCs w:val="21"/>
                    </w:rPr>
                    <w:t>组织所有使用活性炭吸附工艺企业按时更换活性炭，无特殊原因，原则上全部更换为颗粒碳，同时要确保颗粒碳碘值，严防以次充好、弄虚作假</w:t>
                  </w:r>
                  <w:r>
                    <w:rPr>
                      <w:rFonts w:hint="eastAsia" w:ascii="Times New Roman" w:hAnsi="Times New Roman" w:cs="Times New Roman"/>
                      <w:color w:val="000000"/>
                      <w:szCs w:val="21"/>
                      <w:lang w:eastAsia="zh-CN"/>
                    </w:rPr>
                    <w:t>。</w:t>
                  </w:r>
                </w:p>
              </w:tc>
              <w:tc>
                <w:tcPr>
                  <w:tcW w:w="2017" w:type="dxa"/>
                  <w:noWrap w:val="0"/>
                  <w:vAlign w:val="center"/>
                </w:tcPr>
                <w:p w14:paraId="1F74E7D3">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rightChars="0"/>
                    <w:jc w:val="both"/>
                    <w:textAlignment w:val="auto"/>
                    <w:rPr>
                      <w:rFonts w:hint="eastAsia" w:ascii="Times New Roman" w:hAnsi="Times New Roman" w:eastAsia="宋体" w:cs="Times New Roman"/>
                      <w:color w:val="000000"/>
                      <w:szCs w:val="21"/>
                      <w:lang w:eastAsia="zh-CN"/>
                    </w:rPr>
                  </w:pPr>
                  <w:r>
                    <w:rPr>
                      <w:rFonts w:hint="default" w:ascii="Times New Roman" w:hAnsi="Times New Roman" w:cs="Times New Roman"/>
                      <w:color w:val="000000"/>
                      <w:szCs w:val="21"/>
                    </w:rPr>
                    <w:t>本项目活性炭采用颗粒碳填充，</w:t>
                  </w:r>
                  <w:r>
                    <w:rPr>
                      <w:rFonts w:hint="default" w:ascii="Times New Roman" w:hAnsi="Times New Roman" w:cs="Times New Roman"/>
                      <w:color w:val="auto"/>
                      <w:szCs w:val="21"/>
                    </w:rPr>
                    <w:t>碘吸附值不低于800mg/g</w:t>
                  </w:r>
                  <w:r>
                    <w:rPr>
                      <w:rFonts w:hint="eastAsia" w:cs="Times New Roman"/>
                      <w:color w:val="auto"/>
                      <w:szCs w:val="21"/>
                      <w:lang w:eastAsia="zh-CN"/>
                    </w:rPr>
                    <w:t>。</w:t>
                  </w:r>
                </w:p>
              </w:tc>
              <w:tc>
                <w:tcPr>
                  <w:tcW w:w="689" w:type="dxa"/>
                  <w:noWrap w:val="0"/>
                  <w:vAlign w:val="center"/>
                </w:tcPr>
                <w:p w14:paraId="08BDC7D6">
                  <w:pPr>
                    <w:keepNext w:val="0"/>
                    <w:keepLines w:val="0"/>
                    <w:pageBreakBefore w:val="0"/>
                    <w:widowControl w:val="0"/>
                    <w:suppressLineNumbers w:val="0"/>
                    <w:kinsoku/>
                    <w:wordWrap/>
                    <w:overflowPunct/>
                    <w:topLinePunct w:val="0"/>
                    <w:autoSpaceDE/>
                    <w:autoSpaceDN/>
                    <w:bidi w:val="0"/>
                    <w:adjustRightInd w:val="0"/>
                    <w:snapToGrid/>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cs="Times New Roman"/>
                      <w:color w:val="000000"/>
                      <w:szCs w:val="21"/>
                    </w:rPr>
                  </w:pPr>
                  <w:r>
                    <w:rPr>
                      <w:rFonts w:hint="default" w:ascii="Times New Roman" w:hAnsi="Times New Roman" w:cs="Times New Roman"/>
                      <w:color w:val="000000"/>
                      <w:szCs w:val="21"/>
                    </w:rPr>
                    <w:t>符合</w:t>
                  </w:r>
                </w:p>
              </w:tc>
            </w:tr>
            <w:tr w14:paraId="3BF23A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401" w:type="dxa"/>
                  <w:noWrap w:val="0"/>
                  <w:vAlign w:val="center"/>
                </w:tcPr>
                <w:p w14:paraId="00BDD5E0">
                  <w:pPr>
                    <w:keepNext w:val="0"/>
                    <w:keepLines w:val="0"/>
                    <w:pageBreakBefore w:val="0"/>
                    <w:widowControl w:val="0"/>
                    <w:suppressLineNumbers w:val="0"/>
                    <w:kinsoku/>
                    <w:wordWrap/>
                    <w:overflowPunct/>
                    <w:topLinePunct w:val="0"/>
                    <w:autoSpaceDE/>
                    <w:autoSpaceDN/>
                    <w:bidi w:val="0"/>
                    <w:adjustRightInd w:val="0"/>
                    <w:snapToGrid/>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cs="Times New Roman"/>
                      <w:color w:val="000000"/>
                      <w:szCs w:val="21"/>
                    </w:rPr>
                  </w:pPr>
                  <w:r>
                    <w:rPr>
                      <w:rFonts w:hint="default" w:ascii="Times New Roman" w:hAnsi="Times New Roman" w:cs="Times New Roman"/>
                      <w:color w:val="000000"/>
                      <w:szCs w:val="21"/>
                    </w:rPr>
                    <w:t>6</w:t>
                  </w:r>
                </w:p>
              </w:tc>
              <w:tc>
                <w:tcPr>
                  <w:tcW w:w="1802" w:type="dxa"/>
                  <w:noWrap w:val="0"/>
                  <w:vAlign w:val="center"/>
                </w:tcPr>
                <w:p w14:paraId="09762026">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rightChars="0"/>
                    <w:jc w:val="center"/>
                    <w:textAlignment w:val="auto"/>
                    <w:rPr>
                      <w:rFonts w:hint="default" w:ascii="Times New Roman" w:hAnsi="Times New Roman" w:cs="Times New Roman"/>
                      <w:color w:val="000000"/>
                      <w:szCs w:val="21"/>
                    </w:rPr>
                  </w:pPr>
                  <w:r>
                    <w:rPr>
                      <w:rFonts w:hint="default" w:ascii="Times New Roman" w:hAnsi="Times New Roman" w:cs="Times New Roman"/>
                      <w:color w:val="000000"/>
                      <w:szCs w:val="21"/>
                    </w:rPr>
                    <w:t>《关于切实做好挥发性有机物综合治理工作的通知》(沧气领办[2024]35号)</w:t>
                  </w:r>
                </w:p>
              </w:tc>
              <w:tc>
                <w:tcPr>
                  <w:tcW w:w="2761" w:type="dxa"/>
                  <w:noWrap w:val="0"/>
                  <w:vAlign w:val="center"/>
                </w:tcPr>
                <w:p w14:paraId="7D70BDE3">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rightChars="0"/>
                    <w:jc w:val="both"/>
                    <w:textAlignment w:val="auto"/>
                    <w:rPr>
                      <w:rFonts w:hint="default" w:ascii="Times New Roman" w:hAnsi="Times New Roman" w:cs="Times New Roman"/>
                      <w:color w:val="000000"/>
                      <w:szCs w:val="21"/>
                    </w:rPr>
                  </w:pPr>
                  <w:r>
                    <w:rPr>
                      <w:rFonts w:hint="default" w:ascii="Times New Roman" w:hAnsi="Times New Roman" w:cs="Times New Roman"/>
                      <w:color w:val="000000"/>
                      <w:szCs w:val="21"/>
                    </w:rPr>
                    <w:t>重点关注单一采用光氧化、光催化、低温等离子、一次性活性炭吸附、喷淋吸收、生物法等工艺设施实施效果。除恶臭异味治理外，一般不得采用低温等离子、光催化、光氧化等技术。</w:t>
                  </w:r>
                </w:p>
              </w:tc>
              <w:tc>
                <w:tcPr>
                  <w:tcW w:w="2017" w:type="dxa"/>
                  <w:noWrap w:val="0"/>
                  <w:vAlign w:val="center"/>
                </w:tcPr>
                <w:p w14:paraId="0C6C0F63">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rightChars="0"/>
                    <w:jc w:val="both"/>
                    <w:textAlignment w:val="auto"/>
                    <w:rPr>
                      <w:rFonts w:hint="eastAsia" w:ascii="Times New Roman" w:hAnsi="Times New Roman" w:eastAsia="宋体" w:cs="Times New Roman"/>
                      <w:color w:val="000000"/>
                      <w:szCs w:val="21"/>
                      <w:lang w:eastAsia="zh-CN"/>
                    </w:rPr>
                  </w:pPr>
                  <w:r>
                    <w:rPr>
                      <w:rFonts w:hint="default" w:ascii="Times New Roman" w:hAnsi="Times New Roman" w:cs="Times New Roman"/>
                      <w:color w:val="000000"/>
                      <w:szCs w:val="21"/>
                    </w:rPr>
                    <w:t>本项目有机废气治理采用</w:t>
                  </w:r>
                  <w:r>
                    <w:rPr>
                      <w:rFonts w:hint="eastAsia" w:ascii="Times New Roman" w:hAnsi="Times New Roman" w:cs="Times New Roman"/>
                      <w:color w:val="000000"/>
                      <w:szCs w:val="21"/>
                      <w:lang w:eastAsia="zh-CN"/>
                    </w:rPr>
                    <w:t>二级活性炭吸附技术</w:t>
                  </w:r>
                  <w:r>
                    <w:rPr>
                      <w:rFonts w:hint="default" w:ascii="Times New Roman" w:hAnsi="Times New Roman" w:cs="Times New Roman"/>
                      <w:color w:val="000000"/>
                      <w:szCs w:val="21"/>
                    </w:rPr>
                    <w:t>，不采用低温等离子、光催化、光氧化等技术</w:t>
                  </w:r>
                  <w:r>
                    <w:rPr>
                      <w:rFonts w:hint="eastAsia" w:ascii="Times New Roman" w:hAnsi="Times New Roman" w:cs="Times New Roman"/>
                      <w:color w:val="000000"/>
                      <w:szCs w:val="21"/>
                      <w:lang w:eastAsia="zh-CN"/>
                    </w:rPr>
                    <w:t>。</w:t>
                  </w:r>
                </w:p>
              </w:tc>
              <w:tc>
                <w:tcPr>
                  <w:tcW w:w="689" w:type="dxa"/>
                  <w:noWrap w:val="0"/>
                  <w:vAlign w:val="center"/>
                </w:tcPr>
                <w:p w14:paraId="03109659">
                  <w:pPr>
                    <w:keepNext w:val="0"/>
                    <w:keepLines w:val="0"/>
                    <w:pageBreakBefore w:val="0"/>
                    <w:widowControl w:val="0"/>
                    <w:suppressLineNumbers w:val="0"/>
                    <w:kinsoku/>
                    <w:wordWrap/>
                    <w:overflowPunct/>
                    <w:topLinePunct w:val="0"/>
                    <w:autoSpaceDE/>
                    <w:autoSpaceDN/>
                    <w:bidi w:val="0"/>
                    <w:adjustRightInd w:val="0"/>
                    <w:snapToGrid/>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cs="Times New Roman"/>
                      <w:color w:val="000000"/>
                      <w:szCs w:val="21"/>
                    </w:rPr>
                  </w:pPr>
                  <w:r>
                    <w:rPr>
                      <w:rFonts w:hint="default" w:ascii="Times New Roman" w:hAnsi="Times New Roman" w:cs="Times New Roman"/>
                      <w:color w:val="000000"/>
                      <w:szCs w:val="21"/>
                    </w:rPr>
                    <w:t>符合</w:t>
                  </w:r>
                </w:p>
              </w:tc>
            </w:tr>
            <w:tr w14:paraId="20723C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401" w:type="dxa"/>
                  <w:vMerge w:val="restart"/>
                  <w:noWrap w:val="0"/>
                  <w:vAlign w:val="center"/>
                </w:tcPr>
                <w:p w14:paraId="27AFA97E">
                  <w:pPr>
                    <w:keepNext w:val="0"/>
                    <w:keepLines w:val="0"/>
                    <w:pageBreakBefore w:val="0"/>
                    <w:widowControl w:val="0"/>
                    <w:suppressLineNumbers w:val="0"/>
                    <w:kinsoku/>
                    <w:wordWrap/>
                    <w:overflowPunct/>
                    <w:topLinePunct w:val="0"/>
                    <w:autoSpaceDE/>
                    <w:autoSpaceDN/>
                    <w:bidi w:val="0"/>
                    <w:adjustRightInd w:val="0"/>
                    <w:snapToGrid/>
                    <w:spacing w:before="157" w:beforeLines="50" w:beforeAutospacing="0" w:after="157" w:afterLines="50" w:afterAutospacing="0" w:line="240" w:lineRule="auto"/>
                    <w:ind w:left="105" w:leftChars="50" w:right="105" w:rightChars="50"/>
                    <w:jc w:val="center"/>
                    <w:textAlignment w:val="auto"/>
                    <w:rPr>
                      <w:rFonts w:hint="eastAsia" w:ascii="Times New Roman" w:hAnsi="Times New Roman" w:eastAsia="宋体" w:cs="Times New Roman"/>
                      <w:color w:val="000000"/>
                      <w:szCs w:val="21"/>
                      <w:highlight w:val="none"/>
                      <w:lang w:val="en-US" w:eastAsia="zh-CN"/>
                    </w:rPr>
                  </w:pPr>
                  <w:r>
                    <w:rPr>
                      <w:rFonts w:hint="eastAsia" w:cs="Times New Roman"/>
                      <w:color w:val="000000"/>
                      <w:szCs w:val="21"/>
                      <w:highlight w:val="none"/>
                      <w:lang w:val="en-US" w:eastAsia="zh-CN"/>
                    </w:rPr>
                    <w:t>7</w:t>
                  </w:r>
                </w:p>
              </w:tc>
              <w:tc>
                <w:tcPr>
                  <w:tcW w:w="1802" w:type="dxa"/>
                  <w:vMerge w:val="restart"/>
                  <w:noWrap w:val="0"/>
                  <w:vAlign w:val="center"/>
                </w:tcPr>
                <w:p w14:paraId="75455954">
                  <w:pPr>
                    <w:keepNext w:val="0"/>
                    <w:keepLines w:val="0"/>
                    <w:pageBreakBefore w:val="0"/>
                    <w:widowControl w:val="0"/>
                    <w:suppressLineNumbers w:val="0"/>
                    <w:kinsoku/>
                    <w:wordWrap/>
                    <w:overflowPunct/>
                    <w:topLinePunct w:val="0"/>
                    <w:autoSpaceDE/>
                    <w:autoSpaceDN/>
                    <w:bidi w:val="0"/>
                    <w:adjustRightInd w:val="0"/>
                    <w:snapToGrid/>
                    <w:spacing w:before="157" w:beforeLines="50" w:beforeAutospacing="0" w:after="157" w:afterLines="50" w:afterAutospacing="0" w:line="240" w:lineRule="auto"/>
                    <w:ind w:left="105" w:leftChars="50" w:right="105" w:rightChars="50"/>
                    <w:jc w:val="center"/>
                    <w:textAlignment w:val="auto"/>
                    <w:rPr>
                      <w:rFonts w:hint="eastAsia" w:ascii="Times New Roman" w:hAnsi="Times New Roman" w:eastAsia="宋体" w:cs="Times New Roman"/>
                      <w:color w:val="000000"/>
                      <w:szCs w:val="21"/>
                      <w:highlight w:val="none"/>
                      <w:lang w:eastAsia="zh-CN"/>
                    </w:rPr>
                  </w:pPr>
                  <w:r>
                    <w:rPr>
                      <w:rFonts w:hint="default" w:ascii="Times New Roman" w:hAnsi="Times New Roman" w:cs="Times New Roman"/>
                      <w:color w:val="000000"/>
                      <w:szCs w:val="21"/>
                      <w:highlight w:val="none"/>
                    </w:rPr>
                    <w:t>《沧州市2025年大气污染防治工作要点》</w:t>
                  </w:r>
                  <w:r>
                    <w:rPr>
                      <w:rFonts w:hint="eastAsia" w:cs="Times New Roman"/>
                      <w:color w:val="000000"/>
                      <w:szCs w:val="21"/>
                      <w:highlight w:val="none"/>
                      <w:lang w:eastAsia="zh-CN"/>
                    </w:rPr>
                    <w:t>（</w:t>
                  </w:r>
                  <w:r>
                    <w:rPr>
                      <w:rFonts w:hint="default" w:ascii="Times New Roman" w:hAnsi="Times New Roman" w:cs="Times New Roman"/>
                      <w:color w:val="000000"/>
                      <w:szCs w:val="21"/>
                      <w:highlight w:val="none"/>
                    </w:rPr>
                    <w:t>沧生态环保办通〔2025〕25号</w:t>
                  </w:r>
                  <w:r>
                    <w:rPr>
                      <w:rFonts w:hint="eastAsia" w:cs="Times New Roman"/>
                      <w:color w:val="000000"/>
                      <w:szCs w:val="21"/>
                      <w:highlight w:val="none"/>
                      <w:lang w:eastAsia="zh-CN"/>
                    </w:rPr>
                    <w:t>）</w:t>
                  </w:r>
                </w:p>
              </w:tc>
              <w:tc>
                <w:tcPr>
                  <w:tcW w:w="2761" w:type="dxa"/>
                  <w:shd w:val="clear" w:color="auto" w:fill="auto"/>
                  <w:noWrap w:val="0"/>
                  <w:vAlign w:val="center"/>
                </w:tcPr>
                <w:p w14:paraId="7661AE45">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both"/>
                    <w:textAlignment w:val="auto"/>
                    <w:rPr>
                      <w:rFonts w:hint="default" w:ascii="Times New Roman" w:hAnsi="Times New Roman" w:eastAsia="宋体" w:cs="Times New Roman"/>
                      <w:bCs/>
                      <w:color w:val="auto"/>
                      <w:kern w:val="0"/>
                      <w:sz w:val="21"/>
                      <w:szCs w:val="21"/>
                      <w:highlight w:val="none"/>
                      <w:lang w:val="en-US" w:eastAsia="zh-CN" w:bidi="ar-SA"/>
                    </w:rPr>
                  </w:pPr>
                  <w:r>
                    <w:rPr>
                      <w:rFonts w:hint="eastAsia" w:ascii="Times New Roman" w:hAnsi="Times New Roman" w:eastAsia="宋体" w:cs="Times New Roman"/>
                      <w:bCs/>
                      <w:color w:val="auto"/>
                      <w:kern w:val="0"/>
                      <w:sz w:val="21"/>
                      <w:szCs w:val="21"/>
                      <w:highlight w:val="none"/>
                      <w:lang w:val="en-US" w:eastAsia="zh-CN"/>
                    </w:rPr>
                    <w:t>开展低效治理设施升级改造。以涉气产业集群和中小企业为重点，6月底前，完成锅炉和工业炉窑简易低效污染治理设施排查，力争10月底前完成淘汰不成熟、不适用、无法稳定达标排放的治理工艺，整治提升关键组件缺失、质量低劣自动化水平低的治理设施，确保污染物全面稳定达标排放。</w:t>
                  </w:r>
                </w:p>
              </w:tc>
              <w:tc>
                <w:tcPr>
                  <w:tcW w:w="2017" w:type="dxa"/>
                  <w:shd w:val="clear" w:color="auto" w:fill="auto"/>
                  <w:noWrap w:val="0"/>
                  <w:vAlign w:val="center"/>
                </w:tcPr>
                <w:p w14:paraId="28F2A6F2">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both"/>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本项目二级活性炭吸附装置不属于低效治理设施，</w:t>
                  </w:r>
                  <w:r>
                    <w:rPr>
                      <w:rFonts w:hint="eastAsia" w:ascii="Times New Roman" w:hAnsi="Times New Roman" w:eastAsia="宋体" w:cs="Times New Roman"/>
                      <w:bCs/>
                      <w:color w:val="auto"/>
                      <w:kern w:val="0"/>
                      <w:sz w:val="21"/>
                      <w:szCs w:val="21"/>
                      <w:highlight w:val="none"/>
                      <w:lang w:val="en-US" w:eastAsia="zh-CN"/>
                    </w:rPr>
                    <w:t>污染物全面稳定达标排放。本项目不涉及锅炉和工业炉窑。</w:t>
                  </w:r>
                </w:p>
              </w:tc>
              <w:tc>
                <w:tcPr>
                  <w:tcW w:w="689" w:type="dxa"/>
                  <w:noWrap w:val="0"/>
                  <w:vAlign w:val="center"/>
                </w:tcPr>
                <w:p w14:paraId="19999A0F">
                  <w:pPr>
                    <w:keepNext w:val="0"/>
                    <w:keepLines w:val="0"/>
                    <w:pageBreakBefore w:val="0"/>
                    <w:widowControl w:val="0"/>
                    <w:suppressLineNumbers w:val="0"/>
                    <w:kinsoku/>
                    <w:wordWrap/>
                    <w:overflowPunct/>
                    <w:topLinePunct w:val="0"/>
                    <w:autoSpaceDE/>
                    <w:autoSpaceDN/>
                    <w:bidi w:val="0"/>
                    <w:adjustRightInd w:val="0"/>
                    <w:snapToGrid/>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cs="Times New Roman"/>
                      <w:color w:val="000000"/>
                      <w:szCs w:val="21"/>
                      <w:highlight w:val="none"/>
                    </w:rPr>
                  </w:pPr>
                  <w:r>
                    <w:rPr>
                      <w:rFonts w:hint="default" w:ascii="Times New Roman" w:hAnsi="Times New Roman" w:cs="Times New Roman"/>
                      <w:color w:val="000000"/>
                      <w:szCs w:val="21"/>
                      <w:highlight w:val="none"/>
                    </w:rPr>
                    <w:t>符合</w:t>
                  </w:r>
                </w:p>
              </w:tc>
            </w:tr>
            <w:tr w14:paraId="14C30C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401" w:type="dxa"/>
                  <w:vMerge w:val="continue"/>
                  <w:noWrap w:val="0"/>
                  <w:vAlign w:val="center"/>
                </w:tcPr>
                <w:p w14:paraId="0F12ECE6">
                  <w:pPr>
                    <w:keepNext w:val="0"/>
                    <w:keepLines w:val="0"/>
                    <w:pageBreakBefore w:val="0"/>
                    <w:widowControl w:val="0"/>
                    <w:suppressLineNumbers w:val="0"/>
                    <w:kinsoku/>
                    <w:wordWrap/>
                    <w:overflowPunct/>
                    <w:topLinePunct w:val="0"/>
                    <w:autoSpaceDE/>
                    <w:autoSpaceDN/>
                    <w:bidi w:val="0"/>
                    <w:adjustRightInd w:val="0"/>
                    <w:snapToGrid/>
                    <w:spacing w:before="157" w:beforeLines="50" w:beforeAutospacing="0" w:after="157" w:afterLines="50" w:afterAutospacing="0" w:line="240" w:lineRule="auto"/>
                    <w:ind w:left="105" w:leftChars="50" w:right="105" w:rightChars="50"/>
                    <w:jc w:val="center"/>
                    <w:textAlignment w:val="auto"/>
                    <w:rPr>
                      <w:rFonts w:hint="eastAsia" w:cs="Times New Roman"/>
                      <w:color w:val="000000"/>
                      <w:szCs w:val="21"/>
                      <w:highlight w:val="none"/>
                      <w:lang w:val="en-US" w:eastAsia="zh-CN"/>
                    </w:rPr>
                  </w:pPr>
                </w:p>
              </w:tc>
              <w:tc>
                <w:tcPr>
                  <w:tcW w:w="1802" w:type="dxa"/>
                  <w:vMerge w:val="continue"/>
                  <w:noWrap w:val="0"/>
                  <w:vAlign w:val="center"/>
                </w:tcPr>
                <w:p w14:paraId="40A51959">
                  <w:pPr>
                    <w:keepNext w:val="0"/>
                    <w:keepLines w:val="0"/>
                    <w:pageBreakBefore w:val="0"/>
                    <w:widowControl w:val="0"/>
                    <w:suppressLineNumbers w:val="0"/>
                    <w:kinsoku/>
                    <w:wordWrap/>
                    <w:overflowPunct/>
                    <w:topLinePunct w:val="0"/>
                    <w:autoSpaceDE/>
                    <w:autoSpaceDN/>
                    <w:bidi w:val="0"/>
                    <w:adjustRightInd w:val="0"/>
                    <w:snapToGrid/>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cs="Times New Roman"/>
                      <w:color w:val="000000"/>
                      <w:szCs w:val="21"/>
                      <w:highlight w:val="none"/>
                    </w:rPr>
                  </w:pPr>
                </w:p>
              </w:tc>
              <w:tc>
                <w:tcPr>
                  <w:tcW w:w="2761" w:type="dxa"/>
                  <w:shd w:val="clear" w:color="auto" w:fill="auto"/>
                  <w:noWrap w:val="0"/>
                  <w:vAlign w:val="center"/>
                </w:tcPr>
                <w:p w14:paraId="0051EAD4">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both"/>
                    <w:textAlignment w:val="auto"/>
                    <w:rPr>
                      <w:rFonts w:hint="default" w:ascii="Times New Roman" w:hAnsi="Times New Roman" w:eastAsia="宋体" w:cs="Times New Roman"/>
                      <w:bCs/>
                      <w:color w:val="auto"/>
                      <w:kern w:val="0"/>
                      <w:sz w:val="21"/>
                      <w:szCs w:val="21"/>
                      <w:highlight w:val="none"/>
                      <w:lang w:val="en-US" w:eastAsia="zh-CN" w:bidi="ar-SA"/>
                    </w:rPr>
                  </w:pPr>
                  <w:r>
                    <w:rPr>
                      <w:rFonts w:hint="eastAsia" w:ascii="Times New Roman" w:hAnsi="Times New Roman" w:eastAsia="宋体" w:cs="Times New Roman"/>
                      <w:bCs/>
                      <w:color w:val="auto"/>
                      <w:kern w:val="0"/>
                      <w:sz w:val="21"/>
                      <w:szCs w:val="21"/>
                      <w:highlight w:val="none"/>
                      <w:lang w:val="en-US" w:eastAsia="zh-CN"/>
                    </w:rPr>
                    <w:t>强化VOCs全流程管控。聚焦石油化工、有机化工、医药等行业，加强LDAR专项整治。</w:t>
                  </w:r>
                </w:p>
              </w:tc>
              <w:tc>
                <w:tcPr>
                  <w:tcW w:w="2017" w:type="dxa"/>
                  <w:shd w:val="clear" w:color="auto" w:fill="auto"/>
                  <w:noWrap w:val="0"/>
                  <w:vAlign w:val="center"/>
                </w:tcPr>
                <w:p w14:paraId="0D42058E">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both"/>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本项目不属于石油化工、有机化工、医药行业</w:t>
                  </w:r>
                  <w:r>
                    <w:rPr>
                      <w:rFonts w:hint="eastAsia" w:ascii="Times New Roman" w:hAnsi="Times New Roman" w:eastAsia="宋体" w:cs="Times New Roman"/>
                      <w:bCs/>
                      <w:color w:val="auto"/>
                      <w:kern w:val="0"/>
                      <w:sz w:val="21"/>
                      <w:szCs w:val="21"/>
                      <w:highlight w:val="none"/>
                      <w:lang w:val="en-US" w:eastAsia="zh-CN"/>
                    </w:rPr>
                    <w:t>。</w:t>
                  </w:r>
                </w:p>
              </w:tc>
              <w:tc>
                <w:tcPr>
                  <w:tcW w:w="689" w:type="dxa"/>
                  <w:noWrap w:val="0"/>
                  <w:vAlign w:val="center"/>
                </w:tcPr>
                <w:p w14:paraId="35D0B7CD">
                  <w:pPr>
                    <w:keepNext w:val="0"/>
                    <w:keepLines w:val="0"/>
                    <w:pageBreakBefore w:val="0"/>
                    <w:widowControl w:val="0"/>
                    <w:suppressLineNumbers w:val="0"/>
                    <w:kinsoku/>
                    <w:wordWrap/>
                    <w:overflowPunct/>
                    <w:topLinePunct w:val="0"/>
                    <w:autoSpaceDE/>
                    <w:autoSpaceDN/>
                    <w:bidi w:val="0"/>
                    <w:adjustRightInd w:val="0"/>
                    <w:snapToGrid/>
                    <w:spacing w:before="157" w:beforeLines="50" w:beforeAutospacing="0" w:after="157" w:afterLines="50" w:afterAutospacing="0" w:line="240" w:lineRule="auto"/>
                    <w:ind w:left="105" w:leftChars="50" w:right="105" w:rightChars="50"/>
                    <w:jc w:val="center"/>
                    <w:textAlignment w:val="auto"/>
                    <w:rPr>
                      <w:rFonts w:hint="default" w:ascii="Times New Roman" w:hAnsi="Times New Roman" w:cs="Times New Roman"/>
                      <w:color w:val="000000"/>
                      <w:szCs w:val="21"/>
                      <w:highlight w:val="none"/>
                    </w:rPr>
                  </w:pPr>
                  <w:r>
                    <w:rPr>
                      <w:rFonts w:hint="default" w:ascii="Times New Roman" w:hAnsi="Times New Roman" w:cs="Times New Roman"/>
                      <w:color w:val="000000"/>
                      <w:szCs w:val="21"/>
                      <w:highlight w:val="none"/>
                    </w:rPr>
                    <w:t>符合</w:t>
                  </w:r>
                </w:p>
              </w:tc>
            </w:tr>
          </w:tbl>
          <w:p w14:paraId="2729DDDA">
            <w:pPr>
              <w:pStyle w:val="13"/>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leftChars="0" w:right="0" w:firstLine="480" w:firstLineChars="200"/>
              <w:textAlignment w:val="auto"/>
              <w:rPr>
                <w:rFonts w:hint="default" w:ascii="Times New Roman" w:hAnsi="Times New Roman" w:eastAsia="宋体" w:cs="Times New Roman"/>
                <w:b w:val="0"/>
                <w:bCs w:val="0"/>
                <w:color w:val="auto"/>
                <w:sz w:val="24"/>
                <w:szCs w:val="24"/>
                <w:lang w:val="en-US" w:eastAsia="zh-CN"/>
              </w:rPr>
            </w:pPr>
            <w:r>
              <w:rPr>
                <w:rFonts w:hint="default" w:ascii="Times New Roman" w:hAnsi="Times New Roman" w:eastAsia="宋体" w:cs="Times New Roman"/>
                <w:b w:val="0"/>
                <w:bCs w:val="0"/>
                <w:color w:val="auto"/>
                <w:sz w:val="24"/>
                <w:szCs w:val="24"/>
                <w:lang w:val="en-US" w:eastAsia="zh-CN"/>
              </w:rPr>
              <w:t>根据上表，本项目符合</w:t>
            </w:r>
            <w:r>
              <w:rPr>
                <w:rFonts w:hint="default" w:ascii="Times New Roman" w:hAnsi="Times New Roman" w:eastAsia="宋体" w:cs="Times New Roman"/>
                <w:b w:val="0"/>
                <w:bCs w:val="0"/>
                <w:color w:val="000000"/>
                <w:sz w:val="24"/>
                <w:szCs w:val="24"/>
              </w:rPr>
              <w:t>《关于加快解决当前挥发性有机物治理突出问题的通知》(环大气[2021]65号)</w:t>
            </w:r>
            <w:r>
              <w:rPr>
                <w:rFonts w:hint="default" w:ascii="Times New Roman" w:hAnsi="Times New Roman" w:eastAsia="宋体" w:cs="Times New Roman"/>
                <w:b w:val="0"/>
                <w:bCs w:val="0"/>
                <w:color w:val="000000"/>
                <w:sz w:val="24"/>
                <w:szCs w:val="24"/>
                <w:lang w:eastAsia="zh-CN"/>
              </w:rPr>
              <w:t>、</w:t>
            </w:r>
            <w:r>
              <w:rPr>
                <w:rFonts w:hint="default" w:ascii="Times New Roman" w:hAnsi="Times New Roman" w:eastAsia="宋体" w:cs="Times New Roman"/>
                <w:b w:val="0"/>
                <w:bCs w:val="0"/>
                <w:color w:val="000000"/>
                <w:sz w:val="24"/>
                <w:szCs w:val="24"/>
                <w:lang w:val="en-US" w:eastAsia="zh-CN"/>
              </w:rPr>
              <w:t>《关于印发河北省空气质量持续改善行动计划实施方案的通知》（冀政发〔2024〕4号）</w:t>
            </w:r>
            <w:r>
              <w:rPr>
                <w:rFonts w:hint="default" w:ascii="Times New Roman" w:hAnsi="Times New Roman" w:eastAsia="宋体" w:cs="Times New Roman"/>
                <w:b w:val="0"/>
                <w:bCs w:val="0"/>
                <w:color w:val="000000"/>
                <w:sz w:val="24"/>
                <w:szCs w:val="24"/>
                <w:lang w:eastAsia="zh-CN"/>
              </w:rPr>
              <w:t>、</w:t>
            </w:r>
            <w:r>
              <w:rPr>
                <w:rFonts w:hint="default" w:ascii="Times New Roman" w:hAnsi="Times New Roman" w:eastAsia="宋体" w:cs="Times New Roman"/>
                <w:b w:val="0"/>
                <w:bCs w:val="0"/>
                <w:color w:val="000000"/>
                <w:sz w:val="24"/>
                <w:szCs w:val="24"/>
              </w:rPr>
              <w:t>《沧州市深入打好重污染天气消除、臭氧污染防治、柴油货车污染治理和全市大气污染深度治理攻坚战行动方案》(沧气领办[2023]45号)</w:t>
            </w:r>
            <w:r>
              <w:rPr>
                <w:rFonts w:hint="default" w:ascii="Times New Roman" w:hAnsi="Times New Roman" w:eastAsia="宋体" w:cs="Times New Roman"/>
                <w:b w:val="0"/>
                <w:bCs w:val="0"/>
                <w:color w:val="000000"/>
                <w:sz w:val="24"/>
                <w:szCs w:val="24"/>
                <w:lang w:eastAsia="zh-CN"/>
              </w:rPr>
              <w:t>、</w:t>
            </w:r>
            <w:r>
              <w:rPr>
                <w:rFonts w:hint="default" w:ascii="Times New Roman" w:hAnsi="Times New Roman" w:eastAsia="宋体" w:cs="Times New Roman"/>
                <w:b w:val="0"/>
                <w:bCs w:val="0"/>
                <w:color w:val="000000"/>
                <w:sz w:val="24"/>
                <w:szCs w:val="24"/>
              </w:rPr>
              <w:t>《沧州市大气污染防治工作领导小组办公室关于印发&lt;沧州市2023年大气污染综合治理工作要点&gt;的通知》(沧气领办[2023]44号)</w:t>
            </w:r>
            <w:r>
              <w:rPr>
                <w:rFonts w:hint="default" w:ascii="Times New Roman" w:hAnsi="Times New Roman" w:eastAsia="宋体" w:cs="Times New Roman"/>
                <w:b w:val="0"/>
                <w:bCs w:val="0"/>
                <w:color w:val="000000"/>
                <w:sz w:val="24"/>
                <w:szCs w:val="24"/>
                <w:lang w:eastAsia="zh-CN"/>
              </w:rPr>
              <w:t>、</w:t>
            </w:r>
            <w:r>
              <w:rPr>
                <w:rFonts w:hint="default" w:ascii="Times New Roman" w:hAnsi="Times New Roman" w:eastAsia="宋体" w:cs="Times New Roman"/>
                <w:b w:val="0"/>
                <w:bCs w:val="0"/>
                <w:color w:val="000000"/>
                <w:sz w:val="24"/>
                <w:szCs w:val="24"/>
              </w:rPr>
              <w:t>《关于做好近期臭氧污染防治重点工作的通知》（冀环办字函[2024]91号）</w:t>
            </w:r>
            <w:r>
              <w:rPr>
                <w:rFonts w:hint="default" w:ascii="Times New Roman" w:hAnsi="Times New Roman" w:eastAsia="宋体" w:cs="Times New Roman"/>
                <w:b w:val="0"/>
                <w:bCs w:val="0"/>
                <w:color w:val="000000"/>
                <w:sz w:val="24"/>
                <w:szCs w:val="24"/>
                <w:lang w:eastAsia="zh-CN"/>
              </w:rPr>
              <w:t>、</w:t>
            </w:r>
            <w:r>
              <w:rPr>
                <w:rFonts w:hint="default" w:ascii="Times New Roman" w:hAnsi="Times New Roman" w:eastAsia="宋体" w:cs="Times New Roman"/>
                <w:b w:val="0"/>
                <w:bCs w:val="0"/>
                <w:color w:val="000000"/>
                <w:sz w:val="24"/>
                <w:szCs w:val="24"/>
              </w:rPr>
              <w:t>《关于切实做好挥发性有机物综合治理工作的通知》(沧气领办[2024]35号)</w:t>
            </w:r>
            <w:r>
              <w:rPr>
                <w:rFonts w:hint="eastAsia" w:ascii="Times New Roman" w:hAnsi="Times New Roman" w:eastAsia="宋体" w:cs="Times New Roman"/>
                <w:b w:val="0"/>
                <w:bCs w:val="0"/>
                <w:color w:val="000000"/>
                <w:sz w:val="24"/>
                <w:szCs w:val="24"/>
                <w:lang w:eastAsia="zh-CN"/>
              </w:rPr>
              <w:t>、《沧州市2025年大气污染防治工作要点》（沧生态环保办通〔2025〕25号）</w:t>
            </w:r>
            <w:r>
              <w:rPr>
                <w:rFonts w:hint="default" w:ascii="Times New Roman" w:hAnsi="Times New Roman" w:eastAsia="宋体" w:cs="Times New Roman"/>
                <w:b w:val="0"/>
                <w:bCs w:val="0"/>
                <w:color w:val="000000"/>
                <w:sz w:val="24"/>
                <w:szCs w:val="24"/>
                <w:lang w:eastAsia="zh-CN"/>
              </w:rPr>
              <w:t>中的相关要求。</w:t>
            </w:r>
          </w:p>
          <w:p w14:paraId="519B4FD3">
            <w:pPr>
              <w:pStyle w:val="1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Autospacing="0" w:line="360" w:lineRule="auto"/>
              <w:ind w:left="0" w:leftChars="0" w:right="0" w:firstLine="0" w:firstLineChars="0"/>
              <w:textAlignment w:val="auto"/>
              <w:rPr>
                <w:rFonts w:hint="eastAsia" w:ascii="Times New Roman" w:hAnsi="Times New Roman" w:eastAsia="宋体" w:cs="Times New Roman"/>
                <w:b/>
                <w:bCs/>
                <w:color w:val="auto"/>
                <w:sz w:val="24"/>
                <w:szCs w:val="24"/>
                <w:lang w:val="en-US" w:eastAsia="zh-CN"/>
              </w:rPr>
            </w:pPr>
            <w:r>
              <w:rPr>
                <w:rFonts w:hint="eastAsia" w:ascii="Times New Roman" w:hAnsi="Times New Roman" w:eastAsia="宋体" w:cs="Times New Roman"/>
                <w:b/>
                <w:bCs/>
                <w:color w:val="auto"/>
                <w:sz w:val="24"/>
                <w:szCs w:val="24"/>
                <w:lang w:val="en-US" w:eastAsia="zh-CN"/>
              </w:rPr>
              <w:t>6、项目绩效分级符合性分析</w:t>
            </w:r>
          </w:p>
          <w:p w14:paraId="45B06FC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sz w:val="24"/>
                <w:lang w:val="en-US"/>
              </w:rPr>
            </w:pPr>
            <w:r>
              <w:rPr>
                <w:rFonts w:hint="eastAsia"/>
                <w:sz w:val="24"/>
                <w:szCs w:val="24"/>
                <w:lang w:val="en-US" w:eastAsia="zh-CN"/>
              </w:rPr>
              <w:t>本项目属于</w:t>
            </w:r>
            <w:r>
              <w:rPr>
                <w:rFonts w:hint="eastAsia" w:cs="Times New Roman"/>
                <w:color w:val="auto"/>
                <w:sz w:val="24"/>
                <w:lang w:val="en-US" w:eastAsia="zh-CN"/>
              </w:rPr>
              <w:t>塑料零件及其他塑料制品制造行业</w:t>
            </w:r>
            <w:r>
              <w:rPr>
                <w:rFonts w:hint="eastAsia"/>
                <w:sz w:val="24"/>
                <w:szCs w:val="24"/>
                <w:lang w:val="en-US" w:eastAsia="zh-CN"/>
              </w:rPr>
              <w:t>，</w:t>
            </w:r>
            <w:r>
              <w:rPr>
                <w:rFonts w:hint="eastAsia"/>
                <w:sz w:val="24"/>
                <w:szCs w:val="24"/>
                <w:highlight w:val="none"/>
                <w:lang w:val="en-US" w:eastAsia="zh-CN"/>
              </w:rPr>
              <w:t>现有工程绩效等级为C级，对照《</w:t>
            </w:r>
            <w:r>
              <w:rPr>
                <w:rFonts w:hint="eastAsia"/>
                <w:sz w:val="24"/>
                <w:szCs w:val="24"/>
                <w:lang w:val="en-US" w:eastAsia="zh-CN"/>
              </w:rPr>
              <w:t>河北省十一个行业重污染天气应急减排措施制定技术指南（试行）》、《重污染天气重点行业应急减排措施制定技术指南（2020年修订版）》（环办大气函〔2020〕340号）、《关于印发&lt;重污染天气重点行业绩效分级及减排措施&gt;补充说明的通知》（环办便函〔2021〕341号）及《河北省生态环境厅关于调整部分重点行业环保绩效评级指标的通知》（冀环办字函〔2025〕161号），本项目执行塑料制品行业A级绩效分级要求和包装印刷行业A级绩效分级要求，符合性分析见下表。</w:t>
            </w:r>
          </w:p>
          <w:p w14:paraId="53A3F712">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Autospacing="0" w:line="240" w:lineRule="auto"/>
              <w:ind w:left="0" w:right="0" w:firstLine="422" w:firstLineChars="200"/>
              <w:jc w:val="center"/>
              <w:textAlignment w:val="auto"/>
              <w:rPr>
                <w:rFonts w:hint="eastAsia" w:ascii="宋体" w:hAnsi="宋体" w:eastAsia="宋体" w:cs="宋体"/>
                <w:b/>
                <w:color w:val="auto"/>
                <w:sz w:val="21"/>
                <w:szCs w:val="21"/>
                <w:lang w:val="en-US" w:eastAsia="zh-CN"/>
              </w:rPr>
            </w:pPr>
            <w:r>
              <w:rPr>
                <w:rFonts w:hint="eastAsia" w:ascii="Times New Roman" w:hAnsi="Times New Roman" w:eastAsia="宋体" w:cs="Times New Roman"/>
                <w:b/>
                <w:bCs/>
                <w:color w:val="000000"/>
                <w:kern w:val="0"/>
                <w:sz w:val="21"/>
                <w:szCs w:val="21"/>
                <w:lang w:val="en-US" w:eastAsia="zh-CN" w:bidi="ar-SA"/>
              </w:rPr>
              <w:t>项目与</w:t>
            </w:r>
            <w:r>
              <w:rPr>
                <w:rFonts w:hint="eastAsia" w:cs="Times New Roman"/>
                <w:b/>
                <w:bCs/>
                <w:color w:val="000000"/>
                <w:kern w:val="0"/>
                <w:sz w:val="21"/>
                <w:szCs w:val="21"/>
                <w:lang w:val="en-US" w:eastAsia="zh-CN" w:bidi="ar-SA"/>
              </w:rPr>
              <w:t>塑料制品</w:t>
            </w:r>
            <w:r>
              <w:rPr>
                <w:rFonts w:hint="eastAsia" w:ascii="Times New Roman" w:hAnsi="Times New Roman" w:eastAsia="宋体" w:cs="Times New Roman"/>
                <w:b/>
                <w:bCs/>
                <w:color w:val="000000"/>
                <w:kern w:val="0"/>
                <w:sz w:val="21"/>
                <w:szCs w:val="21"/>
                <w:lang w:val="en-US" w:eastAsia="zh-CN" w:bidi="ar-SA"/>
              </w:rPr>
              <w:t>绩效分级符合性分析</w:t>
            </w:r>
          </w:p>
          <w:tbl>
            <w:tblPr>
              <w:tblStyle w:val="38"/>
              <w:tblW w:w="505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0"/>
              <w:gridCol w:w="3572"/>
              <w:gridCol w:w="2835"/>
              <w:gridCol w:w="665"/>
            </w:tblGrid>
            <w:tr w14:paraId="2F6593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44" w:type="pct"/>
                  <w:tcBorders>
                    <w:tl2br w:val="nil"/>
                    <w:tr2bl w:val="nil"/>
                  </w:tcBorders>
                  <w:noWrap/>
                  <w:vAlign w:val="center"/>
                </w:tcPr>
                <w:p w14:paraId="1AA364C4">
                  <w:pPr>
                    <w:keepNext w:val="0"/>
                    <w:keepLines w:val="0"/>
                    <w:pageBreakBefore w:val="0"/>
                    <w:suppressLineNumbers w:val="0"/>
                    <w:kinsoku/>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差异化指标</w:t>
                  </w:r>
                </w:p>
              </w:tc>
              <w:tc>
                <w:tcPr>
                  <w:tcW w:w="2300" w:type="pct"/>
                  <w:tcBorders>
                    <w:tl2br w:val="nil"/>
                    <w:tr2bl w:val="nil"/>
                  </w:tcBorders>
                  <w:noWrap/>
                  <w:vAlign w:val="center"/>
                </w:tcPr>
                <w:p w14:paraId="51C91CAB">
                  <w:pPr>
                    <w:keepNext w:val="0"/>
                    <w:keepLines w:val="0"/>
                    <w:pageBreakBefore w:val="0"/>
                    <w:suppressLineNumbers w:val="0"/>
                    <w:kinsoku/>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塑料制品行业</w:t>
                  </w:r>
                  <w:r>
                    <w:rPr>
                      <w:rFonts w:hint="eastAsia" w:cs="Times New Roman"/>
                      <w:color w:val="auto"/>
                      <w:sz w:val="21"/>
                      <w:szCs w:val="21"/>
                      <w:lang w:val="en-US" w:eastAsia="zh-CN"/>
                    </w:rPr>
                    <w:t>A</w:t>
                  </w:r>
                  <w:r>
                    <w:rPr>
                      <w:rFonts w:hint="default" w:ascii="Times New Roman" w:hAnsi="Times New Roman" w:eastAsia="宋体" w:cs="Times New Roman"/>
                      <w:color w:val="auto"/>
                      <w:sz w:val="21"/>
                      <w:szCs w:val="21"/>
                      <w:lang w:val="en-US" w:eastAsia="zh-CN"/>
                    </w:rPr>
                    <w:t>级指标</w:t>
                  </w:r>
                </w:p>
              </w:tc>
              <w:tc>
                <w:tcPr>
                  <w:tcW w:w="1826" w:type="pct"/>
                  <w:tcBorders>
                    <w:tl2br w:val="nil"/>
                    <w:tr2bl w:val="nil"/>
                  </w:tcBorders>
                  <w:noWrap/>
                  <w:vAlign w:val="center"/>
                </w:tcPr>
                <w:p w14:paraId="260253E5">
                  <w:pPr>
                    <w:keepNext w:val="0"/>
                    <w:keepLines w:val="0"/>
                    <w:pageBreakBefore w:val="0"/>
                    <w:suppressLineNumbers w:val="0"/>
                    <w:kinsoku/>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本项目</w:t>
                  </w:r>
                </w:p>
              </w:tc>
              <w:tc>
                <w:tcPr>
                  <w:tcW w:w="428" w:type="pct"/>
                  <w:tcBorders>
                    <w:tl2br w:val="nil"/>
                    <w:tr2bl w:val="nil"/>
                  </w:tcBorders>
                  <w:noWrap/>
                  <w:vAlign w:val="center"/>
                </w:tcPr>
                <w:p w14:paraId="3DBB32F0">
                  <w:pPr>
                    <w:keepNext w:val="0"/>
                    <w:keepLines w:val="0"/>
                    <w:pageBreakBefore w:val="0"/>
                    <w:suppressLineNumbers w:val="0"/>
                    <w:kinsoku/>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相符性</w:t>
                  </w:r>
                </w:p>
              </w:tc>
            </w:tr>
            <w:tr w14:paraId="5C3752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4" w:hRule="atLeast"/>
                <w:jc w:val="center"/>
              </w:trPr>
              <w:tc>
                <w:tcPr>
                  <w:tcW w:w="444" w:type="pct"/>
                  <w:tcBorders>
                    <w:tl2br w:val="nil"/>
                    <w:tr2bl w:val="nil"/>
                  </w:tcBorders>
                  <w:noWrap/>
                  <w:vAlign w:val="center"/>
                </w:tcPr>
                <w:p w14:paraId="788D9D1F">
                  <w:pPr>
                    <w:keepNext w:val="0"/>
                    <w:keepLines w:val="0"/>
                    <w:pageBreakBefore w:val="0"/>
                    <w:suppressLineNumbers w:val="0"/>
                    <w:kinsoku/>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原料、能源类型</w:t>
                  </w:r>
                </w:p>
              </w:tc>
              <w:tc>
                <w:tcPr>
                  <w:tcW w:w="2300" w:type="pct"/>
                  <w:tcBorders>
                    <w:tl2br w:val="nil"/>
                    <w:tr2bl w:val="nil"/>
                  </w:tcBorders>
                  <w:noWrap/>
                  <w:vAlign w:val="center"/>
                </w:tcPr>
                <w:p w14:paraId="1E923DC4">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jc w:val="left"/>
                    <w:textAlignment w:val="auto"/>
                    <w:rPr>
                      <w:rFonts w:hint="eastAsia" w:ascii="Times New Roman" w:hAnsi="Times New Roman" w:eastAsia="宋体" w:cs="宋体"/>
                      <w:color w:val="auto"/>
                      <w:sz w:val="21"/>
                      <w:szCs w:val="21"/>
                      <w:lang w:val="en-US" w:eastAsia="zh-CN"/>
                    </w:rPr>
                  </w:pPr>
                  <w:r>
                    <w:rPr>
                      <w:rFonts w:hint="eastAsia" w:ascii="Times New Roman" w:hAnsi="Times New Roman" w:eastAsia="宋体" w:cs="宋体"/>
                      <w:color w:val="auto"/>
                      <w:sz w:val="21"/>
                      <w:szCs w:val="21"/>
                      <w:lang w:val="en-US" w:eastAsia="zh-CN"/>
                    </w:rPr>
                    <w:t>1.原料全部使用非再生料；</w:t>
                  </w:r>
                </w:p>
                <w:p w14:paraId="2FAF1FC8">
                  <w:pPr>
                    <w:keepNext w:val="0"/>
                    <w:keepLines w:val="0"/>
                    <w:pageBreakBefore w:val="0"/>
                    <w:widowControl/>
                    <w:suppressLineNumbers w:val="0"/>
                    <w:kinsoku/>
                    <w:overflowPunct/>
                    <w:topLinePunct w:val="0"/>
                    <w:autoSpaceDE/>
                    <w:autoSpaceDN/>
                    <w:bidi w:val="0"/>
                    <w:spacing w:before="0" w:beforeLines="0" w:beforeAutospacing="0" w:after="0" w:afterLines="0" w:afterAutospacing="0" w:line="240" w:lineRule="auto"/>
                    <w:ind w:left="0" w:right="0"/>
                    <w:jc w:val="both"/>
                    <w:textAlignment w:val="auto"/>
                    <w:rPr>
                      <w:rFonts w:hint="default" w:ascii="Times New Roman" w:hAnsi="Times New Roman" w:eastAsia="宋体" w:cs="Times New Roman"/>
                      <w:color w:val="auto"/>
                      <w:kern w:val="0"/>
                      <w:sz w:val="21"/>
                      <w:szCs w:val="21"/>
                    </w:rPr>
                  </w:pPr>
                  <w:r>
                    <w:rPr>
                      <w:rFonts w:hint="eastAsia" w:ascii="Times New Roman" w:hAnsi="Times New Roman" w:eastAsia="宋体" w:cs="宋体"/>
                      <w:color w:val="auto"/>
                      <w:sz w:val="21"/>
                      <w:szCs w:val="21"/>
                      <w:lang w:val="en-US" w:eastAsia="zh-CN"/>
                    </w:rPr>
                    <w:t>2.使用电为能源。</w:t>
                  </w:r>
                </w:p>
              </w:tc>
              <w:tc>
                <w:tcPr>
                  <w:tcW w:w="1826" w:type="pct"/>
                  <w:tcBorders>
                    <w:tl2br w:val="nil"/>
                    <w:tr2bl w:val="nil"/>
                  </w:tcBorders>
                  <w:noWrap/>
                  <w:vAlign w:val="center"/>
                </w:tcPr>
                <w:p w14:paraId="656AB164">
                  <w:pPr>
                    <w:keepNext w:val="0"/>
                    <w:keepLines w:val="0"/>
                    <w:pageBreakBefore w:val="0"/>
                    <w:suppressLineNumbers w:val="0"/>
                    <w:kinsoku/>
                    <w:overflowPunct/>
                    <w:topLinePunct w:val="0"/>
                    <w:autoSpaceDE/>
                    <w:autoSpaceDN/>
                    <w:bidi w:val="0"/>
                    <w:adjustRightInd w:val="0"/>
                    <w:snapToGrid w:val="0"/>
                    <w:spacing w:before="157" w:beforeLines="50" w:beforeAutospacing="0" w:after="157" w:afterLines="50" w:afterAutospacing="0" w:line="240" w:lineRule="auto"/>
                    <w:ind w:left="0" w:right="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0"/>
                      <w:sz w:val="21"/>
                      <w:szCs w:val="21"/>
                      <w:lang w:val="en-US" w:eastAsia="zh-CN"/>
                    </w:rPr>
                    <w:t>项目原料均采用原包料，项目用热采用电</w:t>
                  </w:r>
                  <w:r>
                    <w:rPr>
                      <w:rFonts w:hint="eastAsia" w:ascii="Times New Roman" w:hAnsi="Times New Roman" w:eastAsia="宋体" w:cs="Times New Roman"/>
                      <w:color w:val="auto"/>
                      <w:kern w:val="0"/>
                      <w:sz w:val="21"/>
                      <w:szCs w:val="21"/>
                      <w:lang w:val="en-US" w:eastAsia="zh-CN"/>
                    </w:rPr>
                    <w:t>。</w:t>
                  </w:r>
                </w:p>
              </w:tc>
              <w:tc>
                <w:tcPr>
                  <w:tcW w:w="428" w:type="pct"/>
                  <w:tcBorders>
                    <w:tl2br w:val="nil"/>
                    <w:tr2bl w:val="nil"/>
                  </w:tcBorders>
                  <w:noWrap/>
                  <w:vAlign w:val="center"/>
                </w:tcPr>
                <w:p w14:paraId="72A343F1">
                  <w:pPr>
                    <w:keepNext w:val="0"/>
                    <w:keepLines w:val="0"/>
                    <w:pageBreakBefore w:val="0"/>
                    <w:suppressLineNumbers w:val="0"/>
                    <w:kinsoku/>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符合</w:t>
                  </w:r>
                </w:p>
              </w:tc>
            </w:tr>
            <w:tr w14:paraId="0A3C57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44" w:type="pct"/>
                  <w:tcBorders>
                    <w:tl2br w:val="nil"/>
                    <w:tr2bl w:val="nil"/>
                  </w:tcBorders>
                  <w:noWrap/>
                  <w:vAlign w:val="center"/>
                </w:tcPr>
                <w:p w14:paraId="28A940CD">
                  <w:pPr>
                    <w:keepNext w:val="0"/>
                    <w:keepLines w:val="0"/>
                    <w:pageBreakBefore w:val="0"/>
                    <w:suppressLineNumbers w:val="0"/>
                    <w:kinsoku/>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污染治理技术</w:t>
                  </w:r>
                </w:p>
              </w:tc>
              <w:tc>
                <w:tcPr>
                  <w:tcW w:w="2300" w:type="pct"/>
                  <w:tcBorders>
                    <w:tl2br w:val="nil"/>
                    <w:tr2bl w:val="nil"/>
                  </w:tcBorders>
                  <w:noWrap/>
                  <w:vAlign w:val="center"/>
                </w:tcPr>
                <w:p w14:paraId="33F4F660">
                  <w:pPr>
                    <w:keepNext w:val="0"/>
                    <w:keepLines w:val="0"/>
                    <w:pageBreakBefore w:val="0"/>
                    <w:widowControl/>
                    <w:suppressLineNumbers w:val="0"/>
                    <w:kinsoku/>
                    <w:overflowPunct/>
                    <w:topLinePunct w:val="0"/>
                    <w:autoSpaceDE/>
                    <w:autoSpaceDN/>
                    <w:bidi w:val="0"/>
                    <w:spacing w:before="0" w:beforeLines="0" w:beforeAutospacing="0" w:after="0" w:afterLines="0" w:afterAutospacing="0" w:line="240" w:lineRule="auto"/>
                    <w:ind w:left="0" w:right="0"/>
                    <w:jc w:val="both"/>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1.投料、挤塑、注塑、滚塑、吹塑、压延、挤出、热定型、冷却、发泡、熟化、干燥等产生的VOCs环节有效收集，废气排至VOCs废气收集处理系统；距集气罩开口面最远处VOCs无组织排放位置，控制风速不低</w:t>
                  </w:r>
                  <w:r>
                    <w:rPr>
                      <w:rFonts w:hint="default" w:ascii="Times New Roman" w:hAnsi="Times New Roman" w:eastAsia="宋体" w:cs="Times New Roman"/>
                      <w:color w:val="auto"/>
                      <w:kern w:val="0"/>
                      <w:sz w:val="21"/>
                      <w:szCs w:val="21"/>
                      <w:lang w:val="en-US" w:eastAsia="zh-CN"/>
                    </w:rPr>
                    <w:t>于</w:t>
                  </w:r>
                  <w:r>
                    <w:rPr>
                      <w:rFonts w:hint="default" w:ascii="Times New Roman" w:hAnsi="Times New Roman" w:eastAsia="宋体" w:cs="Times New Roman"/>
                      <w:color w:val="auto"/>
                      <w:kern w:val="0"/>
                      <w:sz w:val="21"/>
                      <w:szCs w:val="21"/>
                    </w:rPr>
                    <w:t>0.3米/秒；生产工艺产生的VOCs采用燃烧方式或喷淋、吸附、生物法等二级及以上组合工艺处理，采用活性炭吸附的，按照生态环境部《挥发性有机物治理突出问题排查整治工作要求》中碘值的相关要求执行，且按活性炭最大吸附量的90%计算更换周期。废气中含有油烟或颗粒物的，应在VOCs治理设施前端加装高效除尘设施或油烟净化装置；</w:t>
                  </w:r>
                </w:p>
                <w:p w14:paraId="4D1DD1E3">
                  <w:pPr>
                    <w:keepNext w:val="0"/>
                    <w:keepLines w:val="0"/>
                    <w:pageBreakBefore w:val="0"/>
                    <w:widowControl/>
                    <w:suppressLineNumbers w:val="0"/>
                    <w:kinsoku/>
                    <w:overflowPunct/>
                    <w:topLinePunct w:val="0"/>
                    <w:autoSpaceDE/>
                    <w:autoSpaceDN/>
                    <w:bidi w:val="0"/>
                    <w:spacing w:before="0" w:beforeLines="0" w:beforeAutospacing="0" w:after="0" w:afterLines="0" w:afterAutospacing="0" w:line="240" w:lineRule="auto"/>
                    <w:ind w:left="0" w:right="0"/>
                    <w:jc w:val="both"/>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2.粉状、粒状物料采用自动投料器投加和配混，投加和混配工序在封闭车间内进行，颗粒物有效收集，采用布袋、滤筒等高效除尘技术；</w:t>
                  </w:r>
                </w:p>
                <w:p w14:paraId="1242CEB2">
                  <w:pPr>
                    <w:keepNext w:val="0"/>
                    <w:keepLines w:val="0"/>
                    <w:pageBreakBefore w:val="0"/>
                    <w:widowControl/>
                    <w:suppressLineNumbers w:val="0"/>
                    <w:kinsoku/>
                    <w:overflowPunct/>
                    <w:topLinePunct w:val="0"/>
                    <w:autoSpaceDE/>
                    <w:autoSpaceDN/>
                    <w:bidi w:val="0"/>
                    <w:spacing w:before="0" w:beforeLines="0" w:beforeAutospacing="0" w:after="0" w:afterLines="0" w:afterAutospacing="0" w:line="240" w:lineRule="auto"/>
                    <w:ind w:left="0" w:right="0"/>
                    <w:jc w:val="both"/>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3.NOx治理采用低氮燃SNCR/SCR等适宜技术；</w:t>
                  </w:r>
                </w:p>
                <w:p w14:paraId="04FC6AB1">
                  <w:pPr>
                    <w:keepNext w:val="0"/>
                    <w:keepLines w:val="0"/>
                    <w:pageBreakBefore w:val="0"/>
                    <w:widowControl/>
                    <w:suppressLineNumbers w:val="0"/>
                    <w:kinsoku/>
                    <w:overflowPunct/>
                    <w:topLinePunct w:val="0"/>
                    <w:autoSpaceDE/>
                    <w:autoSpaceDN/>
                    <w:bidi w:val="0"/>
                    <w:spacing w:before="0" w:beforeLines="0" w:beforeAutospacing="0" w:after="0" w:afterLines="0" w:afterAutospacing="0" w:line="240" w:lineRule="auto"/>
                    <w:ind w:left="0" w:right="0"/>
                    <w:jc w:val="both"/>
                    <w:textAlignment w:val="auto"/>
                    <w:rPr>
                      <w:rFonts w:hint="eastAsia" w:ascii="Times New Roman" w:hAnsi="Times New Roman" w:eastAsia="宋体" w:cs="Times New Roman"/>
                      <w:color w:val="auto"/>
                      <w:kern w:val="0"/>
                      <w:sz w:val="21"/>
                      <w:szCs w:val="21"/>
                      <w:lang w:eastAsia="zh-CN"/>
                    </w:rPr>
                  </w:pPr>
                  <w:r>
                    <w:rPr>
                      <w:rFonts w:hint="default" w:ascii="Times New Roman" w:hAnsi="Times New Roman" w:eastAsia="宋体" w:cs="Times New Roman"/>
                      <w:color w:val="auto"/>
                      <w:kern w:val="0"/>
                      <w:sz w:val="21"/>
                      <w:szCs w:val="21"/>
                    </w:rPr>
                    <w:t>4.废吸附剂应在密闭的包装袋或容器储存、转运，并建立储存、处置台账</w:t>
                  </w:r>
                  <w:r>
                    <w:rPr>
                      <w:rFonts w:hint="eastAsia" w:cs="Times New Roman"/>
                      <w:color w:val="auto"/>
                      <w:kern w:val="0"/>
                      <w:sz w:val="21"/>
                      <w:szCs w:val="21"/>
                      <w:lang w:eastAsia="zh-CN"/>
                    </w:rPr>
                    <w:t>；</w:t>
                  </w:r>
                </w:p>
                <w:p w14:paraId="4E0D87D9">
                  <w:pPr>
                    <w:keepNext w:val="0"/>
                    <w:keepLines w:val="0"/>
                    <w:pageBreakBefore w:val="0"/>
                    <w:widowControl/>
                    <w:suppressLineNumbers w:val="0"/>
                    <w:kinsoku/>
                    <w:overflowPunct/>
                    <w:topLinePunct w:val="0"/>
                    <w:autoSpaceDE/>
                    <w:autoSpaceDN/>
                    <w:bidi w:val="0"/>
                    <w:spacing w:before="0" w:beforeLines="0" w:beforeAutospacing="0" w:after="0" w:afterLines="0" w:afterAutospacing="0" w:line="240" w:lineRule="auto"/>
                    <w:ind w:left="0" w:right="0"/>
                    <w:jc w:val="both"/>
                    <w:textAlignment w:val="auto"/>
                    <w:rPr>
                      <w:rFonts w:hint="default"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5.</w:t>
                  </w:r>
                  <w:r>
                    <w:rPr>
                      <w:rFonts w:hint="eastAsia" w:ascii="Times New Roman" w:hAnsi="Times New Roman" w:eastAsia="宋体" w:cs="宋体"/>
                      <w:color w:val="auto"/>
                      <w:kern w:val="2"/>
                      <w:sz w:val="21"/>
                      <w:szCs w:val="21"/>
                      <w:lang w:val="en-US" w:eastAsia="zh-CN" w:bidi="ar-SA"/>
                    </w:rPr>
                    <w:t>污染治理技术不得使用《国家污染防治技术指导目录》中的低效类治理技术。</w:t>
                  </w:r>
                </w:p>
              </w:tc>
              <w:tc>
                <w:tcPr>
                  <w:tcW w:w="1826" w:type="pct"/>
                  <w:tcBorders>
                    <w:tl2br w:val="nil"/>
                    <w:tr2bl w:val="nil"/>
                  </w:tcBorders>
                  <w:noWrap/>
                  <w:vAlign w:val="center"/>
                </w:tcPr>
                <w:p w14:paraId="44F0117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both"/>
                    <w:textAlignment w:val="auto"/>
                    <w:rPr>
                      <w:rFonts w:hint="eastAsia" w:cs="Times New Roman"/>
                      <w:color w:val="auto"/>
                      <w:kern w:val="0"/>
                      <w:sz w:val="21"/>
                      <w:szCs w:val="21"/>
                      <w:lang w:val="en-US" w:eastAsia="zh-CN"/>
                    </w:rPr>
                  </w:pPr>
                  <w:r>
                    <w:rPr>
                      <w:rFonts w:hint="eastAsia" w:cs="Times New Roman"/>
                      <w:color w:val="auto"/>
                      <w:kern w:val="0"/>
                      <w:sz w:val="21"/>
                      <w:szCs w:val="21"/>
                      <w:lang w:val="en-US" w:eastAsia="zh-CN"/>
                    </w:rPr>
                    <w:t>1.</w:t>
                  </w:r>
                  <w:r>
                    <w:rPr>
                      <w:rFonts w:hint="default" w:ascii="Times New Roman" w:hAnsi="Times New Roman" w:eastAsia="宋体" w:cs="Times New Roman"/>
                      <w:color w:val="auto"/>
                      <w:kern w:val="0"/>
                      <w:sz w:val="21"/>
                      <w:szCs w:val="21"/>
                    </w:rPr>
                    <w:t>项目</w:t>
                  </w:r>
                  <w:r>
                    <w:rPr>
                      <w:rFonts w:hint="default" w:ascii="Times New Roman" w:hAnsi="Times New Roman" w:eastAsia="宋体" w:cs="Times New Roman"/>
                      <w:color w:val="auto"/>
                      <w:kern w:val="0"/>
                      <w:sz w:val="21"/>
                      <w:szCs w:val="21"/>
                      <w:lang w:val="en-US" w:eastAsia="zh-CN"/>
                    </w:rPr>
                    <w:t>工艺过程产生的</w:t>
                  </w:r>
                  <w:r>
                    <w:rPr>
                      <w:rFonts w:hint="default" w:ascii="Times New Roman" w:hAnsi="Times New Roman" w:eastAsia="宋体" w:cs="Times New Roman"/>
                      <w:color w:val="auto"/>
                      <w:kern w:val="0"/>
                      <w:sz w:val="21"/>
                      <w:szCs w:val="21"/>
                    </w:rPr>
                    <w:t>VOCs</w:t>
                  </w:r>
                  <w:r>
                    <w:rPr>
                      <w:rFonts w:hint="eastAsia" w:cs="Times New Roman"/>
                      <w:color w:val="auto"/>
                      <w:kern w:val="0"/>
                      <w:sz w:val="21"/>
                      <w:szCs w:val="21"/>
                      <w:lang w:eastAsia="zh-CN"/>
                    </w:rPr>
                    <w:t>经集气装置</w:t>
                  </w:r>
                  <w:r>
                    <w:rPr>
                      <w:rFonts w:hint="default" w:ascii="Times New Roman" w:hAnsi="Times New Roman" w:eastAsia="宋体" w:cs="Times New Roman"/>
                      <w:color w:val="auto"/>
                      <w:kern w:val="0"/>
                      <w:sz w:val="21"/>
                      <w:szCs w:val="21"/>
                      <w:lang w:val="en-US" w:eastAsia="zh-CN"/>
                    </w:rPr>
                    <w:t>有效收集，</w:t>
                  </w:r>
                  <w:r>
                    <w:rPr>
                      <w:rFonts w:hint="eastAsia" w:ascii="Times New Roman" w:hAnsi="Times New Roman" w:eastAsia="宋体" w:cs="宋体"/>
                      <w:color w:val="auto"/>
                      <w:sz w:val="21"/>
                      <w:szCs w:val="21"/>
                      <w:lang w:val="en-US" w:eastAsia="zh-CN"/>
                    </w:rPr>
                    <w:t>距集气装置开口面最远处VOCs无组织排放位置，控制风速不低于0.3米/秒，</w:t>
                  </w:r>
                  <w:r>
                    <w:rPr>
                      <w:rFonts w:hint="default" w:ascii="Times New Roman" w:hAnsi="Times New Roman" w:eastAsia="宋体" w:cs="Times New Roman"/>
                      <w:color w:val="auto"/>
                      <w:kern w:val="0"/>
                      <w:sz w:val="21"/>
                      <w:szCs w:val="21"/>
                      <w:lang w:val="en-US" w:eastAsia="zh-CN"/>
                    </w:rPr>
                    <w:t>并</w:t>
                  </w:r>
                  <w:r>
                    <w:rPr>
                      <w:rFonts w:hint="eastAsia" w:ascii="Times New Roman" w:hAnsi="Times New Roman" w:eastAsia="宋体" w:cs="Times New Roman"/>
                      <w:color w:val="auto"/>
                      <w:kern w:val="0"/>
                      <w:sz w:val="21"/>
                      <w:szCs w:val="21"/>
                      <w:lang w:val="en-US" w:eastAsia="zh-CN"/>
                    </w:rPr>
                    <w:t>采取二级</w:t>
                  </w:r>
                  <w:r>
                    <w:rPr>
                      <w:rFonts w:hint="eastAsia" w:ascii="Times New Roman" w:hAnsi="Times New Roman" w:eastAsia="宋体" w:cs="Times New Roman"/>
                      <w:color w:val="auto"/>
                      <w:kern w:val="0"/>
                      <w:sz w:val="21"/>
                      <w:szCs w:val="21"/>
                      <w:highlight w:val="none"/>
                      <w:lang w:val="en-US" w:eastAsia="zh-CN"/>
                    </w:rPr>
                    <w:t>活性炭吸附装置</w:t>
                  </w:r>
                  <w:r>
                    <w:rPr>
                      <w:rFonts w:hint="default" w:ascii="Times New Roman" w:hAnsi="Times New Roman" w:eastAsia="宋体" w:cs="Times New Roman"/>
                      <w:color w:val="auto"/>
                      <w:kern w:val="0"/>
                      <w:sz w:val="21"/>
                      <w:szCs w:val="21"/>
                      <w:highlight w:val="none"/>
                      <w:lang w:val="en-US" w:eastAsia="zh-CN"/>
                    </w:rPr>
                    <w:t>进行处理</w:t>
                  </w:r>
                  <w:r>
                    <w:rPr>
                      <w:rFonts w:hint="eastAsia" w:cs="Times New Roman"/>
                      <w:color w:val="auto"/>
                      <w:kern w:val="0"/>
                      <w:sz w:val="21"/>
                      <w:szCs w:val="21"/>
                      <w:highlight w:val="none"/>
                      <w:lang w:val="en-US" w:eastAsia="zh-CN"/>
                    </w:rPr>
                    <w:t>，</w:t>
                  </w:r>
                  <w:r>
                    <w:rPr>
                      <w:rFonts w:hint="default" w:ascii="Times New Roman" w:hAnsi="Times New Roman" w:eastAsia="宋体" w:cs="Times New Roman"/>
                      <w:color w:val="auto"/>
                      <w:kern w:val="0"/>
                      <w:sz w:val="21"/>
                      <w:szCs w:val="21"/>
                      <w:highlight w:val="none"/>
                    </w:rPr>
                    <w:t>按照生态环境部《挥发性有机物治理突出问题排查整治工作要求》中碘值的相关要求执行，且按活性炭最大吸附量的90%计算更换周期</w:t>
                  </w:r>
                  <w:r>
                    <w:rPr>
                      <w:rFonts w:hint="eastAsia" w:cs="Times New Roman"/>
                      <w:color w:val="auto"/>
                      <w:kern w:val="0"/>
                      <w:sz w:val="21"/>
                      <w:szCs w:val="21"/>
                      <w:highlight w:val="none"/>
                      <w:lang w:val="en-US" w:eastAsia="zh-CN"/>
                    </w:rPr>
                    <w:t>；</w:t>
                  </w:r>
                </w:p>
                <w:p w14:paraId="0D5011C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both"/>
                    <w:textAlignment w:val="auto"/>
                    <w:rPr>
                      <w:rFonts w:hint="eastAsia" w:cs="Times New Roman"/>
                      <w:color w:val="auto"/>
                      <w:kern w:val="0"/>
                      <w:sz w:val="21"/>
                      <w:szCs w:val="21"/>
                      <w:lang w:val="en-US" w:eastAsia="zh-CN"/>
                    </w:rPr>
                  </w:pPr>
                  <w:r>
                    <w:rPr>
                      <w:rFonts w:hint="eastAsia" w:cs="Times New Roman"/>
                      <w:color w:val="auto"/>
                      <w:kern w:val="0"/>
                      <w:sz w:val="21"/>
                      <w:szCs w:val="21"/>
                      <w:lang w:val="en-US" w:eastAsia="zh-CN"/>
                    </w:rPr>
                    <w:t>2.本</w:t>
                  </w:r>
                  <w:r>
                    <w:rPr>
                      <w:rFonts w:hint="default" w:ascii="Times New Roman" w:hAnsi="Times New Roman" w:eastAsia="宋体" w:cs="Times New Roman"/>
                      <w:color w:val="auto"/>
                      <w:kern w:val="0"/>
                      <w:sz w:val="21"/>
                      <w:szCs w:val="21"/>
                      <w:lang w:val="en-US" w:eastAsia="zh-CN"/>
                    </w:rPr>
                    <w:t>项目</w:t>
                  </w:r>
                  <w:r>
                    <w:rPr>
                      <w:rFonts w:hint="eastAsia" w:cs="Times New Roman"/>
                      <w:color w:val="auto"/>
                      <w:kern w:val="0"/>
                      <w:sz w:val="21"/>
                      <w:szCs w:val="21"/>
                      <w:lang w:val="en-US" w:eastAsia="zh-CN"/>
                    </w:rPr>
                    <w:t>拌料工序使用线性低密度聚乙烯颗粒，粒径2~5mm，受重力影响快速沉降，不易悬浮，无需除尘设备，</w:t>
                  </w:r>
                  <w:r>
                    <w:rPr>
                      <w:rFonts w:hint="default" w:ascii="Times New Roman" w:hAnsi="Times New Roman" w:eastAsia="宋体" w:cs="Times New Roman"/>
                      <w:color w:val="auto"/>
                      <w:kern w:val="0"/>
                      <w:sz w:val="21"/>
                      <w:szCs w:val="21"/>
                    </w:rPr>
                    <w:t>采用自动投料器投加和配混</w:t>
                  </w:r>
                  <w:r>
                    <w:rPr>
                      <w:rFonts w:hint="eastAsia" w:cs="Times New Roman"/>
                      <w:color w:val="auto"/>
                      <w:kern w:val="0"/>
                      <w:sz w:val="21"/>
                      <w:szCs w:val="21"/>
                      <w:lang w:val="en-US" w:eastAsia="zh-CN"/>
                    </w:rPr>
                    <w:t>且</w:t>
                  </w:r>
                  <w:r>
                    <w:rPr>
                      <w:rFonts w:hint="default" w:ascii="Times New Roman" w:hAnsi="Times New Roman" w:eastAsia="宋体" w:cs="Times New Roman"/>
                      <w:color w:val="auto"/>
                      <w:kern w:val="0"/>
                      <w:sz w:val="21"/>
                      <w:szCs w:val="21"/>
                      <w:lang w:val="en-US" w:eastAsia="zh-CN"/>
                    </w:rPr>
                    <w:t>在密闭车间内</w:t>
                  </w:r>
                  <w:r>
                    <w:rPr>
                      <w:rFonts w:hint="eastAsia" w:cs="Times New Roman"/>
                      <w:color w:val="auto"/>
                      <w:kern w:val="0"/>
                      <w:sz w:val="21"/>
                      <w:szCs w:val="21"/>
                      <w:lang w:val="en-US" w:eastAsia="zh-CN"/>
                    </w:rPr>
                    <w:t>；</w:t>
                  </w:r>
                </w:p>
                <w:p w14:paraId="3C9C68F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both"/>
                    <w:textAlignment w:val="auto"/>
                    <w:rPr>
                      <w:rFonts w:hint="eastAsia" w:cs="Times New Roman"/>
                      <w:color w:val="auto"/>
                      <w:kern w:val="0"/>
                      <w:sz w:val="21"/>
                      <w:szCs w:val="21"/>
                      <w:lang w:val="en-US" w:eastAsia="zh-CN"/>
                    </w:rPr>
                  </w:pPr>
                  <w:r>
                    <w:rPr>
                      <w:rFonts w:hint="eastAsia" w:cs="Times New Roman"/>
                      <w:color w:val="auto"/>
                      <w:kern w:val="0"/>
                      <w:sz w:val="21"/>
                      <w:szCs w:val="21"/>
                      <w:lang w:val="en-US" w:eastAsia="zh-CN"/>
                    </w:rPr>
                    <w:t>3.</w:t>
                  </w:r>
                  <w:r>
                    <w:rPr>
                      <w:rFonts w:hint="default" w:ascii="Times New Roman" w:hAnsi="Times New Roman" w:eastAsia="宋体" w:cs="Times New Roman"/>
                      <w:color w:val="auto"/>
                      <w:kern w:val="0"/>
                      <w:sz w:val="21"/>
                      <w:szCs w:val="21"/>
                      <w:lang w:val="en-US" w:eastAsia="zh-CN"/>
                    </w:rPr>
                    <w:t>项目不涉及</w:t>
                  </w:r>
                  <w:r>
                    <w:rPr>
                      <w:rFonts w:hint="default" w:ascii="Times New Roman" w:hAnsi="Times New Roman" w:eastAsia="宋体" w:cs="Times New Roman"/>
                      <w:color w:val="auto"/>
                      <w:kern w:val="0"/>
                      <w:sz w:val="21"/>
                      <w:szCs w:val="21"/>
                    </w:rPr>
                    <w:t>NOx</w:t>
                  </w:r>
                  <w:r>
                    <w:rPr>
                      <w:rFonts w:hint="default" w:ascii="Times New Roman" w:hAnsi="Times New Roman" w:eastAsia="宋体" w:cs="Times New Roman"/>
                      <w:color w:val="auto"/>
                      <w:kern w:val="0"/>
                      <w:sz w:val="21"/>
                      <w:szCs w:val="21"/>
                      <w:lang w:val="en-US" w:eastAsia="zh-CN"/>
                    </w:rPr>
                    <w:t>的产生与排放</w:t>
                  </w:r>
                  <w:r>
                    <w:rPr>
                      <w:rFonts w:hint="eastAsia" w:cs="Times New Roman"/>
                      <w:color w:val="auto"/>
                      <w:kern w:val="0"/>
                      <w:sz w:val="21"/>
                      <w:szCs w:val="21"/>
                      <w:lang w:val="en-US" w:eastAsia="zh-CN"/>
                    </w:rPr>
                    <w:t>；</w:t>
                  </w:r>
                </w:p>
                <w:p w14:paraId="6A7F609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both"/>
                    <w:textAlignment w:val="auto"/>
                    <w:rPr>
                      <w:rFonts w:hint="eastAsia" w:cs="Times New Roman"/>
                      <w:color w:val="auto"/>
                      <w:kern w:val="0"/>
                      <w:sz w:val="21"/>
                      <w:szCs w:val="21"/>
                      <w:lang w:val="en-US" w:eastAsia="zh-CN"/>
                    </w:rPr>
                  </w:pPr>
                  <w:r>
                    <w:rPr>
                      <w:rFonts w:hint="eastAsia" w:cs="Times New Roman"/>
                      <w:color w:val="auto"/>
                      <w:kern w:val="0"/>
                      <w:sz w:val="21"/>
                      <w:szCs w:val="21"/>
                      <w:lang w:val="en-US" w:eastAsia="zh-CN"/>
                    </w:rPr>
                    <w:t>4.</w:t>
                  </w:r>
                  <w:r>
                    <w:rPr>
                      <w:rFonts w:hint="default" w:ascii="Times New Roman" w:hAnsi="Times New Roman" w:eastAsia="宋体" w:cs="Times New Roman"/>
                      <w:color w:val="auto"/>
                      <w:kern w:val="0"/>
                      <w:sz w:val="21"/>
                      <w:szCs w:val="21"/>
                      <w:lang w:val="en-US" w:eastAsia="zh-CN"/>
                    </w:rPr>
                    <w:t>废活性炭存放于密闭包装袋内暂存于危废间，定期交有资质单位处理，并建立危废台账</w:t>
                  </w:r>
                  <w:r>
                    <w:rPr>
                      <w:rFonts w:hint="eastAsia" w:cs="Times New Roman"/>
                      <w:color w:val="auto"/>
                      <w:kern w:val="0"/>
                      <w:sz w:val="21"/>
                      <w:szCs w:val="21"/>
                      <w:lang w:val="en-US" w:eastAsia="zh-CN"/>
                    </w:rPr>
                    <w:t>；</w:t>
                  </w:r>
                </w:p>
                <w:p w14:paraId="0E0B40C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both"/>
                    <w:textAlignment w:val="auto"/>
                    <w:rPr>
                      <w:rFonts w:hint="default" w:ascii="Times New Roman" w:hAnsi="Times New Roman" w:eastAsia="宋体" w:cs="Times New Roman"/>
                      <w:color w:val="auto"/>
                      <w:sz w:val="21"/>
                      <w:szCs w:val="21"/>
                      <w:lang w:val="en-US" w:eastAsia="zh-CN"/>
                    </w:rPr>
                  </w:pPr>
                  <w:r>
                    <w:rPr>
                      <w:rFonts w:hint="eastAsia" w:cs="Times New Roman"/>
                      <w:color w:val="auto"/>
                      <w:kern w:val="0"/>
                      <w:sz w:val="21"/>
                      <w:szCs w:val="21"/>
                      <w:lang w:val="en-US" w:eastAsia="zh-CN"/>
                    </w:rPr>
                    <w:t>5.</w:t>
                  </w:r>
                  <w:r>
                    <w:rPr>
                      <w:rFonts w:hint="eastAsia"/>
                      <w:lang w:val="en-US" w:eastAsia="zh-CN"/>
                    </w:rPr>
                    <w:t>二级活性炭吸附装置不属于</w:t>
                  </w:r>
                  <w:r>
                    <w:rPr>
                      <w:rFonts w:hint="eastAsia" w:ascii="Times New Roman" w:hAnsi="Times New Roman" w:eastAsia="宋体" w:cs="宋体"/>
                      <w:color w:val="auto"/>
                      <w:kern w:val="2"/>
                      <w:sz w:val="21"/>
                      <w:szCs w:val="21"/>
                      <w:lang w:val="en-US" w:eastAsia="zh-CN" w:bidi="ar-SA"/>
                    </w:rPr>
                    <w:t>《国家污染防治技术指导目录》中的低效类治理技术</w:t>
                  </w:r>
                  <w:r>
                    <w:rPr>
                      <w:rFonts w:hint="eastAsia" w:ascii="Times New Roman" w:hAnsi="Times New Roman" w:eastAsia="宋体" w:cs="Times New Roman"/>
                      <w:color w:val="auto"/>
                      <w:kern w:val="0"/>
                      <w:sz w:val="21"/>
                      <w:szCs w:val="21"/>
                      <w:lang w:val="en-US" w:eastAsia="zh-CN"/>
                    </w:rPr>
                    <w:t>。</w:t>
                  </w:r>
                </w:p>
              </w:tc>
              <w:tc>
                <w:tcPr>
                  <w:tcW w:w="428" w:type="pct"/>
                  <w:tcBorders>
                    <w:tl2br w:val="nil"/>
                    <w:tr2bl w:val="nil"/>
                  </w:tcBorders>
                  <w:noWrap/>
                  <w:vAlign w:val="center"/>
                </w:tcPr>
                <w:p w14:paraId="555674A6">
                  <w:pPr>
                    <w:keepNext w:val="0"/>
                    <w:keepLines w:val="0"/>
                    <w:pageBreakBefore w:val="0"/>
                    <w:suppressLineNumbers w:val="0"/>
                    <w:kinsoku/>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符合</w:t>
                  </w:r>
                </w:p>
              </w:tc>
            </w:tr>
            <w:tr w14:paraId="12C0EC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8" w:hRule="atLeast"/>
                <w:jc w:val="center"/>
              </w:trPr>
              <w:tc>
                <w:tcPr>
                  <w:tcW w:w="444" w:type="pct"/>
                  <w:tcBorders>
                    <w:tl2br w:val="nil"/>
                    <w:tr2bl w:val="nil"/>
                  </w:tcBorders>
                  <w:noWrap/>
                  <w:vAlign w:val="center"/>
                </w:tcPr>
                <w:p w14:paraId="35CB4576">
                  <w:pPr>
                    <w:keepNext w:val="0"/>
                    <w:keepLines w:val="0"/>
                    <w:pageBreakBefore w:val="0"/>
                    <w:suppressLineNumbers w:val="0"/>
                    <w:kinsoku/>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排放限值</w:t>
                  </w:r>
                </w:p>
              </w:tc>
              <w:tc>
                <w:tcPr>
                  <w:tcW w:w="2300" w:type="pct"/>
                  <w:tcBorders>
                    <w:tl2br w:val="nil"/>
                    <w:tr2bl w:val="nil"/>
                  </w:tcBorders>
                  <w:noWrap/>
                  <w:vAlign w:val="center"/>
                </w:tcPr>
                <w:p w14:paraId="77C6F37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both"/>
                    <w:textAlignment w:val="auto"/>
                    <w:rPr>
                      <w:rFonts w:hint="eastAsia" w:ascii="Times New Roman" w:hAnsi="Times New Roman" w:eastAsia="宋体" w:cs="宋体"/>
                      <w:color w:val="auto"/>
                      <w:sz w:val="21"/>
                      <w:szCs w:val="21"/>
                      <w:lang w:val="en-US" w:eastAsia="zh-CN"/>
                    </w:rPr>
                  </w:pPr>
                  <w:r>
                    <w:rPr>
                      <w:rFonts w:hint="eastAsia" w:ascii="Times New Roman" w:hAnsi="Times New Roman" w:eastAsia="宋体" w:cs="宋体"/>
                      <w:color w:val="auto"/>
                      <w:sz w:val="21"/>
                      <w:szCs w:val="21"/>
                      <w:lang w:val="en-US" w:eastAsia="zh-CN"/>
                    </w:rPr>
                    <w:t>1.全厂有组织颗粒物、非甲烷总烃排放浓度不高于10、10mg/m</w:t>
                  </w:r>
                  <w:r>
                    <w:rPr>
                      <w:rFonts w:hint="default" w:ascii="Times New Roman" w:hAnsi="Times New Roman" w:eastAsia="宋体" w:cs="Times New Roman"/>
                      <w:color w:val="auto"/>
                      <w:sz w:val="21"/>
                      <w:szCs w:val="21"/>
                      <w:lang w:val="en-US" w:eastAsia="zh-CN"/>
                    </w:rPr>
                    <w:t>³</w:t>
                  </w:r>
                  <w:r>
                    <w:rPr>
                      <w:rFonts w:hint="eastAsia" w:ascii="Times New Roman" w:hAnsi="Times New Roman" w:eastAsia="宋体" w:cs="宋体"/>
                      <w:color w:val="auto"/>
                      <w:sz w:val="21"/>
                      <w:szCs w:val="21"/>
                      <w:lang w:val="en-US" w:eastAsia="zh-CN"/>
                    </w:rPr>
                    <w:t>；</w:t>
                  </w:r>
                </w:p>
                <w:p w14:paraId="2675627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both"/>
                    <w:textAlignment w:val="auto"/>
                    <w:rPr>
                      <w:rFonts w:hint="eastAsia" w:ascii="Times New Roman" w:hAnsi="Times New Roman" w:eastAsia="宋体" w:cs="宋体"/>
                      <w:color w:val="auto"/>
                      <w:sz w:val="21"/>
                      <w:szCs w:val="21"/>
                      <w:lang w:val="en-US" w:eastAsia="zh-CN"/>
                    </w:rPr>
                  </w:pPr>
                  <w:r>
                    <w:rPr>
                      <w:rFonts w:hint="eastAsia" w:ascii="Times New Roman" w:hAnsi="Times New Roman" w:eastAsia="宋体" w:cs="宋体"/>
                      <w:color w:val="auto"/>
                      <w:sz w:val="21"/>
                      <w:szCs w:val="21"/>
                      <w:lang w:val="en-US" w:eastAsia="zh-CN"/>
                    </w:rPr>
                    <w:t>2.VOCs治理设施去除效率需达到90%，若去除效率达不到相应规定，生产车间或生产设备无组织排放监控点1h非甲烷总烃平均浓度低于2mg/m</w:t>
                  </w:r>
                  <w:r>
                    <w:rPr>
                      <w:rFonts w:hint="eastAsia" w:ascii="Times New Roman" w:hAnsi="Times New Roman" w:eastAsia="宋体" w:cs="宋体"/>
                      <w:color w:val="auto"/>
                      <w:sz w:val="21"/>
                      <w:szCs w:val="21"/>
                      <w:vertAlign w:val="superscript"/>
                      <w:lang w:val="en-US" w:eastAsia="zh-CN"/>
                    </w:rPr>
                    <w:t>3</w:t>
                  </w:r>
                  <w:r>
                    <w:rPr>
                      <w:rFonts w:hint="eastAsia" w:ascii="Times New Roman" w:hAnsi="Times New Roman" w:eastAsia="宋体" w:cs="宋体"/>
                      <w:color w:val="auto"/>
                      <w:sz w:val="21"/>
                      <w:szCs w:val="21"/>
                      <w:lang w:val="en-US" w:eastAsia="zh-CN"/>
                    </w:rPr>
                    <w:t>，任意一次非甲烷总烃浓度低于10mg/m</w:t>
                  </w:r>
                  <w:r>
                    <w:rPr>
                      <w:rFonts w:hint="eastAsia" w:ascii="Times New Roman" w:hAnsi="Times New Roman" w:eastAsia="宋体" w:cs="宋体"/>
                      <w:color w:val="auto"/>
                      <w:sz w:val="21"/>
                      <w:szCs w:val="21"/>
                      <w:vertAlign w:val="superscript"/>
                      <w:lang w:val="en-US" w:eastAsia="zh-CN"/>
                    </w:rPr>
                    <w:t>3</w:t>
                  </w:r>
                  <w:r>
                    <w:rPr>
                      <w:rFonts w:hint="eastAsia" w:ascii="Times New Roman" w:hAnsi="Times New Roman" w:eastAsia="宋体" w:cs="宋体"/>
                      <w:color w:val="auto"/>
                      <w:sz w:val="21"/>
                      <w:szCs w:val="21"/>
                      <w:lang w:val="en-US" w:eastAsia="zh-CN"/>
                    </w:rPr>
                    <w:t>；</w:t>
                  </w:r>
                </w:p>
                <w:p w14:paraId="7B2728E4">
                  <w:pPr>
                    <w:keepNext w:val="0"/>
                    <w:keepLines w:val="0"/>
                    <w:pageBreakBefore w:val="0"/>
                    <w:widowControl/>
                    <w:suppressLineNumbers w:val="0"/>
                    <w:kinsoku/>
                    <w:overflowPunct/>
                    <w:topLinePunct w:val="0"/>
                    <w:autoSpaceDE/>
                    <w:autoSpaceDN/>
                    <w:bidi w:val="0"/>
                    <w:spacing w:before="0" w:beforeLines="0" w:beforeAutospacing="0" w:after="0" w:afterLines="0" w:afterAutospacing="0" w:line="240" w:lineRule="auto"/>
                    <w:ind w:left="0" w:right="0"/>
                    <w:jc w:val="both"/>
                    <w:textAlignment w:val="auto"/>
                    <w:rPr>
                      <w:rFonts w:hint="default" w:ascii="Times New Roman" w:hAnsi="Times New Roman" w:eastAsia="宋体" w:cs="Times New Roman"/>
                      <w:color w:val="auto"/>
                      <w:kern w:val="0"/>
                      <w:sz w:val="21"/>
                      <w:szCs w:val="21"/>
                    </w:rPr>
                  </w:pPr>
                  <w:r>
                    <w:rPr>
                      <w:rFonts w:hint="eastAsia" w:ascii="Times New Roman" w:hAnsi="Times New Roman" w:eastAsia="宋体" w:cs="宋体"/>
                      <w:color w:val="auto"/>
                      <w:sz w:val="21"/>
                      <w:szCs w:val="21"/>
                      <w:lang w:val="en-US" w:eastAsia="zh-CN"/>
                    </w:rPr>
                    <w:t>3.含有采暖燃气锅炉的，PM、SO</w:t>
                  </w:r>
                  <w:r>
                    <w:rPr>
                      <w:rFonts w:hint="eastAsia" w:ascii="Times New Roman" w:hAnsi="Times New Roman" w:eastAsia="宋体" w:cs="宋体"/>
                      <w:color w:val="auto"/>
                      <w:sz w:val="21"/>
                      <w:szCs w:val="21"/>
                      <w:vertAlign w:val="subscript"/>
                      <w:lang w:val="en-US" w:eastAsia="zh-CN"/>
                    </w:rPr>
                    <w:t>2</w:t>
                  </w:r>
                  <w:r>
                    <w:rPr>
                      <w:rFonts w:hint="eastAsia" w:ascii="Times New Roman" w:hAnsi="Times New Roman" w:eastAsia="宋体" w:cs="宋体"/>
                      <w:color w:val="auto"/>
                      <w:sz w:val="21"/>
                      <w:szCs w:val="21"/>
                      <w:lang w:val="en-US" w:eastAsia="zh-CN"/>
                    </w:rPr>
                    <w:t>、NOx排放浓度分别不高于：5、10、50mg/m</w:t>
                  </w:r>
                  <w:r>
                    <w:rPr>
                      <w:rFonts w:hint="default" w:ascii="Times New Roman" w:hAnsi="Times New Roman" w:eastAsia="宋体" w:cs="Times New Roman"/>
                      <w:color w:val="auto"/>
                      <w:sz w:val="21"/>
                      <w:szCs w:val="21"/>
                      <w:lang w:val="en-US" w:eastAsia="zh-CN"/>
                    </w:rPr>
                    <w:t>³</w:t>
                  </w:r>
                  <w:r>
                    <w:rPr>
                      <w:rFonts w:hint="eastAsia" w:ascii="Times New Roman" w:hAnsi="Times New Roman" w:eastAsia="宋体" w:cs="Times New Roman"/>
                      <w:color w:val="auto"/>
                      <w:sz w:val="21"/>
                      <w:szCs w:val="21"/>
                      <w:lang w:val="en-US" w:eastAsia="zh-CN"/>
                    </w:rPr>
                    <w:t>。</w:t>
                  </w:r>
                </w:p>
              </w:tc>
              <w:tc>
                <w:tcPr>
                  <w:tcW w:w="1826" w:type="pct"/>
                  <w:tcBorders>
                    <w:tl2br w:val="nil"/>
                    <w:tr2bl w:val="nil"/>
                  </w:tcBorders>
                  <w:noWrap/>
                  <w:vAlign w:val="center"/>
                </w:tcPr>
                <w:p w14:paraId="4DF7F499">
                  <w:pPr>
                    <w:keepNext w:val="0"/>
                    <w:keepLines w:val="0"/>
                    <w:pageBreakBefore w:val="0"/>
                    <w:suppressLineNumbers w:val="0"/>
                    <w:kinsoku/>
                    <w:wordWrap w:val="0"/>
                    <w:overflowPunct/>
                    <w:topLinePunct w:val="0"/>
                    <w:autoSpaceDE/>
                    <w:autoSpaceDN/>
                    <w:bidi w:val="0"/>
                    <w:adjustRightInd w:val="0"/>
                    <w:snapToGrid/>
                    <w:spacing w:before="0" w:beforeLines="0" w:beforeAutospacing="0" w:after="0" w:afterLines="0" w:afterAutospacing="0" w:line="240" w:lineRule="auto"/>
                    <w:ind w:left="0" w:right="0"/>
                    <w:jc w:val="both"/>
                    <w:textAlignment w:val="auto"/>
                    <w:rPr>
                      <w:rFonts w:hint="default" w:ascii="Times New Roman" w:hAnsi="Times New Roman" w:eastAsia="宋体" w:cs="Times New Roman"/>
                      <w:color w:val="auto"/>
                      <w:kern w:val="2"/>
                      <w:sz w:val="21"/>
                      <w:szCs w:val="21"/>
                      <w:highlight w:val="none"/>
                      <w:vertAlign w:val="superscript"/>
                      <w:lang w:val="en-US" w:eastAsia="zh-CN" w:bidi="ar-SA"/>
                    </w:rPr>
                  </w:pPr>
                  <w:r>
                    <w:rPr>
                      <w:rFonts w:hint="default" w:ascii="Times New Roman" w:hAnsi="Times New Roman" w:eastAsia="宋体" w:cs="Times New Roman"/>
                      <w:color w:val="auto"/>
                      <w:kern w:val="2"/>
                      <w:sz w:val="21"/>
                      <w:szCs w:val="21"/>
                      <w:highlight w:val="none"/>
                      <w:lang w:val="en-US" w:eastAsia="zh-CN" w:bidi="ar-SA"/>
                    </w:rPr>
                    <w:t>1.经预测排气筒DA00</w:t>
                  </w:r>
                  <w:r>
                    <w:rPr>
                      <w:rFonts w:hint="eastAsia" w:ascii="Times New Roman" w:hAnsi="Times New Roman" w:eastAsia="宋体" w:cs="Times New Roman"/>
                      <w:color w:val="auto"/>
                      <w:kern w:val="2"/>
                      <w:sz w:val="21"/>
                      <w:szCs w:val="21"/>
                      <w:highlight w:val="none"/>
                      <w:lang w:val="en-US" w:eastAsia="zh-CN" w:bidi="ar-SA"/>
                    </w:rPr>
                    <w:t>1</w:t>
                  </w:r>
                  <w:r>
                    <w:rPr>
                      <w:rFonts w:hint="default" w:ascii="Times New Roman" w:hAnsi="Times New Roman" w:eastAsia="宋体" w:cs="Times New Roman"/>
                      <w:color w:val="auto"/>
                      <w:kern w:val="2"/>
                      <w:sz w:val="21"/>
                      <w:szCs w:val="21"/>
                      <w:highlight w:val="none"/>
                      <w:lang w:val="en-US" w:eastAsia="zh-CN" w:bidi="ar-SA"/>
                    </w:rPr>
                    <w:t>的非甲烷总烃浓度</w:t>
                  </w:r>
                  <w:r>
                    <w:rPr>
                      <w:rFonts w:hint="eastAsia" w:cs="Times New Roman"/>
                      <w:color w:val="auto"/>
                      <w:kern w:val="2"/>
                      <w:sz w:val="21"/>
                      <w:szCs w:val="21"/>
                      <w:highlight w:val="none"/>
                      <w:lang w:val="en-US" w:eastAsia="zh-CN" w:bidi="ar-SA"/>
                    </w:rPr>
                    <w:t>为2.194</w:t>
                  </w:r>
                  <w:r>
                    <w:rPr>
                      <w:rFonts w:hint="default" w:ascii="Times New Roman" w:hAnsi="Times New Roman" w:eastAsia="宋体" w:cs="Times New Roman"/>
                      <w:color w:val="auto"/>
                      <w:kern w:val="2"/>
                      <w:sz w:val="21"/>
                      <w:szCs w:val="21"/>
                      <w:highlight w:val="none"/>
                      <w:lang w:val="en-US" w:eastAsia="zh-CN" w:bidi="ar-SA"/>
                    </w:rPr>
                    <w:t>mg/m</w:t>
                  </w:r>
                  <w:r>
                    <w:rPr>
                      <w:rFonts w:hint="default" w:ascii="Times New Roman" w:hAnsi="Times New Roman" w:eastAsia="宋体" w:cs="Times New Roman"/>
                      <w:color w:val="auto"/>
                      <w:kern w:val="2"/>
                      <w:sz w:val="21"/>
                      <w:szCs w:val="21"/>
                      <w:highlight w:val="none"/>
                      <w:vertAlign w:val="superscript"/>
                      <w:lang w:val="en-US" w:eastAsia="zh-CN" w:bidi="ar-SA"/>
                    </w:rPr>
                    <w:t>3</w:t>
                  </w:r>
                  <w:r>
                    <w:rPr>
                      <w:rFonts w:hint="eastAsia" w:cs="Times New Roman"/>
                      <w:color w:val="auto"/>
                      <w:kern w:val="2"/>
                      <w:sz w:val="21"/>
                      <w:szCs w:val="21"/>
                      <w:highlight w:val="none"/>
                      <w:vertAlign w:val="baseli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DA00</w:t>
                  </w:r>
                  <w:r>
                    <w:rPr>
                      <w:rFonts w:hint="eastAsia" w:ascii="Times New Roman" w:hAnsi="Times New Roman" w:cs="Times New Roman"/>
                      <w:color w:val="auto"/>
                      <w:kern w:val="2"/>
                      <w:sz w:val="21"/>
                      <w:szCs w:val="21"/>
                      <w:highlight w:val="none"/>
                      <w:lang w:val="en-US" w:eastAsia="zh-CN" w:bidi="ar-SA"/>
                    </w:rPr>
                    <w:t>2</w:t>
                  </w:r>
                  <w:r>
                    <w:rPr>
                      <w:rFonts w:hint="default" w:ascii="Times New Roman" w:hAnsi="Times New Roman" w:eastAsia="宋体" w:cs="Times New Roman"/>
                      <w:color w:val="auto"/>
                      <w:kern w:val="2"/>
                      <w:sz w:val="21"/>
                      <w:szCs w:val="21"/>
                      <w:highlight w:val="none"/>
                      <w:lang w:val="en-US" w:eastAsia="zh-CN" w:bidi="ar-SA"/>
                    </w:rPr>
                    <w:t>的非甲烷总烃浓度</w:t>
                  </w:r>
                  <w:r>
                    <w:rPr>
                      <w:rFonts w:hint="eastAsia" w:cs="Times New Roman"/>
                      <w:color w:val="auto"/>
                      <w:kern w:val="2"/>
                      <w:sz w:val="21"/>
                      <w:szCs w:val="21"/>
                      <w:highlight w:val="none"/>
                      <w:lang w:val="en-US" w:eastAsia="zh-CN" w:bidi="ar-SA"/>
                    </w:rPr>
                    <w:t>为2.462</w:t>
                  </w:r>
                  <w:r>
                    <w:rPr>
                      <w:rFonts w:hint="default" w:ascii="Times New Roman" w:hAnsi="Times New Roman" w:eastAsia="宋体" w:cs="Times New Roman"/>
                      <w:color w:val="auto"/>
                      <w:kern w:val="2"/>
                      <w:sz w:val="21"/>
                      <w:szCs w:val="21"/>
                      <w:highlight w:val="none"/>
                      <w:lang w:val="en-US" w:eastAsia="zh-CN" w:bidi="ar-SA"/>
                    </w:rPr>
                    <w:t>mg/m</w:t>
                  </w:r>
                  <w:r>
                    <w:rPr>
                      <w:rFonts w:hint="default" w:ascii="Times New Roman" w:hAnsi="Times New Roman" w:eastAsia="宋体" w:cs="Times New Roman"/>
                      <w:color w:val="auto"/>
                      <w:kern w:val="2"/>
                      <w:sz w:val="21"/>
                      <w:szCs w:val="21"/>
                      <w:highlight w:val="none"/>
                      <w:vertAlign w:val="superscript"/>
                      <w:lang w:val="en-US" w:eastAsia="zh-CN" w:bidi="ar-SA"/>
                    </w:rPr>
                    <w:t>3</w:t>
                  </w:r>
                  <w:r>
                    <w:rPr>
                      <w:rFonts w:hint="eastAsia" w:cs="Times New Roman"/>
                      <w:color w:val="auto"/>
                      <w:kern w:val="2"/>
                      <w:sz w:val="21"/>
                      <w:szCs w:val="21"/>
                      <w:highlight w:val="none"/>
                      <w:vertAlign w:val="baseli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DA00</w:t>
                  </w:r>
                  <w:r>
                    <w:rPr>
                      <w:rFonts w:hint="eastAsia" w:ascii="Times New Roman" w:hAnsi="Times New Roman" w:cs="Times New Roman"/>
                      <w:color w:val="auto"/>
                      <w:kern w:val="2"/>
                      <w:sz w:val="21"/>
                      <w:szCs w:val="21"/>
                      <w:highlight w:val="none"/>
                      <w:lang w:val="en-US" w:eastAsia="zh-CN" w:bidi="ar-SA"/>
                    </w:rPr>
                    <w:t>3</w:t>
                  </w:r>
                  <w:r>
                    <w:rPr>
                      <w:rFonts w:hint="default" w:ascii="Times New Roman" w:hAnsi="Times New Roman" w:eastAsia="宋体" w:cs="Times New Roman"/>
                      <w:color w:val="auto"/>
                      <w:kern w:val="2"/>
                      <w:sz w:val="21"/>
                      <w:szCs w:val="21"/>
                      <w:highlight w:val="none"/>
                      <w:lang w:val="en-US" w:eastAsia="zh-CN" w:bidi="ar-SA"/>
                    </w:rPr>
                    <w:t>的非甲烷总烃浓度</w:t>
                  </w:r>
                  <w:r>
                    <w:rPr>
                      <w:rFonts w:hint="eastAsia" w:cs="Times New Roman"/>
                      <w:color w:val="auto"/>
                      <w:kern w:val="2"/>
                      <w:sz w:val="21"/>
                      <w:szCs w:val="21"/>
                      <w:highlight w:val="none"/>
                      <w:lang w:val="en-US" w:eastAsia="zh-CN" w:bidi="ar-SA"/>
                    </w:rPr>
                    <w:t>为1.380</w:t>
                  </w:r>
                  <w:r>
                    <w:rPr>
                      <w:rFonts w:hint="default" w:ascii="Times New Roman" w:hAnsi="Times New Roman" w:eastAsia="宋体" w:cs="Times New Roman"/>
                      <w:color w:val="auto"/>
                      <w:kern w:val="2"/>
                      <w:sz w:val="21"/>
                      <w:szCs w:val="21"/>
                      <w:highlight w:val="none"/>
                      <w:lang w:val="en-US" w:eastAsia="zh-CN" w:bidi="ar-SA"/>
                    </w:rPr>
                    <w:t>mg/m</w:t>
                  </w:r>
                  <w:r>
                    <w:rPr>
                      <w:rFonts w:hint="default" w:ascii="Times New Roman" w:hAnsi="Times New Roman" w:eastAsia="宋体" w:cs="Times New Roman"/>
                      <w:color w:val="auto"/>
                      <w:kern w:val="2"/>
                      <w:sz w:val="21"/>
                      <w:szCs w:val="21"/>
                      <w:highlight w:val="none"/>
                      <w:vertAlign w:val="superscript"/>
                      <w:lang w:val="en-US" w:eastAsia="zh-CN" w:bidi="ar-SA"/>
                    </w:rPr>
                    <w:t>3</w:t>
                  </w:r>
                  <w:r>
                    <w:rPr>
                      <w:rFonts w:hint="eastAsia" w:ascii="Times New Roman" w:hAnsi="Times New Roman" w:eastAsia="宋体" w:cs="Times New Roman"/>
                      <w:color w:val="auto"/>
                      <w:kern w:val="2"/>
                      <w:sz w:val="21"/>
                      <w:szCs w:val="21"/>
                      <w:highlight w:val="none"/>
                      <w:lang w:val="en-US" w:eastAsia="zh-CN" w:bidi="ar-SA"/>
                    </w:rPr>
                    <w:t>；</w:t>
                  </w:r>
                </w:p>
                <w:p w14:paraId="38C3D9DB">
                  <w:pPr>
                    <w:keepNext w:val="0"/>
                    <w:keepLines w:val="0"/>
                    <w:pageBreakBefore w:val="0"/>
                    <w:suppressLineNumbers w:val="0"/>
                    <w:kinsoku/>
                    <w:wordWrap w:val="0"/>
                    <w:overflowPunct/>
                    <w:topLinePunct w:val="0"/>
                    <w:autoSpaceDE/>
                    <w:autoSpaceDN/>
                    <w:bidi w:val="0"/>
                    <w:adjustRightInd w:val="0"/>
                    <w:snapToGrid/>
                    <w:spacing w:before="0" w:beforeLines="0" w:beforeAutospacing="0" w:after="0" w:afterLines="0" w:afterAutospacing="0" w:line="240" w:lineRule="auto"/>
                    <w:ind w:left="0" w:right="0"/>
                    <w:jc w:val="both"/>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2.企业</w:t>
                  </w:r>
                  <w:r>
                    <w:rPr>
                      <w:rFonts w:hint="eastAsia" w:ascii="Times New Roman" w:hAnsi="Times New Roman" w:eastAsia="宋体" w:cs="宋体"/>
                      <w:color w:val="auto"/>
                      <w:sz w:val="21"/>
                      <w:szCs w:val="21"/>
                      <w:lang w:val="en-US" w:eastAsia="zh-CN"/>
                    </w:rPr>
                    <w:t>生产车间无组织任意一次非甲烷总烃浓度低于10mg/m</w:t>
                  </w:r>
                  <w:r>
                    <w:rPr>
                      <w:rFonts w:hint="eastAsia" w:ascii="Times New Roman" w:hAnsi="Times New Roman" w:eastAsia="宋体" w:cs="宋体"/>
                      <w:color w:val="auto"/>
                      <w:sz w:val="21"/>
                      <w:szCs w:val="21"/>
                      <w:vertAlign w:val="superscript"/>
                      <w:lang w:val="en-US" w:eastAsia="zh-CN"/>
                    </w:rPr>
                    <w:t>3</w:t>
                  </w:r>
                  <w:r>
                    <w:rPr>
                      <w:rFonts w:hint="eastAsia" w:ascii="Times New Roman" w:hAnsi="Times New Roman" w:eastAsia="宋体" w:cs="Times New Roman"/>
                      <w:color w:val="auto"/>
                      <w:kern w:val="2"/>
                      <w:sz w:val="21"/>
                      <w:szCs w:val="21"/>
                      <w:lang w:val="en-US" w:eastAsia="zh-CN" w:bidi="ar-SA"/>
                    </w:rPr>
                    <w:t>；</w:t>
                  </w:r>
                </w:p>
                <w:p w14:paraId="405F765C">
                  <w:pPr>
                    <w:keepNext w:val="0"/>
                    <w:keepLines w:val="0"/>
                    <w:pageBreakBefore w:val="0"/>
                    <w:suppressLineNumbers w:val="0"/>
                    <w:kinsoku/>
                    <w:overflowPunct/>
                    <w:topLinePunct w:val="0"/>
                    <w:autoSpaceDE/>
                    <w:autoSpaceDN/>
                    <w:bidi w:val="0"/>
                    <w:adjustRightInd w:val="0"/>
                    <w:snapToGrid w:val="0"/>
                    <w:spacing w:before="0" w:beforeLines="0" w:beforeAutospacing="0" w:after="0" w:afterLines="0" w:afterAutospacing="0" w:line="240" w:lineRule="auto"/>
                    <w:ind w:left="0" w:right="0"/>
                    <w:jc w:val="both"/>
                    <w:textAlignment w:val="auto"/>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2"/>
                      <w:sz w:val="21"/>
                      <w:szCs w:val="21"/>
                      <w:lang w:val="en-US" w:eastAsia="zh-CN" w:bidi="ar-SA"/>
                    </w:rPr>
                    <w:t>3.</w:t>
                  </w:r>
                  <w:r>
                    <w:rPr>
                      <w:rFonts w:hint="eastAsia" w:ascii="Times New Roman" w:hAnsi="Times New Roman" w:eastAsia="宋体" w:cs="Times New Roman"/>
                      <w:color w:val="auto"/>
                      <w:kern w:val="0"/>
                      <w:sz w:val="21"/>
                      <w:szCs w:val="21"/>
                      <w:lang w:eastAsia="zh-CN"/>
                    </w:rPr>
                    <w:t>本项目不涉及</w:t>
                  </w:r>
                  <w:r>
                    <w:rPr>
                      <w:rFonts w:hint="eastAsia" w:cs="Times New Roman"/>
                      <w:color w:val="auto"/>
                      <w:kern w:val="0"/>
                      <w:sz w:val="21"/>
                      <w:szCs w:val="21"/>
                      <w:lang w:eastAsia="zh-CN"/>
                    </w:rPr>
                    <w:t>燃气锅炉</w:t>
                  </w:r>
                  <w:r>
                    <w:rPr>
                      <w:rFonts w:hint="eastAsia" w:ascii="Times New Roman" w:hAnsi="Times New Roman" w:eastAsia="宋体" w:cs="Times New Roman"/>
                      <w:color w:val="auto"/>
                      <w:kern w:val="0"/>
                      <w:sz w:val="21"/>
                      <w:szCs w:val="21"/>
                      <w:lang w:eastAsia="zh-CN"/>
                    </w:rPr>
                    <w:t>。</w:t>
                  </w:r>
                </w:p>
              </w:tc>
              <w:tc>
                <w:tcPr>
                  <w:tcW w:w="428" w:type="pct"/>
                  <w:tcBorders>
                    <w:tl2br w:val="nil"/>
                    <w:tr2bl w:val="nil"/>
                  </w:tcBorders>
                  <w:noWrap/>
                  <w:vAlign w:val="center"/>
                </w:tcPr>
                <w:p w14:paraId="44E864A8">
                  <w:pPr>
                    <w:keepNext w:val="0"/>
                    <w:keepLines w:val="0"/>
                    <w:pageBreakBefore w:val="0"/>
                    <w:suppressLineNumbers w:val="0"/>
                    <w:kinsoku/>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符合</w:t>
                  </w:r>
                </w:p>
              </w:tc>
            </w:tr>
            <w:tr w14:paraId="2A0C98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444" w:type="pct"/>
                  <w:tcBorders>
                    <w:tl2br w:val="nil"/>
                    <w:tr2bl w:val="nil"/>
                  </w:tcBorders>
                  <w:noWrap/>
                  <w:vAlign w:val="center"/>
                </w:tcPr>
                <w:p w14:paraId="3C5ABEA1">
                  <w:pPr>
                    <w:keepNext w:val="0"/>
                    <w:keepLines w:val="0"/>
                    <w:pageBreakBefore w:val="0"/>
                    <w:suppressLineNumbers w:val="0"/>
                    <w:kinsoku/>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无组织管控要求</w:t>
                  </w:r>
                </w:p>
              </w:tc>
              <w:tc>
                <w:tcPr>
                  <w:tcW w:w="2300" w:type="pct"/>
                  <w:tcBorders>
                    <w:tl2br w:val="nil"/>
                    <w:tr2bl w:val="nil"/>
                  </w:tcBorders>
                  <w:noWrap/>
                  <w:vAlign w:val="center"/>
                </w:tcPr>
                <w:p w14:paraId="23253539">
                  <w:pPr>
                    <w:keepNext w:val="0"/>
                    <w:keepLines w:val="0"/>
                    <w:pageBreakBefore w:val="0"/>
                    <w:widowControl/>
                    <w:suppressLineNumbers w:val="0"/>
                    <w:kinsoku/>
                    <w:overflowPunct/>
                    <w:topLinePunct w:val="0"/>
                    <w:autoSpaceDE/>
                    <w:autoSpaceDN/>
                    <w:bidi w:val="0"/>
                    <w:spacing w:before="0" w:beforeLines="0" w:beforeAutospacing="0" w:after="0" w:afterLines="0" w:afterAutospacing="0" w:line="240" w:lineRule="auto"/>
                    <w:ind w:left="0" w:right="0"/>
                    <w:jc w:val="both"/>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1.VOCs物料存储于密闭的容器、包装袋、储罐、储库、料仓中；盛装VOCs原料的容器或包装袋存放于室内；盛装VOCs物料的容器或包装袋在非取用状态时应加盖、封口，保持密闭；</w:t>
                  </w:r>
                </w:p>
                <w:p w14:paraId="7188F74F">
                  <w:pPr>
                    <w:keepNext w:val="0"/>
                    <w:keepLines w:val="0"/>
                    <w:pageBreakBefore w:val="0"/>
                    <w:widowControl/>
                    <w:suppressLineNumbers w:val="0"/>
                    <w:kinsoku/>
                    <w:overflowPunct/>
                    <w:topLinePunct w:val="0"/>
                    <w:autoSpaceDE/>
                    <w:autoSpaceDN/>
                    <w:bidi w:val="0"/>
                    <w:spacing w:before="0" w:beforeLines="0" w:beforeAutospacing="0" w:after="0" w:afterLines="0" w:afterAutospacing="0" w:line="240" w:lineRule="auto"/>
                    <w:ind w:left="0" w:right="0"/>
                    <w:jc w:val="both"/>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2.颗粒状、粉状VOCs物料应采用气力输送设备、管状带式输送机、螺旋输送机等密闭输送，或采用密闭的包装袋、容器或罐车进行物料转移；</w:t>
                  </w:r>
                </w:p>
                <w:p w14:paraId="52613DF2">
                  <w:pPr>
                    <w:keepNext w:val="0"/>
                    <w:keepLines w:val="0"/>
                    <w:pageBreakBefore w:val="0"/>
                    <w:widowControl/>
                    <w:suppressLineNumbers w:val="0"/>
                    <w:kinsoku/>
                    <w:overflowPunct/>
                    <w:topLinePunct w:val="0"/>
                    <w:autoSpaceDE/>
                    <w:autoSpaceDN/>
                    <w:bidi w:val="0"/>
                    <w:spacing w:before="0" w:beforeLines="0" w:beforeAutospacing="0" w:after="0" w:afterLines="0" w:afterAutospacing="0" w:line="240" w:lineRule="auto"/>
                    <w:ind w:left="0" w:right="0"/>
                    <w:jc w:val="both"/>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3.液态VOCs物料采用密闭管道输送，或者采用密闭容器或罐车输送；</w:t>
                  </w:r>
                </w:p>
                <w:p w14:paraId="2A0422EE">
                  <w:pPr>
                    <w:keepNext w:val="0"/>
                    <w:keepLines w:val="0"/>
                    <w:pageBreakBefore w:val="0"/>
                    <w:widowControl/>
                    <w:suppressLineNumbers w:val="0"/>
                    <w:kinsoku/>
                    <w:overflowPunct/>
                    <w:topLinePunct w:val="0"/>
                    <w:autoSpaceDE/>
                    <w:autoSpaceDN/>
                    <w:bidi w:val="0"/>
                    <w:spacing w:before="0" w:beforeLines="0" w:beforeAutospacing="0" w:after="0" w:afterLines="0" w:afterAutospacing="0" w:line="240" w:lineRule="auto"/>
                    <w:ind w:left="0" w:right="0"/>
                    <w:jc w:val="both"/>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4.产生VOCs的生产工序和装置应设置集气装置并引至VOCs末端处理设施；</w:t>
                  </w:r>
                </w:p>
                <w:p w14:paraId="3DDF1FC3">
                  <w:pPr>
                    <w:keepNext w:val="0"/>
                    <w:keepLines w:val="0"/>
                    <w:pageBreakBefore w:val="0"/>
                    <w:widowControl/>
                    <w:suppressLineNumbers w:val="0"/>
                    <w:kinsoku/>
                    <w:overflowPunct/>
                    <w:topLinePunct w:val="0"/>
                    <w:autoSpaceDE/>
                    <w:autoSpaceDN/>
                    <w:bidi w:val="0"/>
                    <w:spacing w:before="0" w:beforeLines="0" w:beforeAutospacing="0" w:after="0" w:afterLines="0" w:afterAutospacing="0" w:line="240" w:lineRule="auto"/>
                    <w:ind w:left="0" w:right="0"/>
                    <w:jc w:val="both"/>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5.厂区道路及车间地面硬化，车间地面、墙壁、设备顶部无明显积尘；车间、厂区无明显异味，厂容厂貌整洁有序</w:t>
                  </w:r>
                </w:p>
              </w:tc>
              <w:tc>
                <w:tcPr>
                  <w:tcW w:w="1826" w:type="pct"/>
                  <w:tcBorders>
                    <w:tl2br w:val="nil"/>
                    <w:tr2bl w:val="nil"/>
                  </w:tcBorders>
                  <w:noWrap/>
                  <w:vAlign w:val="center"/>
                </w:tcPr>
                <w:p w14:paraId="2B0CC899">
                  <w:pPr>
                    <w:keepNext w:val="0"/>
                    <w:keepLines w:val="0"/>
                    <w:pageBreakBefore w:val="0"/>
                    <w:suppressLineNumbers w:val="0"/>
                    <w:kinsoku/>
                    <w:overflowPunct/>
                    <w:topLinePunct w:val="0"/>
                    <w:autoSpaceDE/>
                    <w:autoSpaceDN/>
                    <w:bidi w:val="0"/>
                    <w:adjustRightInd w:val="0"/>
                    <w:snapToGrid w:val="0"/>
                    <w:spacing w:before="0" w:beforeLines="0" w:beforeAutospacing="0" w:after="0" w:afterLines="0" w:afterAutospacing="0" w:line="240" w:lineRule="auto"/>
                    <w:ind w:left="0" w:right="0"/>
                    <w:jc w:val="both"/>
                    <w:textAlignment w:val="auto"/>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w:t>
                  </w:r>
                  <w:r>
                    <w:rPr>
                      <w:rFonts w:hint="default" w:ascii="Times New Roman" w:hAnsi="Times New Roman" w:eastAsia="宋体" w:cs="Times New Roman"/>
                      <w:color w:val="auto"/>
                      <w:sz w:val="21"/>
                      <w:szCs w:val="21"/>
                      <w:lang w:val="en-US" w:eastAsia="zh-CN"/>
                    </w:rPr>
                    <w:t>项目</w:t>
                  </w:r>
                  <w:r>
                    <w:rPr>
                      <w:rFonts w:hint="eastAsia" w:ascii="Times New Roman" w:hAnsi="Times New Roman" w:eastAsia="宋体" w:cs="Times New Roman"/>
                      <w:color w:val="auto"/>
                      <w:sz w:val="21"/>
                      <w:szCs w:val="21"/>
                      <w:lang w:val="en-US" w:eastAsia="zh-CN"/>
                    </w:rPr>
                    <w:t>涉</w:t>
                  </w:r>
                  <w:r>
                    <w:rPr>
                      <w:rFonts w:hint="default" w:ascii="Times New Roman" w:hAnsi="Times New Roman" w:eastAsia="宋体" w:cs="Times New Roman"/>
                      <w:color w:val="auto"/>
                      <w:kern w:val="0"/>
                      <w:sz w:val="21"/>
                      <w:szCs w:val="21"/>
                    </w:rPr>
                    <w:t>VOCs</w:t>
                  </w:r>
                  <w:r>
                    <w:rPr>
                      <w:rFonts w:hint="eastAsia" w:ascii="Times New Roman" w:hAnsi="Times New Roman" w:eastAsia="宋体" w:cs="Times New Roman"/>
                      <w:color w:val="auto"/>
                      <w:kern w:val="0"/>
                      <w:sz w:val="21"/>
                      <w:szCs w:val="21"/>
                      <w:lang w:eastAsia="zh-CN"/>
                    </w:rPr>
                    <w:t>物料</w:t>
                  </w:r>
                  <w:r>
                    <w:rPr>
                      <w:rFonts w:hint="eastAsia" w:ascii="Times New Roman" w:hAnsi="Times New Roman" w:eastAsia="宋体" w:cs="Times New Roman"/>
                      <w:color w:val="auto"/>
                      <w:sz w:val="21"/>
                      <w:szCs w:val="21"/>
                      <w:lang w:val="en-US" w:eastAsia="zh-CN"/>
                    </w:rPr>
                    <w:t>储于</w:t>
                  </w:r>
                  <w:r>
                    <w:rPr>
                      <w:rFonts w:hint="default" w:ascii="Times New Roman" w:hAnsi="Times New Roman" w:eastAsia="宋体" w:cs="Times New Roman"/>
                      <w:color w:val="auto"/>
                      <w:sz w:val="21"/>
                      <w:szCs w:val="21"/>
                      <w:lang w:val="en-US" w:eastAsia="zh-CN"/>
                    </w:rPr>
                    <w:t>密闭</w:t>
                  </w:r>
                  <w:r>
                    <w:rPr>
                      <w:rFonts w:hint="eastAsia" w:ascii="Times New Roman" w:hAnsi="Times New Roman" w:eastAsia="宋体" w:cs="Times New Roman"/>
                      <w:color w:val="auto"/>
                      <w:sz w:val="21"/>
                      <w:szCs w:val="21"/>
                      <w:lang w:val="en-US" w:eastAsia="zh-CN"/>
                    </w:rPr>
                    <w:t>桶装或密闭包装袋</w:t>
                  </w:r>
                  <w:r>
                    <w:rPr>
                      <w:rFonts w:hint="default"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lang w:val="en-US" w:eastAsia="zh-CN"/>
                    </w:rPr>
                    <w:t>并存放于室内，非取用时加盖封口；</w:t>
                  </w:r>
                </w:p>
                <w:p w14:paraId="08944D94">
                  <w:pPr>
                    <w:keepNext w:val="0"/>
                    <w:keepLines w:val="0"/>
                    <w:pageBreakBefore w:val="0"/>
                    <w:suppressLineNumbers w:val="0"/>
                    <w:kinsoku/>
                    <w:overflowPunct/>
                    <w:topLinePunct w:val="0"/>
                    <w:autoSpaceDE/>
                    <w:autoSpaceDN/>
                    <w:bidi w:val="0"/>
                    <w:adjustRightInd w:val="0"/>
                    <w:snapToGrid w:val="0"/>
                    <w:spacing w:before="0" w:beforeLines="0" w:beforeAutospacing="0" w:after="0" w:afterLines="0" w:afterAutospacing="0" w:line="240" w:lineRule="auto"/>
                    <w:ind w:left="0" w:right="0"/>
                    <w:jc w:val="both"/>
                    <w:textAlignment w:val="auto"/>
                    <w:rPr>
                      <w:rFonts w:hint="eastAsia" w:cs="Times New Roman"/>
                      <w:color w:val="auto"/>
                      <w:kern w:val="0"/>
                      <w:sz w:val="21"/>
                      <w:szCs w:val="21"/>
                      <w:lang w:eastAsia="zh-CN"/>
                    </w:rPr>
                  </w:pPr>
                  <w:r>
                    <w:rPr>
                      <w:rFonts w:hint="eastAsia" w:ascii="Times New Roman" w:hAnsi="Times New Roman" w:eastAsia="宋体" w:cs="Times New Roman"/>
                      <w:color w:val="auto"/>
                      <w:sz w:val="21"/>
                      <w:szCs w:val="21"/>
                      <w:lang w:val="en-US" w:eastAsia="zh-CN"/>
                    </w:rPr>
                    <w:t>2.</w:t>
                  </w:r>
                  <w:r>
                    <w:rPr>
                      <w:rFonts w:hint="eastAsia" w:cs="Times New Roman"/>
                      <w:color w:val="auto"/>
                      <w:kern w:val="0"/>
                      <w:sz w:val="21"/>
                      <w:szCs w:val="21"/>
                      <w:lang w:val="en-US" w:eastAsia="zh-CN"/>
                    </w:rPr>
                    <w:t>本项目不涉及颗粒状、</w:t>
                  </w:r>
                  <w:r>
                    <w:rPr>
                      <w:rFonts w:hint="default" w:ascii="Times New Roman" w:hAnsi="Times New Roman" w:eastAsia="宋体" w:cs="Times New Roman"/>
                      <w:color w:val="auto"/>
                      <w:kern w:val="0"/>
                      <w:sz w:val="21"/>
                      <w:szCs w:val="21"/>
                    </w:rPr>
                    <w:t>粉状VOCs物料</w:t>
                  </w:r>
                  <w:r>
                    <w:rPr>
                      <w:rFonts w:hint="eastAsia" w:cs="Times New Roman"/>
                      <w:color w:val="auto"/>
                      <w:kern w:val="0"/>
                      <w:sz w:val="21"/>
                      <w:szCs w:val="21"/>
                      <w:lang w:eastAsia="zh-CN"/>
                    </w:rPr>
                    <w:t>，现有工程颗粒状物料</w:t>
                  </w:r>
                  <w:r>
                    <w:rPr>
                      <w:rFonts w:hint="default" w:ascii="Times New Roman" w:hAnsi="Times New Roman" w:eastAsia="宋体" w:cs="Times New Roman"/>
                      <w:color w:val="auto"/>
                      <w:kern w:val="0"/>
                      <w:sz w:val="21"/>
                      <w:szCs w:val="21"/>
                    </w:rPr>
                    <w:t>采用气力输送设备</w:t>
                  </w:r>
                  <w:r>
                    <w:rPr>
                      <w:rFonts w:hint="eastAsia" w:cs="Times New Roman"/>
                      <w:color w:val="auto"/>
                      <w:kern w:val="0"/>
                      <w:sz w:val="21"/>
                      <w:szCs w:val="21"/>
                      <w:lang w:eastAsia="zh-CN"/>
                    </w:rPr>
                    <w:t>；</w:t>
                  </w:r>
                </w:p>
                <w:p w14:paraId="3EAC8A75">
                  <w:pPr>
                    <w:keepNext w:val="0"/>
                    <w:keepLines w:val="0"/>
                    <w:pageBreakBefore w:val="0"/>
                    <w:suppressLineNumbers w:val="0"/>
                    <w:kinsoku/>
                    <w:overflowPunct/>
                    <w:topLinePunct w:val="0"/>
                    <w:autoSpaceDE/>
                    <w:autoSpaceDN/>
                    <w:bidi w:val="0"/>
                    <w:adjustRightInd w:val="0"/>
                    <w:snapToGrid w:val="0"/>
                    <w:spacing w:before="0" w:beforeLines="0" w:beforeAutospacing="0" w:after="0" w:afterLines="0" w:afterAutospacing="0" w:line="240" w:lineRule="auto"/>
                    <w:ind w:left="0" w:right="0"/>
                    <w:jc w:val="both"/>
                    <w:textAlignment w:val="auto"/>
                    <w:rPr>
                      <w:rFonts w:hint="eastAsia" w:cs="Times New Roman"/>
                      <w:color w:val="auto"/>
                      <w:sz w:val="21"/>
                      <w:szCs w:val="21"/>
                      <w:lang w:val="en-US" w:eastAsia="zh-CN"/>
                    </w:rPr>
                  </w:pPr>
                  <w:r>
                    <w:rPr>
                      <w:rFonts w:hint="eastAsia" w:cs="Times New Roman"/>
                      <w:color w:val="auto"/>
                      <w:kern w:val="0"/>
                      <w:sz w:val="21"/>
                      <w:szCs w:val="21"/>
                      <w:lang w:val="en-US" w:eastAsia="zh-CN"/>
                    </w:rPr>
                    <w:t>3.</w:t>
                  </w:r>
                  <w:r>
                    <w:rPr>
                      <w:rFonts w:hint="default" w:ascii="Times New Roman" w:hAnsi="Times New Roman" w:eastAsia="宋体" w:cs="Times New Roman"/>
                      <w:color w:val="auto"/>
                      <w:sz w:val="21"/>
                      <w:szCs w:val="21"/>
                      <w:lang w:val="en-US" w:eastAsia="zh-CN"/>
                    </w:rPr>
                    <w:t>项目</w:t>
                  </w:r>
                  <w:r>
                    <w:rPr>
                      <w:rFonts w:hint="default" w:ascii="Times New Roman" w:hAnsi="Times New Roman" w:eastAsia="宋体" w:cs="Times New Roman"/>
                      <w:color w:val="auto"/>
                      <w:kern w:val="0"/>
                      <w:sz w:val="21"/>
                      <w:szCs w:val="21"/>
                    </w:rPr>
                    <w:t>VOCs</w:t>
                  </w:r>
                  <w:r>
                    <w:rPr>
                      <w:rFonts w:hint="eastAsia" w:cs="Times New Roman"/>
                      <w:color w:val="auto"/>
                      <w:kern w:val="0"/>
                      <w:sz w:val="21"/>
                      <w:szCs w:val="21"/>
                      <w:lang w:eastAsia="zh-CN"/>
                    </w:rPr>
                    <w:t>物料</w:t>
                  </w:r>
                  <w:r>
                    <w:rPr>
                      <w:rFonts w:hint="default" w:ascii="Times New Roman" w:hAnsi="Times New Roman" w:eastAsia="宋体" w:cs="Times New Roman"/>
                      <w:color w:val="auto"/>
                      <w:sz w:val="21"/>
                      <w:szCs w:val="21"/>
                      <w:lang w:val="en-US" w:eastAsia="zh-CN"/>
                    </w:rPr>
                    <w:t>采用密闭</w:t>
                  </w:r>
                  <w:r>
                    <w:rPr>
                      <w:rFonts w:hint="eastAsia" w:ascii="Times New Roman" w:hAnsi="Times New Roman" w:eastAsia="宋体" w:cs="Times New Roman"/>
                      <w:color w:val="auto"/>
                      <w:sz w:val="21"/>
                      <w:szCs w:val="21"/>
                      <w:lang w:val="en-US" w:eastAsia="zh-CN"/>
                    </w:rPr>
                    <w:t>桶装或密闭包装袋</w:t>
                  </w:r>
                  <w:r>
                    <w:rPr>
                      <w:rFonts w:hint="default" w:ascii="Times New Roman" w:hAnsi="Times New Roman" w:eastAsia="宋体" w:cs="Times New Roman"/>
                      <w:color w:val="auto"/>
                      <w:sz w:val="21"/>
                      <w:szCs w:val="21"/>
                      <w:lang w:val="en-US" w:eastAsia="zh-CN"/>
                    </w:rPr>
                    <w:t>进行输送转移</w:t>
                  </w:r>
                  <w:r>
                    <w:rPr>
                      <w:rFonts w:hint="eastAsia" w:cs="Times New Roman"/>
                      <w:color w:val="auto"/>
                      <w:sz w:val="21"/>
                      <w:szCs w:val="21"/>
                      <w:lang w:val="en-US" w:eastAsia="zh-CN"/>
                    </w:rPr>
                    <w:t>；</w:t>
                  </w:r>
                </w:p>
                <w:p w14:paraId="3F1BF4E6">
                  <w:pPr>
                    <w:keepNext w:val="0"/>
                    <w:keepLines w:val="0"/>
                    <w:pageBreakBefore w:val="0"/>
                    <w:suppressLineNumbers w:val="0"/>
                    <w:kinsoku/>
                    <w:overflowPunct/>
                    <w:topLinePunct w:val="0"/>
                    <w:autoSpaceDE/>
                    <w:autoSpaceDN/>
                    <w:bidi w:val="0"/>
                    <w:adjustRightInd w:val="0"/>
                    <w:snapToGrid w:val="0"/>
                    <w:spacing w:before="0" w:beforeLines="0" w:beforeAutospacing="0" w:after="0" w:afterLines="0" w:afterAutospacing="0" w:line="240" w:lineRule="auto"/>
                    <w:ind w:left="0" w:right="0"/>
                    <w:jc w:val="both"/>
                    <w:textAlignment w:val="auto"/>
                    <w:rPr>
                      <w:rFonts w:hint="default" w:ascii="Times New Roman" w:hAnsi="Times New Roman" w:eastAsia="宋体" w:cs="Times New Roman"/>
                      <w:color w:val="auto"/>
                      <w:kern w:val="0"/>
                      <w:sz w:val="21"/>
                      <w:szCs w:val="21"/>
                    </w:rPr>
                  </w:pPr>
                  <w:r>
                    <w:rPr>
                      <w:rFonts w:hint="eastAsia" w:cs="Times New Roman"/>
                      <w:color w:val="auto"/>
                      <w:sz w:val="21"/>
                      <w:szCs w:val="21"/>
                      <w:lang w:val="en-US" w:eastAsia="zh-CN"/>
                    </w:rPr>
                    <w:t>4.项目</w:t>
                  </w:r>
                  <w:r>
                    <w:rPr>
                      <w:rFonts w:hint="default" w:ascii="Times New Roman" w:hAnsi="Times New Roman" w:eastAsia="宋体" w:cs="Times New Roman"/>
                      <w:color w:val="auto"/>
                      <w:sz w:val="21"/>
                      <w:szCs w:val="21"/>
                      <w:lang w:val="en-US" w:eastAsia="zh-CN"/>
                    </w:rPr>
                    <w:t>产生</w:t>
                  </w:r>
                  <w:r>
                    <w:rPr>
                      <w:rFonts w:hint="default" w:ascii="Times New Roman" w:hAnsi="Times New Roman" w:eastAsia="宋体" w:cs="Times New Roman"/>
                      <w:color w:val="auto"/>
                      <w:kern w:val="0"/>
                      <w:sz w:val="21"/>
                      <w:szCs w:val="21"/>
                    </w:rPr>
                    <w:t>VOCs的生产工序和装置</w:t>
                  </w:r>
                  <w:r>
                    <w:rPr>
                      <w:rFonts w:hint="default" w:ascii="Times New Roman" w:hAnsi="Times New Roman" w:eastAsia="宋体" w:cs="Times New Roman"/>
                      <w:color w:val="auto"/>
                      <w:kern w:val="0"/>
                      <w:sz w:val="21"/>
                      <w:szCs w:val="21"/>
                      <w:lang w:val="en-US" w:eastAsia="zh-CN"/>
                    </w:rPr>
                    <w:t>均</w:t>
                  </w:r>
                  <w:r>
                    <w:rPr>
                      <w:rFonts w:hint="default" w:ascii="Times New Roman" w:hAnsi="Times New Roman" w:eastAsia="宋体" w:cs="Times New Roman"/>
                      <w:color w:val="auto"/>
                      <w:kern w:val="0"/>
                      <w:sz w:val="21"/>
                      <w:szCs w:val="21"/>
                    </w:rPr>
                    <w:t>设置集气装置并引至VOCs末端处理设施；</w:t>
                  </w:r>
                </w:p>
                <w:p w14:paraId="1C7B5A5E">
                  <w:pPr>
                    <w:keepNext w:val="0"/>
                    <w:keepLines w:val="0"/>
                    <w:pageBreakBefore w:val="0"/>
                    <w:suppressLineNumbers w:val="0"/>
                    <w:kinsoku/>
                    <w:overflowPunct/>
                    <w:topLinePunct w:val="0"/>
                    <w:autoSpaceDE/>
                    <w:autoSpaceDN/>
                    <w:bidi w:val="0"/>
                    <w:adjustRightInd w:val="0"/>
                    <w:snapToGrid w:val="0"/>
                    <w:spacing w:before="0" w:beforeLines="0" w:beforeAutospacing="0" w:after="0" w:afterLines="0" w:afterAutospacing="0" w:line="240" w:lineRule="auto"/>
                    <w:ind w:left="0" w:right="0"/>
                    <w:jc w:val="both"/>
                    <w:textAlignment w:val="auto"/>
                    <w:rPr>
                      <w:rFonts w:hint="eastAsia" w:ascii="Times New Roman" w:hAnsi="Times New Roman" w:eastAsia="宋体" w:cs="Times New Roman"/>
                      <w:color w:val="auto"/>
                      <w:sz w:val="21"/>
                      <w:szCs w:val="21"/>
                      <w:lang w:val="en-US" w:eastAsia="zh-CN"/>
                    </w:rPr>
                  </w:pPr>
                  <w:r>
                    <w:rPr>
                      <w:rFonts w:hint="eastAsia" w:cs="Times New Roman"/>
                      <w:color w:val="auto"/>
                      <w:kern w:val="0"/>
                      <w:sz w:val="21"/>
                      <w:szCs w:val="21"/>
                      <w:lang w:val="en-US" w:eastAsia="zh-CN"/>
                    </w:rPr>
                    <w:t>5.</w:t>
                  </w:r>
                  <w:r>
                    <w:rPr>
                      <w:rFonts w:hint="default" w:ascii="Times New Roman" w:hAnsi="Times New Roman" w:eastAsia="宋体" w:cs="Times New Roman"/>
                      <w:color w:val="auto"/>
                      <w:kern w:val="0"/>
                      <w:sz w:val="21"/>
                      <w:szCs w:val="21"/>
                      <w:lang w:val="en-US" w:eastAsia="zh-CN"/>
                    </w:rPr>
                    <w:t>项目生产车间均进行地面硬化，并采取分区防渗措施</w:t>
                  </w:r>
                  <w:r>
                    <w:rPr>
                      <w:rFonts w:hint="eastAsia" w:ascii="Times New Roman" w:hAnsi="Times New Roman" w:eastAsia="宋体" w:cs="Times New Roman"/>
                      <w:color w:val="auto"/>
                      <w:kern w:val="0"/>
                      <w:sz w:val="21"/>
                      <w:szCs w:val="21"/>
                      <w:lang w:val="en-US" w:eastAsia="zh-CN"/>
                    </w:rPr>
                    <w:t>。</w:t>
                  </w:r>
                </w:p>
              </w:tc>
              <w:tc>
                <w:tcPr>
                  <w:tcW w:w="428" w:type="pct"/>
                  <w:tcBorders>
                    <w:tl2br w:val="nil"/>
                    <w:tr2bl w:val="nil"/>
                  </w:tcBorders>
                  <w:noWrap/>
                  <w:vAlign w:val="center"/>
                </w:tcPr>
                <w:p w14:paraId="6946C298">
                  <w:pPr>
                    <w:keepNext w:val="0"/>
                    <w:keepLines w:val="0"/>
                    <w:pageBreakBefore w:val="0"/>
                    <w:suppressLineNumbers w:val="0"/>
                    <w:kinsoku/>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符合</w:t>
                  </w:r>
                </w:p>
              </w:tc>
            </w:tr>
            <w:tr w14:paraId="294CD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444" w:type="pct"/>
                  <w:tcBorders>
                    <w:tl2br w:val="nil"/>
                    <w:tr2bl w:val="nil"/>
                  </w:tcBorders>
                  <w:noWrap/>
                  <w:vAlign w:val="center"/>
                </w:tcPr>
                <w:p w14:paraId="2AF68D9D">
                  <w:pPr>
                    <w:keepNext w:val="0"/>
                    <w:keepLines w:val="0"/>
                    <w:pageBreakBefore w:val="0"/>
                    <w:suppressLineNumbers w:val="0"/>
                    <w:kinsoku/>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环境管理水平</w:t>
                  </w:r>
                </w:p>
              </w:tc>
              <w:tc>
                <w:tcPr>
                  <w:tcW w:w="2300" w:type="pct"/>
                  <w:tcBorders>
                    <w:tl2br w:val="nil"/>
                    <w:tr2bl w:val="nil"/>
                  </w:tcBorders>
                  <w:noWrap/>
                  <w:vAlign w:val="center"/>
                </w:tcPr>
                <w:p w14:paraId="2496D437">
                  <w:pPr>
                    <w:keepNext w:val="0"/>
                    <w:keepLines w:val="0"/>
                    <w:pageBreakBefore w:val="0"/>
                    <w:widowControl/>
                    <w:suppressLineNumbers w:val="0"/>
                    <w:kinsoku/>
                    <w:overflowPunct/>
                    <w:topLinePunct w:val="0"/>
                    <w:autoSpaceDE/>
                    <w:autoSpaceDN/>
                    <w:bidi w:val="0"/>
                    <w:spacing w:before="0" w:beforeLines="0" w:beforeAutospacing="0" w:after="0" w:afterLines="0" w:afterAutospacing="0" w:line="240" w:lineRule="auto"/>
                    <w:ind w:left="0" w:right="0"/>
                    <w:jc w:val="both"/>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环保档案：①环评批复文件和竣工环保验收文件或环境现状评估备案证明；②排污许可证及季度、年度执行报告；③环境管理制度（主要包括岗位责任制度、定期巡查维护制度、环保奖惩制度等）；④废气治理设施运行管理规程；⑤一年内废气监测报告（符合排污许可证监测项目及频次要求）。</w:t>
                  </w:r>
                </w:p>
                <w:p w14:paraId="00C87A5C">
                  <w:pPr>
                    <w:keepNext w:val="0"/>
                    <w:keepLines w:val="0"/>
                    <w:pageBreakBefore w:val="0"/>
                    <w:widowControl/>
                    <w:suppressLineNumbers w:val="0"/>
                    <w:kinsoku/>
                    <w:overflowPunct/>
                    <w:topLinePunct w:val="0"/>
                    <w:autoSpaceDE/>
                    <w:autoSpaceDN/>
                    <w:bidi w:val="0"/>
                    <w:spacing w:before="0" w:beforeLines="0" w:beforeAutospacing="0" w:after="0" w:afterLines="0" w:afterAutospacing="0" w:line="240" w:lineRule="auto"/>
                    <w:ind w:left="0" w:right="0"/>
                    <w:jc w:val="both"/>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2.台账记录：（1）生产设施运行管理信息（生产时间、运行负荷、产品产量等）；（2）污染控制设备为冷凝装置，应每月记录冷凝剂液量；污染控制设备为吸附装置，应记录吸附剂种类、更换/再生周期、更换量；污染控制设备为催化燃烧装置，应记录催化燃烧剂、催化剂更换日期；其他污染控制设备，应记录保养维护事项；（3）主要原辅材料消耗记录；以上记录至少需保存一年。</w:t>
                  </w:r>
                </w:p>
                <w:p w14:paraId="606C656F">
                  <w:pPr>
                    <w:keepNext w:val="0"/>
                    <w:keepLines w:val="0"/>
                    <w:pageBreakBefore w:val="0"/>
                    <w:widowControl/>
                    <w:suppressLineNumbers w:val="0"/>
                    <w:kinsoku/>
                    <w:overflowPunct/>
                    <w:topLinePunct w:val="0"/>
                    <w:autoSpaceDE/>
                    <w:autoSpaceDN/>
                    <w:bidi w:val="0"/>
                    <w:spacing w:before="0" w:beforeLines="0" w:beforeAutospacing="0" w:after="0" w:afterLines="0" w:afterAutospacing="0" w:line="240" w:lineRule="auto"/>
                    <w:ind w:left="0" w:right="0"/>
                    <w:jc w:val="both"/>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3.配备专职环保人员，并具备相应的环境管理能力</w:t>
                  </w:r>
                </w:p>
              </w:tc>
              <w:tc>
                <w:tcPr>
                  <w:tcW w:w="1826" w:type="pct"/>
                  <w:tcBorders>
                    <w:tl2br w:val="nil"/>
                    <w:tr2bl w:val="nil"/>
                  </w:tcBorders>
                  <w:noWrap/>
                  <w:vAlign w:val="center"/>
                </w:tcPr>
                <w:p w14:paraId="773A0D3F">
                  <w:pPr>
                    <w:keepNext w:val="0"/>
                    <w:keepLines w:val="0"/>
                    <w:pageBreakBefore w:val="0"/>
                    <w:suppressLineNumbers w:val="0"/>
                    <w:kinsoku/>
                    <w:overflowPunct/>
                    <w:topLinePunct w:val="0"/>
                    <w:autoSpaceDE/>
                    <w:autoSpaceDN/>
                    <w:bidi w:val="0"/>
                    <w:adjustRightInd w:val="0"/>
                    <w:snapToGrid w:val="0"/>
                    <w:spacing w:before="157" w:beforeLines="50" w:beforeAutospacing="0" w:after="157" w:afterLines="50" w:afterAutospacing="0" w:line="240" w:lineRule="auto"/>
                    <w:ind w:left="0" w:right="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项目依照要求建立环保档案及台账记录，并配备专职环保人员进行管理</w:t>
                  </w:r>
                  <w:r>
                    <w:rPr>
                      <w:rFonts w:hint="eastAsia" w:ascii="Times New Roman" w:hAnsi="Times New Roman" w:eastAsia="宋体" w:cs="Times New Roman"/>
                      <w:color w:val="auto"/>
                      <w:sz w:val="21"/>
                      <w:szCs w:val="21"/>
                      <w:lang w:val="en-US" w:eastAsia="zh-CN"/>
                    </w:rPr>
                    <w:t>。</w:t>
                  </w:r>
                </w:p>
              </w:tc>
              <w:tc>
                <w:tcPr>
                  <w:tcW w:w="428" w:type="pct"/>
                  <w:tcBorders>
                    <w:tl2br w:val="nil"/>
                    <w:tr2bl w:val="nil"/>
                  </w:tcBorders>
                  <w:noWrap/>
                  <w:vAlign w:val="center"/>
                </w:tcPr>
                <w:p w14:paraId="5C19FDDC">
                  <w:pPr>
                    <w:keepNext w:val="0"/>
                    <w:keepLines w:val="0"/>
                    <w:pageBreakBefore w:val="0"/>
                    <w:suppressLineNumbers w:val="0"/>
                    <w:kinsoku/>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符合</w:t>
                  </w:r>
                </w:p>
              </w:tc>
            </w:tr>
            <w:tr w14:paraId="5894F0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444" w:type="pct"/>
                  <w:tcBorders>
                    <w:tl2br w:val="nil"/>
                    <w:tr2bl w:val="nil"/>
                  </w:tcBorders>
                  <w:noWrap/>
                  <w:vAlign w:val="center"/>
                </w:tcPr>
                <w:p w14:paraId="5E75D007">
                  <w:pPr>
                    <w:keepNext w:val="0"/>
                    <w:keepLines w:val="0"/>
                    <w:pageBreakBefore w:val="0"/>
                    <w:suppressLineNumbers w:val="0"/>
                    <w:kinsoku/>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运输方式</w:t>
                  </w:r>
                </w:p>
              </w:tc>
              <w:tc>
                <w:tcPr>
                  <w:tcW w:w="2300" w:type="pct"/>
                  <w:tcBorders>
                    <w:tl2br w:val="nil"/>
                    <w:tr2bl w:val="nil"/>
                  </w:tcBorders>
                  <w:noWrap/>
                  <w:vAlign w:val="center"/>
                </w:tcPr>
                <w:p w14:paraId="35EC7CE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left"/>
                    <w:textAlignment w:val="auto"/>
                    <w:rPr>
                      <w:rFonts w:hint="eastAsia" w:ascii="Times New Roman" w:hAnsi="Times New Roman" w:eastAsia="宋体" w:cs="Times New Roman"/>
                      <w:color w:val="auto"/>
                      <w:kern w:val="0"/>
                      <w:sz w:val="21"/>
                      <w:szCs w:val="21"/>
                      <w:lang w:eastAsia="zh-CN"/>
                    </w:rPr>
                  </w:pPr>
                  <w:r>
                    <w:rPr>
                      <w:rFonts w:hint="eastAsia" w:ascii="Times New Roman" w:hAnsi="Times New Roman" w:eastAsia="宋体" w:cs="Times New Roman"/>
                      <w:color w:val="auto"/>
                      <w:kern w:val="0"/>
                      <w:sz w:val="21"/>
                      <w:szCs w:val="21"/>
                      <w:lang w:eastAsia="zh-CN"/>
                    </w:rPr>
                    <w:t>厂内运输车辆全部使用新能源车辆。</w:t>
                  </w:r>
                </w:p>
                <w:p w14:paraId="5F28EACF">
                  <w:pPr>
                    <w:keepNext w:val="0"/>
                    <w:keepLines w:val="0"/>
                    <w:pageBreakBefore w:val="0"/>
                    <w:widowControl/>
                    <w:suppressLineNumbers w:val="0"/>
                    <w:kinsoku/>
                    <w:overflowPunct/>
                    <w:topLinePunct w:val="0"/>
                    <w:autoSpaceDE/>
                    <w:autoSpaceDN/>
                    <w:bidi w:val="0"/>
                    <w:spacing w:before="0" w:beforeLines="0" w:beforeAutospacing="0" w:after="0" w:afterLines="0" w:afterAutospacing="0" w:line="240" w:lineRule="auto"/>
                    <w:ind w:left="0" w:right="0"/>
                    <w:jc w:val="both"/>
                    <w:textAlignment w:val="auto"/>
                    <w:rPr>
                      <w:rFonts w:hint="default" w:ascii="Times New Roman" w:hAnsi="Times New Roman" w:eastAsia="宋体" w:cs="Times New Roman"/>
                      <w:color w:val="auto"/>
                      <w:kern w:val="0"/>
                      <w:sz w:val="21"/>
                      <w:szCs w:val="21"/>
                    </w:rPr>
                  </w:pPr>
                  <w:r>
                    <w:rPr>
                      <w:rFonts w:hint="eastAsia" w:ascii="Times New Roman" w:hAnsi="Times New Roman" w:eastAsia="宋体" w:cs="Times New Roman"/>
                      <w:color w:val="auto"/>
                      <w:kern w:val="0"/>
                      <w:sz w:val="21"/>
                      <w:szCs w:val="21"/>
                      <w:lang w:eastAsia="zh-CN"/>
                    </w:rPr>
                    <w:t>厂内非道路移动机械原则上采用新能源机械，无对应新能源产品的原则上应满足国四及以上排放阶段。</w:t>
                  </w:r>
                </w:p>
              </w:tc>
              <w:tc>
                <w:tcPr>
                  <w:tcW w:w="1826" w:type="pct"/>
                  <w:tcBorders>
                    <w:tl2br w:val="nil"/>
                    <w:tr2bl w:val="nil"/>
                  </w:tcBorders>
                  <w:noWrap/>
                  <w:vAlign w:val="center"/>
                </w:tcPr>
                <w:p w14:paraId="14E3E294">
                  <w:pPr>
                    <w:keepNext w:val="0"/>
                    <w:keepLines w:val="0"/>
                    <w:pageBreakBefore w:val="0"/>
                    <w:suppressLineNumbers w:val="0"/>
                    <w:kinsoku/>
                    <w:overflowPunct/>
                    <w:topLinePunct w:val="0"/>
                    <w:autoSpaceDE/>
                    <w:autoSpaceDN/>
                    <w:bidi w:val="0"/>
                    <w:adjustRightInd w:val="0"/>
                    <w:snapToGrid w:val="0"/>
                    <w:spacing w:before="157" w:beforeLines="50" w:beforeAutospacing="0" w:after="157" w:afterLines="50" w:afterAutospacing="0" w:line="240" w:lineRule="auto"/>
                    <w:ind w:left="0" w:right="0"/>
                    <w:jc w:val="both"/>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snapToGrid w:val="0"/>
                      <w:kern w:val="0"/>
                      <w:sz w:val="21"/>
                      <w:szCs w:val="21"/>
                      <w:highlight w:val="none"/>
                      <w:lang w:eastAsia="zh-CN" w:bidi="en-US"/>
                    </w:rPr>
                    <w:t>企业承诺按相应要求配备符合标准的车辆。</w:t>
                  </w:r>
                </w:p>
              </w:tc>
              <w:tc>
                <w:tcPr>
                  <w:tcW w:w="428" w:type="pct"/>
                  <w:tcBorders>
                    <w:tl2br w:val="nil"/>
                    <w:tr2bl w:val="nil"/>
                  </w:tcBorders>
                  <w:noWrap/>
                  <w:vAlign w:val="center"/>
                </w:tcPr>
                <w:p w14:paraId="26D98695">
                  <w:pPr>
                    <w:keepNext w:val="0"/>
                    <w:keepLines w:val="0"/>
                    <w:pageBreakBefore w:val="0"/>
                    <w:suppressLineNumbers w:val="0"/>
                    <w:kinsoku/>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符合</w:t>
                  </w:r>
                </w:p>
              </w:tc>
            </w:tr>
            <w:tr w14:paraId="7BE11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0" w:hRule="atLeast"/>
                <w:jc w:val="center"/>
              </w:trPr>
              <w:tc>
                <w:tcPr>
                  <w:tcW w:w="444" w:type="pct"/>
                  <w:tcBorders>
                    <w:tl2br w:val="nil"/>
                    <w:tr2bl w:val="nil"/>
                  </w:tcBorders>
                  <w:noWrap/>
                  <w:vAlign w:val="center"/>
                </w:tcPr>
                <w:p w14:paraId="60151F67">
                  <w:pPr>
                    <w:keepNext w:val="0"/>
                    <w:keepLines w:val="0"/>
                    <w:pageBreakBefore w:val="0"/>
                    <w:suppressLineNumbers w:val="0"/>
                    <w:kinsoku/>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运输监管</w:t>
                  </w:r>
                </w:p>
              </w:tc>
              <w:tc>
                <w:tcPr>
                  <w:tcW w:w="2300" w:type="pct"/>
                  <w:tcBorders>
                    <w:tl2br w:val="nil"/>
                    <w:tr2bl w:val="nil"/>
                  </w:tcBorders>
                  <w:noWrap/>
                  <w:vAlign w:val="center"/>
                </w:tcPr>
                <w:p w14:paraId="29409A88">
                  <w:pPr>
                    <w:keepNext w:val="0"/>
                    <w:keepLines w:val="0"/>
                    <w:pageBreakBefore w:val="0"/>
                    <w:widowControl/>
                    <w:suppressLineNumbers w:val="0"/>
                    <w:kinsoku/>
                    <w:overflowPunct/>
                    <w:topLinePunct w:val="0"/>
                    <w:autoSpaceDE/>
                    <w:autoSpaceDN/>
                    <w:bidi w:val="0"/>
                    <w:spacing w:before="157" w:beforeLines="50" w:beforeAutospacing="0" w:after="157" w:afterLines="50" w:afterAutospacing="0" w:line="240" w:lineRule="auto"/>
                    <w:ind w:left="0" w:right="0"/>
                    <w:jc w:val="both"/>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val="en-US" w:eastAsia="zh-CN"/>
                    </w:rPr>
                    <w:t>参</w:t>
                  </w:r>
                  <w:r>
                    <w:rPr>
                      <w:rFonts w:hint="default" w:ascii="Times New Roman" w:hAnsi="Times New Roman" w:eastAsia="宋体" w:cs="Times New Roman"/>
                      <w:color w:val="auto"/>
                      <w:kern w:val="0"/>
                      <w:sz w:val="21"/>
                      <w:szCs w:val="21"/>
                    </w:rPr>
                    <w:t>照《重污染天气重点行业移动源应急管理技术指南》建立门禁视频监控系统和电子台账</w:t>
                  </w:r>
                </w:p>
              </w:tc>
              <w:tc>
                <w:tcPr>
                  <w:tcW w:w="1826" w:type="pct"/>
                  <w:tcBorders>
                    <w:tl2br w:val="nil"/>
                    <w:tr2bl w:val="nil"/>
                  </w:tcBorders>
                  <w:noWrap/>
                  <w:vAlign w:val="center"/>
                </w:tcPr>
                <w:p w14:paraId="42C86EBE">
                  <w:pPr>
                    <w:keepNext w:val="0"/>
                    <w:keepLines w:val="0"/>
                    <w:pageBreakBefore w:val="0"/>
                    <w:suppressLineNumbers w:val="0"/>
                    <w:kinsoku/>
                    <w:overflowPunct/>
                    <w:topLinePunct w:val="0"/>
                    <w:autoSpaceDE/>
                    <w:autoSpaceDN/>
                    <w:bidi w:val="0"/>
                    <w:adjustRightInd w:val="0"/>
                    <w:snapToGrid w:val="0"/>
                    <w:spacing w:before="157" w:beforeLines="50" w:beforeAutospacing="0" w:after="157" w:afterLines="50" w:afterAutospacing="0" w:line="240" w:lineRule="auto"/>
                    <w:ind w:left="0" w:right="0"/>
                    <w:jc w:val="both"/>
                    <w:textAlignment w:val="auto"/>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kern w:val="0"/>
                      <w:sz w:val="21"/>
                      <w:szCs w:val="21"/>
                    </w:rPr>
                    <w:t>项目</w:t>
                  </w:r>
                  <w:r>
                    <w:rPr>
                      <w:rFonts w:hint="default" w:ascii="Times New Roman" w:hAnsi="Times New Roman" w:eastAsia="宋体" w:cs="Times New Roman"/>
                      <w:color w:val="auto"/>
                      <w:kern w:val="0"/>
                      <w:sz w:val="21"/>
                      <w:szCs w:val="21"/>
                      <w:lang w:val="en-US" w:eastAsia="zh-CN"/>
                    </w:rPr>
                    <w:t>建立</w:t>
                  </w:r>
                  <w:r>
                    <w:rPr>
                      <w:rFonts w:hint="default" w:ascii="Times New Roman" w:hAnsi="Times New Roman" w:eastAsia="宋体" w:cs="Times New Roman"/>
                      <w:color w:val="auto"/>
                      <w:kern w:val="0"/>
                      <w:sz w:val="21"/>
                      <w:szCs w:val="21"/>
                    </w:rPr>
                    <w:t>门禁视频监控系统和电子台账</w:t>
                  </w:r>
                  <w:r>
                    <w:rPr>
                      <w:rFonts w:hint="eastAsia" w:ascii="Times New Roman" w:hAnsi="Times New Roman" w:eastAsia="宋体" w:cs="Times New Roman"/>
                      <w:color w:val="auto"/>
                      <w:kern w:val="0"/>
                      <w:sz w:val="21"/>
                      <w:szCs w:val="21"/>
                      <w:lang w:eastAsia="zh-CN"/>
                    </w:rPr>
                    <w:t>。</w:t>
                  </w:r>
                </w:p>
              </w:tc>
              <w:tc>
                <w:tcPr>
                  <w:tcW w:w="428" w:type="pct"/>
                  <w:tcBorders>
                    <w:tl2br w:val="nil"/>
                    <w:tr2bl w:val="nil"/>
                  </w:tcBorders>
                  <w:noWrap/>
                  <w:vAlign w:val="center"/>
                </w:tcPr>
                <w:p w14:paraId="669FEB49">
                  <w:pPr>
                    <w:keepNext w:val="0"/>
                    <w:keepLines w:val="0"/>
                    <w:pageBreakBefore w:val="0"/>
                    <w:suppressLineNumbers w:val="0"/>
                    <w:kinsoku/>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符合</w:t>
                  </w:r>
                </w:p>
              </w:tc>
            </w:tr>
            <w:tr w14:paraId="5539D8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0" w:hRule="atLeast"/>
                <w:jc w:val="center"/>
              </w:trPr>
              <w:tc>
                <w:tcPr>
                  <w:tcW w:w="444" w:type="pct"/>
                  <w:tcBorders>
                    <w:tl2br w:val="nil"/>
                    <w:tr2bl w:val="nil"/>
                  </w:tcBorders>
                  <w:shd w:val="clear" w:color="auto" w:fill="auto"/>
                  <w:noWrap/>
                  <w:vAlign w:val="center"/>
                </w:tcPr>
                <w:p w14:paraId="171CFEBF">
                  <w:pPr>
                    <w:keepNext w:val="0"/>
                    <w:keepLines w:val="0"/>
                    <w:pageBreakBefore w:val="0"/>
                    <w:suppressLineNumbers w:val="0"/>
                    <w:kinsoku/>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监测监控水平</w:t>
                  </w:r>
                </w:p>
              </w:tc>
              <w:tc>
                <w:tcPr>
                  <w:tcW w:w="2300" w:type="pct"/>
                  <w:tcBorders>
                    <w:tl2br w:val="nil"/>
                    <w:tr2bl w:val="nil"/>
                  </w:tcBorders>
                  <w:shd w:val="clear" w:color="auto" w:fill="auto"/>
                  <w:noWrap/>
                  <w:vAlign w:val="center"/>
                </w:tcPr>
                <w:p w14:paraId="53DE98B3">
                  <w:pPr>
                    <w:keepNext w:val="0"/>
                    <w:keepLines w:val="0"/>
                    <w:pageBreakBefore w:val="0"/>
                    <w:widowControl/>
                    <w:suppressLineNumbers w:val="0"/>
                    <w:kinsoku/>
                    <w:overflowPunct/>
                    <w:topLinePunct w:val="0"/>
                    <w:autoSpaceDE/>
                    <w:autoSpaceDN/>
                    <w:bidi w:val="0"/>
                    <w:spacing w:before="0" w:beforeAutospacing="0" w:after="0" w:afterAutospacing="0" w:line="240" w:lineRule="auto"/>
                    <w:ind w:left="0" w:right="0"/>
                    <w:jc w:val="both"/>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rPr>
                    <w:t>采用催化燃烧治理设施的，应在脱附时进行监测，并保证脱附时监测浓度限值要求。</w:t>
                  </w:r>
                </w:p>
              </w:tc>
              <w:tc>
                <w:tcPr>
                  <w:tcW w:w="1826" w:type="pct"/>
                  <w:tcBorders>
                    <w:tl2br w:val="nil"/>
                    <w:tr2bl w:val="nil"/>
                  </w:tcBorders>
                  <w:shd w:val="clear" w:color="auto" w:fill="auto"/>
                  <w:noWrap/>
                  <w:vAlign w:val="center"/>
                </w:tcPr>
                <w:p w14:paraId="5969447C">
                  <w:pPr>
                    <w:keepNext w:val="0"/>
                    <w:keepLines w:val="0"/>
                    <w:pageBreakBefore w:val="0"/>
                    <w:suppressLineNumbers w:val="0"/>
                    <w:kinsoku/>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不涉及</w:t>
                  </w:r>
                </w:p>
              </w:tc>
              <w:tc>
                <w:tcPr>
                  <w:tcW w:w="428" w:type="pct"/>
                  <w:tcBorders>
                    <w:tl2br w:val="nil"/>
                    <w:tr2bl w:val="nil"/>
                  </w:tcBorders>
                  <w:shd w:val="clear" w:color="auto" w:fill="auto"/>
                  <w:noWrap/>
                  <w:vAlign w:val="center"/>
                </w:tcPr>
                <w:p w14:paraId="04D5C222">
                  <w:pPr>
                    <w:keepNext w:val="0"/>
                    <w:keepLines w:val="0"/>
                    <w:pageBreakBefore w:val="0"/>
                    <w:suppressLineNumbers w:val="0"/>
                    <w:kinsoku/>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eastAsia="zh-CN"/>
                    </w:rPr>
                    <w:t>符合</w:t>
                  </w:r>
                </w:p>
              </w:tc>
            </w:tr>
          </w:tbl>
          <w:p w14:paraId="3D3E8098">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240" w:lineRule="auto"/>
              <w:ind w:left="0" w:right="0" w:firstLine="422" w:firstLineChars="200"/>
              <w:jc w:val="center"/>
              <w:textAlignment w:val="auto"/>
              <w:rPr>
                <w:rFonts w:hint="eastAsia" w:ascii="Times New Roman" w:hAnsi="Times New Roman" w:eastAsia="宋体" w:cs="Times New Roman"/>
                <w:b/>
                <w:bCs/>
                <w:kern w:val="0"/>
                <w:sz w:val="24"/>
                <w:lang w:val="en-US" w:eastAsia="zh-CN"/>
              </w:rPr>
            </w:pPr>
            <w:r>
              <w:rPr>
                <w:rFonts w:hint="eastAsia" w:ascii="Times New Roman" w:hAnsi="Times New Roman" w:eastAsia="宋体" w:cs="Times New Roman"/>
                <w:b/>
                <w:bCs/>
                <w:color w:val="000000"/>
                <w:kern w:val="0"/>
                <w:sz w:val="21"/>
                <w:szCs w:val="21"/>
                <w:lang w:val="en-US" w:eastAsia="zh-CN" w:bidi="ar-SA"/>
              </w:rPr>
              <w:t>项目与包装印刷绩效分级符合性分析</w:t>
            </w:r>
          </w:p>
          <w:tbl>
            <w:tblPr>
              <w:tblStyle w:val="38"/>
              <w:tblW w:w="77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8"/>
              <w:gridCol w:w="3796"/>
              <w:gridCol w:w="2554"/>
              <w:gridCol w:w="664"/>
            </w:tblGrid>
            <w:tr w14:paraId="61DEF8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58" w:type="dxa"/>
                  <w:tcBorders>
                    <w:tl2br w:val="nil"/>
                    <w:tr2bl w:val="nil"/>
                  </w:tcBorders>
                  <w:noWrap/>
                  <w:vAlign w:val="center"/>
                </w:tcPr>
                <w:p w14:paraId="0CAF2CCE">
                  <w:pPr>
                    <w:keepNext w:val="0"/>
                    <w:keepLines w:val="0"/>
                    <w:pageBreakBefore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差异化指标</w:t>
                  </w:r>
                </w:p>
              </w:tc>
              <w:tc>
                <w:tcPr>
                  <w:tcW w:w="3796" w:type="dxa"/>
                  <w:tcBorders>
                    <w:tl2br w:val="nil"/>
                    <w:tr2bl w:val="nil"/>
                  </w:tcBorders>
                  <w:noWrap/>
                  <w:vAlign w:val="center"/>
                </w:tcPr>
                <w:p w14:paraId="12CF10A4">
                  <w:pPr>
                    <w:keepNext w:val="0"/>
                    <w:keepLines w:val="0"/>
                    <w:pageBreakBefore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包装印刷行业</w:t>
                  </w:r>
                  <w:r>
                    <w:rPr>
                      <w:rFonts w:hint="eastAsia" w:cs="Times New Roman"/>
                      <w:color w:val="auto"/>
                      <w:sz w:val="21"/>
                      <w:szCs w:val="21"/>
                      <w:highlight w:val="none"/>
                      <w:lang w:val="en-US" w:eastAsia="zh-CN"/>
                    </w:rPr>
                    <w:t>A</w:t>
                  </w:r>
                  <w:r>
                    <w:rPr>
                      <w:rFonts w:hint="default" w:ascii="Times New Roman" w:hAnsi="Times New Roman" w:eastAsia="宋体" w:cs="Times New Roman"/>
                      <w:color w:val="auto"/>
                      <w:sz w:val="21"/>
                      <w:szCs w:val="21"/>
                      <w:highlight w:val="none"/>
                      <w:lang w:val="en-US" w:eastAsia="zh-CN"/>
                    </w:rPr>
                    <w:t>级指标</w:t>
                  </w:r>
                </w:p>
              </w:tc>
              <w:tc>
                <w:tcPr>
                  <w:tcW w:w="2554" w:type="dxa"/>
                  <w:tcBorders>
                    <w:tl2br w:val="nil"/>
                    <w:tr2bl w:val="nil"/>
                  </w:tcBorders>
                  <w:noWrap/>
                  <w:vAlign w:val="center"/>
                </w:tcPr>
                <w:p w14:paraId="56A087A5">
                  <w:pPr>
                    <w:keepNext w:val="0"/>
                    <w:keepLines w:val="0"/>
                    <w:pageBreakBefore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本项目</w:t>
                  </w:r>
                </w:p>
              </w:tc>
              <w:tc>
                <w:tcPr>
                  <w:tcW w:w="664" w:type="dxa"/>
                  <w:tcBorders>
                    <w:tl2br w:val="nil"/>
                    <w:tr2bl w:val="nil"/>
                  </w:tcBorders>
                  <w:noWrap/>
                  <w:vAlign w:val="center"/>
                </w:tcPr>
                <w:p w14:paraId="60FBF80B">
                  <w:pPr>
                    <w:keepNext w:val="0"/>
                    <w:keepLines w:val="0"/>
                    <w:pageBreakBefore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相符性</w:t>
                  </w:r>
                </w:p>
              </w:tc>
            </w:tr>
            <w:tr w14:paraId="027BE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58" w:type="dxa"/>
                  <w:tcBorders>
                    <w:tl2br w:val="nil"/>
                    <w:tr2bl w:val="nil"/>
                  </w:tcBorders>
                  <w:noWrap/>
                  <w:vAlign w:val="center"/>
                </w:tcPr>
                <w:p w14:paraId="3794CF6C">
                  <w:pPr>
                    <w:keepNext w:val="0"/>
                    <w:keepLines w:val="0"/>
                    <w:pageBreakBefore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原辅材料</w:t>
                  </w:r>
                </w:p>
              </w:tc>
              <w:tc>
                <w:tcPr>
                  <w:tcW w:w="3796" w:type="dxa"/>
                  <w:tcBorders>
                    <w:tl2br w:val="nil"/>
                    <w:tr2bl w:val="nil"/>
                  </w:tcBorders>
                  <w:noWrap/>
                  <w:vAlign w:val="center"/>
                </w:tcPr>
                <w:p w14:paraId="1240E477">
                  <w:pPr>
                    <w:keepNext w:val="0"/>
                    <w:keepLines w:val="0"/>
                    <w:pageBreakBefore w:val="0"/>
                    <w:widowControl/>
                    <w:numPr>
                      <w:ilvl w:val="0"/>
                      <w:numId w:val="0"/>
                    </w:numPr>
                    <w:suppressLineNumbers w:val="0"/>
                    <w:kinsoku/>
                    <w:wordWrap/>
                    <w:overflowPunct/>
                    <w:topLinePunct w:val="0"/>
                    <w:autoSpaceDE/>
                    <w:autoSpaceDN/>
                    <w:bidi w:val="0"/>
                    <w:spacing w:before="0" w:beforeAutospacing="0" w:after="0" w:afterAutospacing="0" w:line="240" w:lineRule="auto"/>
                    <w:ind w:left="0" w:right="0"/>
                    <w:jc w:val="both"/>
                    <w:textAlignment w:val="auto"/>
                    <w:rPr>
                      <w:rFonts w:hint="eastAsia"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en-US" w:bidi="ar-SA"/>
                    </w:rPr>
                    <w:t>1、凹版印刷工艺采用吸收性材料印刷时，使用水性油墨(VOCs≤15%)、能量固化油墨(VOCs≤10%)等低VOCs含量油墨比例达60%及以上</w:t>
                  </w:r>
                  <w:r>
                    <w:rPr>
                      <w:rFonts w:hint="eastAsia" w:ascii="Times New Roman" w:hAnsi="Times New Roman" w:eastAsia="宋体" w:cs="Times New Roman"/>
                      <w:kern w:val="0"/>
                      <w:sz w:val="21"/>
                      <w:szCs w:val="21"/>
                      <w:lang w:val="en-US" w:eastAsia="zh-CN" w:bidi="ar-SA"/>
                    </w:rPr>
                    <w:t>；</w:t>
                  </w:r>
                  <w:r>
                    <w:rPr>
                      <w:rFonts w:hint="default" w:ascii="Times New Roman" w:hAnsi="Times New Roman" w:eastAsia="宋体" w:cs="Times New Roman"/>
                      <w:kern w:val="0"/>
                      <w:sz w:val="21"/>
                      <w:szCs w:val="21"/>
                      <w:lang w:val="en-US" w:eastAsia="en-US" w:bidi="ar-SA"/>
                    </w:rPr>
                    <w:t>采用非吸收性材料印刷时，使用水性油墨(VOCs≤30%)、能量固化油墨(VOCs≤10%)等低VOCs含量油墨比例达30%及以上</w:t>
                  </w:r>
                  <w:r>
                    <w:rPr>
                      <w:rFonts w:hint="eastAsia" w:ascii="Times New Roman" w:hAnsi="Times New Roman" w:eastAsia="宋体" w:cs="Times New Roman"/>
                      <w:kern w:val="0"/>
                      <w:sz w:val="21"/>
                      <w:szCs w:val="21"/>
                      <w:lang w:val="en-US" w:eastAsia="zh-CN" w:bidi="ar-SA"/>
                    </w:rPr>
                    <w:t>；</w:t>
                  </w:r>
                </w:p>
                <w:p w14:paraId="7FC8728E">
                  <w:pPr>
                    <w:keepNext w:val="0"/>
                    <w:keepLines w:val="0"/>
                    <w:pageBreakBefore w:val="0"/>
                    <w:widowControl/>
                    <w:numPr>
                      <w:ilvl w:val="0"/>
                      <w:numId w:val="0"/>
                    </w:numPr>
                    <w:suppressLineNumbers w:val="0"/>
                    <w:kinsoku/>
                    <w:wordWrap/>
                    <w:overflowPunct/>
                    <w:topLinePunct w:val="0"/>
                    <w:autoSpaceDE/>
                    <w:autoSpaceDN/>
                    <w:bidi w:val="0"/>
                    <w:spacing w:before="0" w:beforeAutospacing="0" w:after="0" w:afterAutospacing="0" w:line="240" w:lineRule="auto"/>
                    <w:ind w:left="0" w:right="0"/>
                    <w:jc w:val="both"/>
                    <w:textAlignment w:val="auto"/>
                    <w:rPr>
                      <w:rFonts w:hint="eastAsia"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en-US" w:bidi="ar-SA"/>
                    </w:rPr>
                    <w:t>2、柔版印刷工艺采用吸收性材料印刷时，使用水性油墨(VOCs≤5%)的比例达100%</w:t>
                  </w:r>
                  <w:r>
                    <w:rPr>
                      <w:rFonts w:hint="eastAsia" w:ascii="Times New Roman" w:hAnsi="Times New Roman" w:eastAsia="宋体" w:cs="Times New Roman"/>
                      <w:kern w:val="0"/>
                      <w:sz w:val="21"/>
                      <w:szCs w:val="21"/>
                      <w:lang w:val="en-US" w:eastAsia="zh-CN" w:bidi="ar-SA"/>
                    </w:rPr>
                    <w:t>；</w:t>
                  </w:r>
                  <w:r>
                    <w:rPr>
                      <w:rFonts w:hint="default" w:ascii="Times New Roman" w:hAnsi="Times New Roman" w:eastAsia="宋体" w:cs="Times New Roman"/>
                      <w:kern w:val="0"/>
                      <w:sz w:val="21"/>
                      <w:szCs w:val="21"/>
                      <w:lang w:val="en-US" w:eastAsia="en-US" w:bidi="ar-SA"/>
                    </w:rPr>
                    <w:t>采用非吸收性材料印刷时，使用水性油墨(VOCs≤25%)比例达60%及以上</w:t>
                  </w:r>
                  <w:r>
                    <w:rPr>
                      <w:rFonts w:hint="eastAsia" w:ascii="Times New Roman" w:hAnsi="Times New Roman" w:eastAsia="宋体" w:cs="Times New Roman"/>
                      <w:kern w:val="0"/>
                      <w:sz w:val="21"/>
                      <w:szCs w:val="21"/>
                      <w:lang w:val="en-US" w:eastAsia="zh-CN" w:bidi="ar-SA"/>
                    </w:rPr>
                    <w:t>；</w:t>
                  </w:r>
                </w:p>
                <w:p w14:paraId="5233DEF0">
                  <w:pPr>
                    <w:keepNext w:val="0"/>
                    <w:keepLines w:val="0"/>
                    <w:pageBreakBefore w:val="0"/>
                    <w:widowControl/>
                    <w:numPr>
                      <w:ilvl w:val="0"/>
                      <w:numId w:val="0"/>
                    </w:numPr>
                    <w:suppressLineNumbers w:val="0"/>
                    <w:kinsoku/>
                    <w:wordWrap/>
                    <w:overflowPunct/>
                    <w:topLinePunct w:val="0"/>
                    <w:autoSpaceDE/>
                    <w:autoSpaceDN/>
                    <w:bidi w:val="0"/>
                    <w:spacing w:before="0" w:beforeAutospacing="0" w:after="0" w:afterAutospacing="0" w:line="240" w:lineRule="auto"/>
                    <w:ind w:left="0" w:right="0"/>
                    <w:jc w:val="both"/>
                    <w:textAlignment w:val="auto"/>
                    <w:rPr>
                      <w:rFonts w:hint="eastAsia"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en-US" w:bidi="ar-SA"/>
                    </w:rPr>
                    <w:t>3、平版印刷工艺使用符合《油墨中可挥发性有机化合物(VOCs)含量的限值》(GB 38507-2020)中VOCs含量限值要求的油墨产品比例达100%</w:t>
                  </w:r>
                  <w:r>
                    <w:rPr>
                      <w:rFonts w:hint="eastAsia" w:ascii="Times New Roman" w:hAnsi="Times New Roman" w:eastAsia="宋体" w:cs="Times New Roman"/>
                      <w:kern w:val="0"/>
                      <w:sz w:val="21"/>
                      <w:szCs w:val="21"/>
                      <w:lang w:val="en-US" w:eastAsia="zh-CN" w:bidi="ar-SA"/>
                    </w:rPr>
                    <w:t>；</w:t>
                  </w:r>
                  <w:r>
                    <w:rPr>
                      <w:rFonts w:hint="default" w:ascii="Times New Roman" w:hAnsi="Times New Roman" w:eastAsia="宋体" w:cs="Times New Roman"/>
                      <w:kern w:val="0"/>
                      <w:sz w:val="21"/>
                      <w:szCs w:val="21"/>
                      <w:lang w:val="en-US" w:eastAsia="en-US" w:bidi="ar-SA"/>
                    </w:rPr>
                    <w:t>100%使用无(免)醇润版液(润版液原液中VOCs≤10%)，或使用无水印刷技术，或使用零醇润版胶印技术</w:t>
                  </w:r>
                  <w:r>
                    <w:rPr>
                      <w:rFonts w:hint="eastAsia" w:ascii="Times New Roman" w:hAnsi="Times New Roman" w:eastAsia="宋体" w:cs="Times New Roman"/>
                      <w:kern w:val="0"/>
                      <w:sz w:val="21"/>
                      <w:szCs w:val="21"/>
                      <w:lang w:val="en-US" w:eastAsia="zh-CN" w:bidi="ar-SA"/>
                    </w:rPr>
                    <w:t>；</w:t>
                  </w:r>
                </w:p>
                <w:p w14:paraId="7C382C5E">
                  <w:pPr>
                    <w:keepNext w:val="0"/>
                    <w:keepLines w:val="0"/>
                    <w:pageBreakBefore w:val="0"/>
                    <w:widowControl/>
                    <w:numPr>
                      <w:ilvl w:val="0"/>
                      <w:numId w:val="0"/>
                    </w:numPr>
                    <w:suppressLineNumbers w:val="0"/>
                    <w:kinsoku/>
                    <w:wordWrap/>
                    <w:overflowPunct/>
                    <w:topLinePunct w:val="0"/>
                    <w:autoSpaceDE/>
                    <w:autoSpaceDN/>
                    <w:bidi w:val="0"/>
                    <w:spacing w:before="0" w:beforeAutospacing="0" w:after="0" w:afterAutospacing="0" w:line="240" w:lineRule="auto"/>
                    <w:ind w:left="0" w:right="0"/>
                    <w:jc w:val="both"/>
                    <w:textAlignment w:val="auto"/>
                    <w:rPr>
                      <w:rFonts w:hint="eastAsia"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en-US" w:bidi="ar-SA"/>
                    </w:rPr>
                    <w:t>4、丝网印刷工艺使用水性油墨(VOCs≤30%)、能量固化油墨(VOCs≤5%)的比例达60%及以上</w:t>
                  </w:r>
                  <w:r>
                    <w:rPr>
                      <w:rFonts w:hint="eastAsia" w:ascii="Times New Roman" w:hAnsi="Times New Roman" w:eastAsia="宋体" w:cs="Times New Roman"/>
                      <w:kern w:val="0"/>
                      <w:sz w:val="21"/>
                      <w:szCs w:val="21"/>
                      <w:lang w:val="en-US" w:eastAsia="zh-CN" w:bidi="ar-SA"/>
                    </w:rPr>
                    <w:t>；</w:t>
                  </w:r>
                </w:p>
                <w:p w14:paraId="6657780F">
                  <w:pPr>
                    <w:keepNext w:val="0"/>
                    <w:keepLines w:val="0"/>
                    <w:pageBreakBefore w:val="0"/>
                    <w:widowControl/>
                    <w:numPr>
                      <w:ilvl w:val="0"/>
                      <w:numId w:val="0"/>
                    </w:numPr>
                    <w:suppressLineNumbers w:val="0"/>
                    <w:kinsoku/>
                    <w:wordWrap/>
                    <w:overflowPunct/>
                    <w:topLinePunct w:val="0"/>
                    <w:autoSpaceDE/>
                    <w:autoSpaceDN/>
                    <w:bidi w:val="0"/>
                    <w:spacing w:before="0" w:beforeAutospacing="0" w:after="0" w:afterAutospacing="0" w:line="240" w:lineRule="auto"/>
                    <w:ind w:left="0" w:right="0"/>
                    <w:jc w:val="both"/>
                    <w:textAlignment w:val="auto"/>
                    <w:rPr>
                      <w:rFonts w:hint="eastAsia"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en-US" w:bidi="ar-SA"/>
                    </w:rPr>
                    <w:t>5、印铁制罐生产过程100%使用水性油墨(VOCs≤25%)、能量固化油墨(VOCs≤2%)</w:t>
                  </w:r>
                  <w:r>
                    <w:rPr>
                      <w:rFonts w:hint="eastAsia" w:ascii="Times New Roman" w:hAnsi="Times New Roman" w:eastAsia="宋体" w:cs="Times New Roman"/>
                      <w:kern w:val="0"/>
                      <w:sz w:val="21"/>
                      <w:szCs w:val="21"/>
                      <w:lang w:val="en-US" w:eastAsia="zh-CN" w:bidi="ar-SA"/>
                    </w:rPr>
                    <w:t>；</w:t>
                  </w:r>
                  <w:r>
                    <w:rPr>
                      <w:rFonts w:hint="default" w:ascii="Times New Roman" w:hAnsi="Times New Roman" w:eastAsia="宋体" w:cs="Times New Roman"/>
                      <w:kern w:val="0"/>
                      <w:sz w:val="21"/>
                      <w:szCs w:val="21"/>
                      <w:lang w:val="en-US" w:eastAsia="en-US" w:bidi="ar-SA"/>
                    </w:rPr>
                    <w:t>100%使用水性涂料、能量固化涂料替代溶剂型涂料</w:t>
                  </w:r>
                  <w:r>
                    <w:rPr>
                      <w:rFonts w:hint="eastAsia" w:ascii="Times New Roman" w:hAnsi="Times New Roman" w:eastAsia="宋体" w:cs="Times New Roman"/>
                      <w:kern w:val="0"/>
                      <w:sz w:val="21"/>
                      <w:szCs w:val="21"/>
                      <w:lang w:val="en-US" w:eastAsia="zh-CN" w:bidi="ar-SA"/>
                    </w:rPr>
                    <w:t>；</w:t>
                  </w:r>
                </w:p>
                <w:p w14:paraId="5848859A">
                  <w:pPr>
                    <w:keepNext w:val="0"/>
                    <w:keepLines w:val="0"/>
                    <w:pageBreakBefore w:val="0"/>
                    <w:widowControl/>
                    <w:numPr>
                      <w:ilvl w:val="0"/>
                      <w:numId w:val="0"/>
                    </w:numPr>
                    <w:suppressLineNumbers w:val="0"/>
                    <w:kinsoku/>
                    <w:wordWrap/>
                    <w:overflowPunct/>
                    <w:topLinePunct w:val="0"/>
                    <w:autoSpaceDE/>
                    <w:autoSpaceDN/>
                    <w:bidi w:val="0"/>
                    <w:spacing w:before="0" w:beforeAutospacing="0" w:after="0" w:afterAutospacing="0" w:line="240" w:lineRule="auto"/>
                    <w:ind w:left="0" w:right="0"/>
                    <w:jc w:val="both"/>
                    <w:textAlignment w:val="auto"/>
                    <w:rPr>
                      <w:rFonts w:hint="eastAsia"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en-US" w:bidi="ar-SA"/>
                    </w:rPr>
                    <w:t>6、复合、覆膜</w:t>
                  </w:r>
                  <w:r>
                    <w:rPr>
                      <w:rFonts w:hint="eastAsia" w:ascii="Times New Roman" w:hAnsi="Times New Roman" w:eastAsia="宋体" w:cs="Times New Roman"/>
                      <w:kern w:val="0"/>
                      <w:sz w:val="21"/>
                      <w:szCs w:val="21"/>
                      <w:lang w:val="en-US" w:eastAsia="zh-CN" w:bidi="ar-SA"/>
                    </w:rPr>
                    <w:t>：</w:t>
                  </w:r>
                  <w:r>
                    <w:rPr>
                      <w:rFonts w:hint="default" w:ascii="Times New Roman" w:hAnsi="Times New Roman" w:eastAsia="宋体" w:cs="Times New Roman"/>
                      <w:kern w:val="0"/>
                      <w:sz w:val="21"/>
                      <w:szCs w:val="21"/>
                      <w:lang w:val="en-US" w:eastAsia="en-US" w:bidi="ar-SA"/>
                    </w:rPr>
                    <w:t>使用符合《胶粘剂挥发性有机化合物限量》(GB33372-2020)的无溶剂、水基型等非溶剂型胶粘剂比例达75%及以上</w:t>
                  </w:r>
                  <w:r>
                    <w:rPr>
                      <w:rFonts w:hint="eastAsia" w:ascii="Times New Roman" w:hAnsi="Times New Roman" w:eastAsia="宋体" w:cs="Times New Roman"/>
                      <w:kern w:val="0"/>
                      <w:sz w:val="21"/>
                      <w:szCs w:val="21"/>
                      <w:lang w:val="en-US" w:eastAsia="zh-CN" w:bidi="ar-SA"/>
                    </w:rPr>
                    <w:t>；</w:t>
                  </w:r>
                </w:p>
                <w:p w14:paraId="75F64755">
                  <w:pPr>
                    <w:keepNext w:val="0"/>
                    <w:keepLines w:val="0"/>
                    <w:pageBreakBefore w:val="0"/>
                    <w:widowControl/>
                    <w:numPr>
                      <w:ilvl w:val="0"/>
                      <w:numId w:val="0"/>
                    </w:numPr>
                    <w:suppressLineNumbers w:val="0"/>
                    <w:kinsoku/>
                    <w:wordWrap/>
                    <w:overflowPunct/>
                    <w:topLinePunct w:val="0"/>
                    <w:autoSpaceDE/>
                    <w:autoSpaceDN/>
                    <w:bidi w:val="0"/>
                    <w:spacing w:before="0" w:beforeAutospacing="0" w:after="0" w:afterAutospacing="0" w:line="240" w:lineRule="auto"/>
                    <w:ind w:left="0" w:right="0"/>
                    <w:jc w:val="both"/>
                    <w:textAlignment w:val="auto"/>
                    <w:rPr>
                      <w:rFonts w:hint="eastAsia"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en-US" w:bidi="ar-SA"/>
                    </w:rPr>
                    <w:t>7、上光</w:t>
                  </w:r>
                  <w:r>
                    <w:rPr>
                      <w:rFonts w:hint="eastAsia" w:ascii="Times New Roman" w:hAnsi="Times New Roman" w:eastAsia="宋体" w:cs="Times New Roman"/>
                      <w:kern w:val="0"/>
                      <w:sz w:val="21"/>
                      <w:szCs w:val="21"/>
                      <w:lang w:val="en-US" w:eastAsia="zh-CN" w:bidi="ar-SA"/>
                    </w:rPr>
                    <w:t>：</w:t>
                  </w:r>
                  <w:r>
                    <w:rPr>
                      <w:rFonts w:hint="default" w:ascii="Times New Roman" w:hAnsi="Times New Roman" w:eastAsia="宋体" w:cs="Times New Roman"/>
                      <w:kern w:val="0"/>
                      <w:sz w:val="21"/>
                      <w:szCs w:val="21"/>
                      <w:lang w:val="en-US" w:eastAsia="en-US" w:bidi="ar-SA"/>
                    </w:rPr>
                    <w:t>使用水性、紫外光固化(UV)等非溶剂型光油比例达到100%</w:t>
                  </w:r>
                  <w:r>
                    <w:rPr>
                      <w:rFonts w:hint="eastAsia" w:ascii="Times New Roman" w:hAnsi="Times New Roman" w:eastAsia="宋体" w:cs="Times New Roman"/>
                      <w:kern w:val="0"/>
                      <w:sz w:val="21"/>
                      <w:szCs w:val="21"/>
                      <w:lang w:val="en-US" w:eastAsia="zh-CN" w:bidi="ar-SA"/>
                    </w:rPr>
                    <w:t>；</w:t>
                  </w:r>
                </w:p>
                <w:p w14:paraId="08BD2B08">
                  <w:pPr>
                    <w:keepNext w:val="0"/>
                    <w:keepLines w:val="0"/>
                    <w:pageBreakBefore w:val="0"/>
                    <w:widowControl/>
                    <w:numPr>
                      <w:ilvl w:val="0"/>
                      <w:numId w:val="0"/>
                    </w:numPr>
                    <w:suppressLineNumbers w:val="0"/>
                    <w:kinsoku/>
                    <w:wordWrap/>
                    <w:overflowPunct/>
                    <w:topLinePunct w:val="0"/>
                    <w:autoSpaceDE/>
                    <w:autoSpaceDN/>
                    <w:bidi w:val="0"/>
                    <w:spacing w:before="0" w:beforeLines="0" w:beforeAutospacing="0" w:after="0" w:afterLines="0" w:afterAutospacing="0" w:line="240" w:lineRule="auto"/>
                    <w:ind w:left="0" w:right="0"/>
                    <w:jc w:val="both"/>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kern w:val="0"/>
                      <w:sz w:val="21"/>
                      <w:szCs w:val="21"/>
                      <w:lang w:val="en-US" w:eastAsia="en-US" w:bidi="ar-SA"/>
                    </w:rPr>
                    <w:t>8、清洗</w:t>
                  </w:r>
                  <w:r>
                    <w:rPr>
                      <w:rFonts w:hint="eastAsia" w:ascii="Times New Roman" w:hAnsi="Times New Roman" w:eastAsia="宋体" w:cs="Times New Roman"/>
                      <w:kern w:val="0"/>
                      <w:sz w:val="21"/>
                      <w:szCs w:val="21"/>
                      <w:lang w:val="en-US" w:eastAsia="zh-CN" w:bidi="ar-SA"/>
                    </w:rPr>
                    <w:t>：</w:t>
                  </w:r>
                  <w:r>
                    <w:rPr>
                      <w:rFonts w:hint="default" w:ascii="Times New Roman" w:hAnsi="Times New Roman" w:eastAsia="宋体" w:cs="Times New Roman"/>
                      <w:kern w:val="0"/>
                      <w:sz w:val="21"/>
                      <w:szCs w:val="21"/>
                      <w:lang w:val="en-US" w:eastAsia="en-US" w:bidi="ar-SA"/>
                    </w:rPr>
                    <w:t>采用胶印油墨、UV油墨印刷时，使用符合《清洗剂挥发性有机化合物含量限值》(GB38508-2020)的低VOCs含量清洗剂比例达到100%</w:t>
                  </w:r>
                </w:p>
              </w:tc>
              <w:tc>
                <w:tcPr>
                  <w:tcW w:w="2554" w:type="dxa"/>
                  <w:tcBorders>
                    <w:tl2br w:val="nil"/>
                    <w:tr2bl w:val="nil"/>
                  </w:tcBorders>
                  <w:noWrap/>
                  <w:vAlign w:val="center"/>
                </w:tcPr>
                <w:p w14:paraId="289C32DF">
                  <w:pPr>
                    <w:keepNext w:val="0"/>
                    <w:keepLines w:val="0"/>
                    <w:pageBreakBefore w:val="0"/>
                    <w:widowControl/>
                    <w:numPr>
                      <w:ilvl w:val="0"/>
                      <w:numId w:val="0"/>
                    </w:numPr>
                    <w:suppressLineNumbers w:val="0"/>
                    <w:kinsoku/>
                    <w:wordWrap/>
                    <w:overflowPunct/>
                    <w:topLinePunct w:val="0"/>
                    <w:autoSpaceDE/>
                    <w:autoSpaceDN/>
                    <w:bidi w:val="0"/>
                    <w:spacing w:before="0" w:beforeLines="0" w:beforeAutospacing="0" w:after="0" w:afterLines="0" w:afterAutospacing="0" w:line="240" w:lineRule="auto"/>
                    <w:ind w:left="0" w:right="0"/>
                    <w:jc w:val="both"/>
                    <w:textAlignment w:val="auto"/>
                    <w:rPr>
                      <w:rFonts w:hint="eastAsia"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1.</w:t>
                  </w:r>
                  <w:r>
                    <w:rPr>
                      <w:rFonts w:hint="default" w:ascii="Times New Roman" w:hAnsi="Times New Roman" w:eastAsia="宋体" w:cs="Times New Roman"/>
                      <w:color w:val="auto"/>
                      <w:kern w:val="0"/>
                      <w:sz w:val="21"/>
                      <w:szCs w:val="21"/>
                      <w:highlight w:val="none"/>
                      <w:lang w:val="en-US" w:eastAsia="zh-CN"/>
                    </w:rPr>
                    <w:t>项目</w:t>
                  </w:r>
                  <w:r>
                    <w:rPr>
                      <w:rFonts w:hint="eastAsia" w:ascii="Times New Roman" w:hAnsi="Times New Roman" w:eastAsia="宋体" w:cs="Times New Roman"/>
                      <w:color w:val="auto"/>
                      <w:kern w:val="0"/>
                      <w:sz w:val="21"/>
                      <w:szCs w:val="21"/>
                      <w:highlight w:val="none"/>
                      <w:lang w:val="en-US" w:eastAsia="zh-CN"/>
                    </w:rPr>
                    <w:t>采用凹版印刷工艺，</w:t>
                  </w:r>
                  <w:r>
                    <w:rPr>
                      <w:rFonts w:hint="eastAsia" w:cs="Times New Roman"/>
                      <w:color w:val="auto"/>
                      <w:kern w:val="0"/>
                      <w:sz w:val="21"/>
                      <w:szCs w:val="21"/>
                      <w:highlight w:val="none"/>
                      <w:lang w:val="en-US" w:eastAsia="zh-CN"/>
                    </w:rPr>
                    <w:t>采用双向拉伸聚酯薄膜属于非吸收性材料，</w:t>
                  </w:r>
                  <w:r>
                    <w:rPr>
                      <w:rFonts w:hint="eastAsia" w:ascii="Times New Roman" w:hAnsi="Times New Roman" w:eastAsia="宋体" w:cs="Times New Roman"/>
                      <w:color w:val="auto"/>
                      <w:kern w:val="0"/>
                      <w:sz w:val="21"/>
                      <w:szCs w:val="21"/>
                      <w:highlight w:val="none"/>
                      <w:lang w:val="en-US" w:eastAsia="zh-CN"/>
                    </w:rPr>
                    <w:t>本项目</w:t>
                  </w:r>
                  <w:r>
                    <w:rPr>
                      <w:rFonts w:hint="eastAsia" w:cs="Times New Roman"/>
                      <w:color w:val="auto"/>
                      <w:kern w:val="0"/>
                      <w:sz w:val="21"/>
                      <w:szCs w:val="21"/>
                      <w:highlight w:val="none"/>
                      <w:lang w:val="en-US" w:eastAsia="zh-CN"/>
                    </w:rPr>
                    <w:t>全部</w:t>
                  </w:r>
                  <w:r>
                    <w:rPr>
                      <w:rFonts w:hint="eastAsia" w:ascii="Times New Roman" w:hAnsi="Times New Roman" w:eastAsia="宋体" w:cs="Times New Roman"/>
                      <w:color w:val="auto"/>
                      <w:kern w:val="0"/>
                      <w:sz w:val="21"/>
                      <w:szCs w:val="21"/>
                      <w:highlight w:val="none"/>
                      <w:lang w:val="en-US" w:eastAsia="zh-CN"/>
                    </w:rPr>
                    <w:t>使用水性油墨</w:t>
                  </w:r>
                  <w:r>
                    <w:rPr>
                      <w:rFonts w:hint="default" w:ascii="Times New Roman" w:hAnsi="Times New Roman" w:eastAsia="宋体" w:cs="Times New Roman"/>
                      <w:color w:val="auto"/>
                      <w:sz w:val="21"/>
                      <w:szCs w:val="21"/>
                    </w:rPr>
                    <w:t>（VOCs≤15%）</w:t>
                  </w:r>
                  <w:r>
                    <w:rPr>
                      <w:rFonts w:hint="eastAsia" w:cs="Times New Roman"/>
                      <w:color w:val="auto"/>
                      <w:kern w:val="0"/>
                      <w:sz w:val="21"/>
                      <w:szCs w:val="21"/>
                      <w:highlight w:val="none"/>
                      <w:lang w:val="en-US" w:eastAsia="zh-CN"/>
                    </w:rPr>
                    <w:t>；</w:t>
                  </w:r>
                </w:p>
                <w:p w14:paraId="78FB5417">
                  <w:pPr>
                    <w:keepNext w:val="0"/>
                    <w:keepLines w:val="0"/>
                    <w:pageBreakBefore w:val="0"/>
                    <w:widowControl/>
                    <w:numPr>
                      <w:ilvl w:val="0"/>
                      <w:numId w:val="0"/>
                    </w:numPr>
                    <w:suppressLineNumbers w:val="0"/>
                    <w:kinsoku/>
                    <w:wordWrap/>
                    <w:overflowPunct/>
                    <w:topLinePunct w:val="0"/>
                    <w:autoSpaceDE/>
                    <w:autoSpaceDN/>
                    <w:bidi w:val="0"/>
                    <w:spacing w:before="0" w:beforeLines="0" w:beforeAutospacing="0" w:after="0" w:afterLines="0" w:afterAutospacing="0" w:line="240" w:lineRule="auto"/>
                    <w:ind w:left="0" w:right="0"/>
                    <w:jc w:val="both"/>
                    <w:textAlignment w:val="auto"/>
                    <w:rPr>
                      <w:rFonts w:hint="eastAsia"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2.不涉及</w:t>
                  </w:r>
                </w:p>
                <w:p w14:paraId="71AA2629">
                  <w:pPr>
                    <w:keepNext w:val="0"/>
                    <w:keepLines w:val="0"/>
                    <w:pageBreakBefore w:val="0"/>
                    <w:widowControl/>
                    <w:numPr>
                      <w:ilvl w:val="0"/>
                      <w:numId w:val="0"/>
                    </w:numPr>
                    <w:suppressLineNumbers w:val="0"/>
                    <w:kinsoku/>
                    <w:wordWrap/>
                    <w:overflowPunct/>
                    <w:topLinePunct w:val="0"/>
                    <w:autoSpaceDE/>
                    <w:autoSpaceDN/>
                    <w:bidi w:val="0"/>
                    <w:spacing w:before="0" w:beforeLines="0" w:beforeAutospacing="0" w:after="0" w:afterLines="0" w:afterAutospacing="0" w:line="240" w:lineRule="auto"/>
                    <w:ind w:left="0" w:right="0"/>
                    <w:jc w:val="both"/>
                    <w:textAlignment w:val="auto"/>
                    <w:rPr>
                      <w:rFonts w:hint="eastAsia"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3.不涉及</w:t>
                  </w:r>
                </w:p>
                <w:p w14:paraId="56E41600">
                  <w:pPr>
                    <w:keepNext w:val="0"/>
                    <w:keepLines w:val="0"/>
                    <w:pageBreakBefore w:val="0"/>
                    <w:widowControl/>
                    <w:numPr>
                      <w:ilvl w:val="0"/>
                      <w:numId w:val="0"/>
                    </w:numPr>
                    <w:suppressLineNumbers w:val="0"/>
                    <w:kinsoku/>
                    <w:wordWrap/>
                    <w:overflowPunct/>
                    <w:topLinePunct w:val="0"/>
                    <w:autoSpaceDE/>
                    <w:autoSpaceDN/>
                    <w:bidi w:val="0"/>
                    <w:spacing w:before="0" w:beforeLines="0" w:beforeAutospacing="0" w:after="0" w:afterLines="0" w:afterAutospacing="0" w:line="240" w:lineRule="auto"/>
                    <w:ind w:left="0" w:right="0"/>
                    <w:jc w:val="both"/>
                    <w:textAlignment w:val="auto"/>
                    <w:rPr>
                      <w:rFonts w:hint="eastAsia"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4.不涉及</w:t>
                  </w:r>
                </w:p>
                <w:p w14:paraId="47D2DF15">
                  <w:pPr>
                    <w:keepNext w:val="0"/>
                    <w:keepLines w:val="0"/>
                    <w:pageBreakBefore w:val="0"/>
                    <w:widowControl/>
                    <w:numPr>
                      <w:ilvl w:val="0"/>
                      <w:numId w:val="0"/>
                    </w:numPr>
                    <w:suppressLineNumbers w:val="0"/>
                    <w:kinsoku/>
                    <w:wordWrap/>
                    <w:overflowPunct/>
                    <w:topLinePunct w:val="0"/>
                    <w:autoSpaceDE/>
                    <w:autoSpaceDN/>
                    <w:bidi w:val="0"/>
                    <w:spacing w:before="0" w:beforeLines="0" w:beforeAutospacing="0" w:after="0" w:afterLines="0" w:afterAutospacing="0" w:line="240" w:lineRule="auto"/>
                    <w:ind w:left="0" w:right="0"/>
                    <w:jc w:val="both"/>
                    <w:textAlignment w:val="auto"/>
                    <w:rPr>
                      <w:rFonts w:hint="eastAsia"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5.不涉及</w:t>
                  </w:r>
                </w:p>
                <w:p w14:paraId="1C52729B">
                  <w:pPr>
                    <w:keepNext w:val="0"/>
                    <w:keepLines w:val="0"/>
                    <w:pageBreakBefore w:val="0"/>
                    <w:widowControl/>
                    <w:numPr>
                      <w:ilvl w:val="0"/>
                      <w:numId w:val="0"/>
                    </w:numPr>
                    <w:suppressLineNumbers w:val="0"/>
                    <w:kinsoku/>
                    <w:wordWrap/>
                    <w:overflowPunct/>
                    <w:topLinePunct w:val="0"/>
                    <w:autoSpaceDE/>
                    <w:autoSpaceDN/>
                    <w:bidi w:val="0"/>
                    <w:spacing w:before="0" w:beforeLines="0" w:beforeAutospacing="0" w:after="0" w:afterLines="0" w:afterAutospacing="0" w:line="240" w:lineRule="auto"/>
                    <w:ind w:left="0" w:right="0"/>
                    <w:jc w:val="both"/>
                    <w:textAlignment w:val="auto"/>
                    <w:rPr>
                      <w:rFonts w:hint="eastAsia" w:cs="Times New Roman"/>
                      <w:color w:val="auto"/>
                      <w:sz w:val="21"/>
                      <w:szCs w:val="21"/>
                      <w:lang w:eastAsia="zh-CN"/>
                    </w:rPr>
                  </w:pPr>
                  <w:r>
                    <w:rPr>
                      <w:rFonts w:hint="eastAsia" w:cs="Times New Roman"/>
                      <w:color w:val="auto"/>
                      <w:kern w:val="0"/>
                      <w:sz w:val="21"/>
                      <w:szCs w:val="21"/>
                      <w:highlight w:val="none"/>
                      <w:lang w:val="en-US" w:eastAsia="zh-CN"/>
                    </w:rPr>
                    <w:t>6.</w:t>
                  </w:r>
                  <w:r>
                    <w:rPr>
                      <w:rFonts w:hint="eastAsia" w:ascii="Times New Roman" w:hAnsi="Times New Roman" w:eastAsia="宋体" w:cs="Times New Roman"/>
                      <w:color w:val="auto"/>
                      <w:kern w:val="0"/>
                      <w:sz w:val="21"/>
                      <w:szCs w:val="21"/>
                      <w:highlight w:val="none"/>
                      <w:lang w:val="en-US" w:eastAsia="zh-CN"/>
                    </w:rPr>
                    <w:t>企业整体工程复合工艺使用胶粘剂为</w:t>
                  </w:r>
                  <w:r>
                    <w:rPr>
                      <w:rFonts w:hint="eastAsia" w:cs="Times New Roman"/>
                      <w:color w:val="auto"/>
                      <w:kern w:val="0"/>
                      <w:sz w:val="21"/>
                      <w:szCs w:val="21"/>
                      <w:highlight w:val="none"/>
                      <w:lang w:val="en-US" w:eastAsia="zh-CN"/>
                    </w:rPr>
                    <w:t>双组分</w:t>
                  </w:r>
                  <w:r>
                    <w:rPr>
                      <w:rFonts w:hint="eastAsia" w:ascii="Times New Roman" w:hAnsi="Times New Roman" w:eastAsia="宋体" w:cs="Times New Roman"/>
                      <w:color w:val="auto"/>
                      <w:kern w:val="0"/>
                      <w:sz w:val="21"/>
                      <w:szCs w:val="21"/>
                      <w:highlight w:val="none"/>
                      <w:lang w:val="en-US" w:eastAsia="zh-CN"/>
                    </w:rPr>
                    <w:t>无溶剂聚氨酯复膜胶，符合</w:t>
                  </w:r>
                  <w:r>
                    <w:rPr>
                      <w:rFonts w:hint="default" w:ascii="Times New Roman" w:hAnsi="Times New Roman" w:eastAsia="宋体" w:cs="Times New Roman"/>
                      <w:color w:val="auto"/>
                      <w:sz w:val="21"/>
                      <w:szCs w:val="21"/>
                    </w:rPr>
                    <w:t>《胶粘剂挥发性有机化合物限量》（GB 33372-2020）</w:t>
                  </w:r>
                  <w:r>
                    <w:rPr>
                      <w:rFonts w:hint="eastAsia" w:cs="Times New Roman"/>
                      <w:color w:val="auto"/>
                      <w:sz w:val="21"/>
                      <w:szCs w:val="21"/>
                      <w:lang w:eastAsia="zh-CN"/>
                    </w:rPr>
                    <w:t>；</w:t>
                  </w:r>
                </w:p>
                <w:p w14:paraId="489EAF31">
                  <w:pPr>
                    <w:keepNext w:val="0"/>
                    <w:keepLines w:val="0"/>
                    <w:pageBreakBefore w:val="0"/>
                    <w:widowControl/>
                    <w:numPr>
                      <w:ilvl w:val="0"/>
                      <w:numId w:val="0"/>
                    </w:numPr>
                    <w:suppressLineNumbers w:val="0"/>
                    <w:kinsoku/>
                    <w:wordWrap/>
                    <w:overflowPunct/>
                    <w:topLinePunct w:val="0"/>
                    <w:autoSpaceDE/>
                    <w:autoSpaceDN/>
                    <w:bidi w:val="0"/>
                    <w:spacing w:before="0" w:beforeLines="0" w:beforeAutospacing="0" w:after="0" w:afterLines="0" w:afterAutospacing="0" w:line="240" w:lineRule="auto"/>
                    <w:ind w:left="0" w:right="0"/>
                    <w:jc w:val="both"/>
                    <w:textAlignment w:val="auto"/>
                    <w:rPr>
                      <w:rFonts w:hint="eastAsia" w:cs="Times New Roman"/>
                      <w:color w:val="auto"/>
                      <w:kern w:val="0"/>
                      <w:sz w:val="21"/>
                      <w:szCs w:val="21"/>
                      <w:highlight w:val="none"/>
                      <w:lang w:val="en-US" w:eastAsia="zh-CN"/>
                    </w:rPr>
                  </w:pPr>
                  <w:r>
                    <w:rPr>
                      <w:rFonts w:hint="eastAsia" w:cs="Times New Roman"/>
                      <w:color w:val="auto"/>
                      <w:sz w:val="21"/>
                      <w:szCs w:val="21"/>
                      <w:lang w:val="en-US" w:eastAsia="zh-CN"/>
                    </w:rPr>
                    <w:t>7.</w:t>
                  </w:r>
                  <w:r>
                    <w:rPr>
                      <w:rFonts w:hint="eastAsia" w:ascii="Times New Roman" w:hAnsi="Times New Roman" w:eastAsia="宋体" w:cs="Times New Roman"/>
                      <w:color w:val="auto"/>
                      <w:kern w:val="0"/>
                      <w:sz w:val="21"/>
                      <w:szCs w:val="21"/>
                      <w:highlight w:val="none"/>
                      <w:lang w:val="en-US" w:eastAsia="zh-CN"/>
                    </w:rPr>
                    <w:t>无上光工艺</w:t>
                  </w:r>
                  <w:r>
                    <w:rPr>
                      <w:rFonts w:hint="eastAsia" w:cs="Times New Roman"/>
                      <w:color w:val="auto"/>
                      <w:kern w:val="0"/>
                      <w:sz w:val="21"/>
                      <w:szCs w:val="21"/>
                      <w:highlight w:val="none"/>
                      <w:lang w:val="en-US" w:eastAsia="zh-CN"/>
                    </w:rPr>
                    <w:t>；</w:t>
                  </w:r>
                </w:p>
                <w:p w14:paraId="16EE83EE">
                  <w:pPr>
                    <w:keepNext w:val="0"/>
                    <w:keepLines w:val="0"/>
                    <w:pageBreakBefore w:val="0"/>
                    <w:widowControl/>
                    <w:numPr>
                      <w:ilvl w:val="0"/>
                      <w:numId w:val="0"/>
                    </w:numPr>
                    <w:suppressLineNumbers w:val="0"/>
                    <w:kinsoku/>
                    <w:wordWrap/>
                    <w:overflowPunct/>
                    <w:topLinePunct w:val="0"/>
                    <w:autoSpaceDE/>
                    <w:autoSpaceDN/>
                    <w:bidi w:val="0"/>
                    <w:spacing w:before="0" w:beforeLines="0" w:beforeAutospacing="0" w:after="0" w:afterLines="0" w:afterAutospacing="0" w:line="240" w:lineRule="auto"/>
                    <w:ind w:left="0" w:right="0"/>
                    <w:jc w:val="both"/>
                    <w:textAlignment w:val="auto"/>
                    <w:rPr>
                      <w:rFonts w:hint="eastAsia" w:ascii="Times New Roman" w:hAnsi="Times New Roman" w:eastAsia="宋体" w:cs="Times New Roman"/>
                      <w:color w:val="auto"/>
                      <w:sz w:val="21"/>
                      <w:szCs w:val="21"/>
                      <w:highlight w:val="none"/>
                      <w:lang w:val="en-US" w:eastAsia="zh-CN"/>
                    </w:rPr>
                  </w:pPr>
                  <w:r>
                    <w:rPr>
                      <w:rFonts w:hint="eastAsia" w:cs="Times New Roman"/>
                      <w:color w:val="auto"/>
                      <w:kern w:val="0"/>
                      <w:sz w:val="21"/>
                      <w:szCs w:val="21"/>
                      <w:highlight w:val="none"/>
                      <w:lang w:val="en-US" w:eastAsia="zh-CN"/>
                    </w:rPr>
                    <w:t>8.</w:t>
                  </w:r>
                  <w:r>
                    <w:rPr>
                      <w:rFonts w:hint="eastAsia" w:cs="Times New Roman"/>
                      <w:color w:val="auto"/>
                      <w:sz w:val="21"/>
                      <w:szCs w:val="21"/>
                      <w:lang w:eastAsia="zh-CN"/>
                    </w:rPr>
                    <w:t>本项目</w:t>
                  </w:r>
                  <w:r>
                    <w:rPr>
                      <w:rFonts w:hint="eastAsia" w:ascii="Times New Roman" w:hAnsi="Times New Roman" w:eastAsia="宋体" w:cs="Times New Roman"/>
                      <w:color w:val="auto"/>
                      <w:kern w:val="0"/>
                      <w:sz w:val="21"/>
                      <w:szCs w:val="21"/>
                      <w:highlight w:val="none"/>
                      <w:lang w:val="en-US" w:eastAsia="zh-CN"/>
                    </w:rPr>
                    <w:t>不使用胶印油墨和</w:t>
                  </w:r>
                  <w:r>
                    <w:rPr>
                      <w:rFonts w:hint="default" w:ascii="Times New Roman" w:hAnsi="Times New Roman" w:eastAsia="宋体" w:cs="Times New Roman"/>
                      <w:color w:val="auto"/>
                      <w:sz w:val="21"/>
                      <w:szCs w:val="21"/>
                    </w:rPr>
                    <w:t>UV油墨</w:t>
                  </w:r>
                  <w:r>
                    <w:rPr>
                      <w:rFonts w:hint="eastAsia" w:ascii="Times New Roman" w:hAnsi="Times New Roman" w:eastAsia="宋体" w:cs="Times New Roman"/>
                      <w:color w:val="auto"/>
                      <w:sz w:val="21"/>
                      <w:szCs w:val="21"/>
                      <w:lang w:eastAsia="zh-CN"/>
                    </w:rPr>
                    <w:t>，</w:t>
                  </w:r>
                  <w:r>
                    <w:rPr>
                      <w:rFonts w:hint="eastAsia" w:cs="Times New Roman"/>
                      <w:color w:val="auto"/>
                      <w:sz w:val="21"/>
                      <w:szCs w:val="21"/>
                      <w:lang w:eastAsia="zh-CN"/>
                    </w:rPr>
                    <w:t>不使用清洗剂</w:t>
                  </w:r>
                  <w:r>
                    <w:rPr>
                      <w:rFonts w:hint="eastAsia" w:ascii="Times New Roman" w:hAnsi="Times New Roman" w:eastAsia="宋体" w:cs="Times New Roman"/>
                      <w:color w:val="auto"/>
                      <w:sz w:val="21"/>
                      <w:szCs w:val="21"/>
                      <w:lang w:eastAsia="zh-CN"/>
                    </w:rPr>
                    <w:t>。</w:t>
                  </w:r>
                </w:p>
              </w:tc>
              <w:tc>
                <w:tcPr>
                  <w:tcW w:w="664" w:type="dxa"/>
                  <w:tcBorders>
                    <w:tl2br w:val="nil"/>
                    <w:tr2bl w:val="nil"/>
                  </w:tcBorders>
                  <w:noWrap/>
                  <w:vAlign w:val="center"/>
                </w:tcPr>
                <w:p w14:paraId="3DF2AA90">
                  <w:pPr>
                    <w:keepNext w:val="0"/>
                    <w:keepLines w:val="0"/>
                    <w:pageBreakBefore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4805E7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58" w:type="dxa"/>
                  <w:tcBorders>
                    <w:tl2br w:val="nil"/>
                    <w:tr2bl w:val="nil"/>
                  </w:tcBorders>
                  <w:noWrap/>
                  <w:vAlign w:val="center"/>
                </w:tcPr>
                <w:p w14:paraId="69A473B1">
                  <w:pPr>
                    <w:keepNext w:val="0"/>
                    <w:keepLines w:val="0"/>
                    <w:pageBreakBefore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无组织排放</w:t>
                  </w:r>
                </w:p>
              </w:tc>
              <w:tc>
                <w:tcPr>
                  <w:tcW w:w="3796" w:type="dxa"/>
                  <w:tcBorders>
                    <w:tl2br w:val="nil"/>
                    <w:tr2bl w:val="nil"/>
                  </w:tcBorders>
                  <w:noWrap/>
                  <w:vAlign w:val="center"/>
                </w:tcPr>
                <w:p w14:paraId="73D0A449">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both"/>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1、满足《挥发性有机物无组织排放控制标准》(GB 37822-2019)特别控制要求</w:t>
                  </w:r>
                  <w:r>
                    <w:rPr>
                      <w:rFonts w:hint="eastAsia" w:ascii="Times New Roman" w:hAnsi="Times New Roman" w:eastAsia="宋体" w:cs="Times New Roman"/>
                      <w:sz w:val="21"/>
                      <w:szCs w:val="21"/>
                      <w:highlight w:val="none"/>
                      <w:lang w:val="en-US" w:eastAsia="zh-CN"/>
                    </w:rPr>
                    <w:t>；</w:t>
                  </w:r>
                </w:p>
                <w:p w14:paraId="4A2E381C">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both"/>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2、调配过程</w:t>
                  </w:r>
                  <w:r>
                    <w:rPr>
                      <w:rFonts w:hint="eastAsia" w:ascii="Times New Roman" w:hAnsi="Times New Roman" w:eastAsia="宋体" w:cs="Times New Roman"/>
                      <w:sz w:val="21"/>
                      <w:szCs w:val="21"/>
                      <w:highlight w:val="none"/>
                      <w:lang w:val="en-US" w:eastAsia="zh-CN"/>
                    </w:rPr>
                    <w:t>：</w:t>
                  </w:r>
                  <w:r>
                    <w:rPr>
                      <w:rFonts w:hint="default" w:ascii="Times New Roman" w:hAnsi="Times New Roman" w:eastAsia="宋体" w:cs="Times New Roman"/>
                      <w:sz w:val="21"/>
                      <w:szCs w:val="21"/>
                      <w:highlight w:val="none"/>
                      <w:lang w:val="en-US" w:eastAsia="zh-CN"/>
                    </w:rPr>
                    <w:t>胶印工艺使用自动配墨系统</w:t>
                  </w:r>
                  <w:r>
                    <w:rPr>
                      <w:rFonts w:hint="eastAsia" w:ascii="Times New Roman" w:hAnsi="Times New Roman" w:eastAsia="宋体" w:cs="Times New Roman"/>
                      <w:sz w:val="21"/>
                      <w:szCs w:val="21"/>
                      <w:highlight w:val="none"/>
                      <w:lang w:val="en-US" w:eastAsia="zh-CN"/>
                    </w:rPr>
                    <w:t>；</w:t>
                  </w:r>
                  <w:r>
                    <w:rPr>
                      <w:rFonts w:hint="default" w:ascii="Times New Roman" w:hAnsi="Times New Roman" w:eastAsia="宋体" w:cs="Times New Roman"/>
                      <w:sz w:val="21"/>
                      <w:szCs w:val="21"/>
                      <w:highlight w:val="none"/>
                      <w:lang w:val="en-US" w:eastAsia="zh-CN"/>
                    </w:rPr>
                    <w:t>凹印工艺调配稀释剂采用管道集中输送系统</w:t>
                  </w:r>
                  <w:r>
                    <w:rPr>
                      <w:rFonts w:hint="eastAsia" w:ascii="Times New Roman" w:hAnsi="Times New Roman" w:eastAsia="宋体" w:cs="Times New Roman"/>
                      <w:sz w:val="21"/>
                      <w:szCs w:val="21"/>
                      <w:highlight w:val="none"/>
                      <w:lang w:val="en-US" w:eastAsia="zh-CN"/>
                    </w:rPr>
                    <w:t>；</w:t>
                  </w:r>
                  <w:r>
                    <w:rPr>
                      <w:rFonts w:hint="default" w:ascii="Times New Roman" w:hAnsi="Times New Roman" w:eastAsia="宋体" w:cs="Times New Roman"/>
                      <w:sz w:val="21"/>
                      <w:szCs w:val="21"/>
                      <w:highlight w:val="none"/>
                      <w:lang w:val="en-US" w:eastAsia="zh-CN"/>
                    </w:rPr>
                    <w:t>设置专门的调配间进行调墨、调胶等，废气排至VOCs废气收集处理系统</w:t>
                  </w:r>
                  <w:r>
                    <w:rPr>
                      <w:rFonts w:hint="eastAsia" w:ascii="Times New Roman" w:hAnsi="Times New Roman" w:eastAsia="宋体" w:cs="Times New Roman"/>
                      <w:sz w:val="21"/>
                      <w:szCs w:val="21"/>
                      <w:highlight w:val="none"/>
                      <w:lang w:val="en-US" w:eastAsia="zh-CN"/>
                    </w:rPr>
                    <w:t>；</w:t>
                  </w:r>
                </w:p>
                <w:p w14:paraId="783A3CAB">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both"/>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3、供墨过程</w:t>
                  </w:r>
                  <w:r>
                    <w:rPr>
                      <w:rFonts w:hint="eastAsia" w:ascii="Times New Roman" w:hAnsi="Times New Roman" w:eastAsia="宋体" w:cs="Times New Roman"/>
                      <w:sz w:val="21"/>
                      <w:szCs w:val="21"/>
                      <w:highlight w:val="none"/>
                      <w:lang w:val="en-US" w:eastAsia="zh-CN"/>
                    </w:rPr>
                    <w:t>：</w:t>
                  </w:r>
                  <w:r>
                    <w:rPr>
                      <w:rFonts w:hint="default" w:ascii="Times New Roman" w:hAnsi="Times New Roman" w:eastAsia="宋体" w:cs="Times New Roman"/>
                      <w:sz w:val="21"/>
                      <w:szCs w:val="21"/>
                      <w:highlight w:val="none"/>
                      <w:lang w:val="en-US" w:eastAsia="zh-CN"/>
                    </w:rPr>
                    <w:t>在密闭设备或密闭负压空间内操作</w:t>
                  </w:r>
                  <w:r>
                    <w:rPr>
                      <w:rFonts w:hint="eastAsia" w:ascii="Times New Roman" w:hAnsi="Times New Roman" w:eastAsia="宋体" w:cs="Times New Roman"/>
                      <w:sz w:val="21"/>
                      <w:szCs w:val="21"/>
                      <w:highlight w:val="none"/>
                      <w:lang w:val="en-US" w:eastAsia="zh-CN"/>
                    </w:rPr>
                    <w:t>；</w:t>
                  </w:r>
                  <w:r>
                    <w:rPr>
                      <w:rFonts w:hint="default" w:ascii="Times New Roman" w:hAnsi="Times New Roman" w:eastAsia="宋体" w:cs="Times New Roman"/>
                      <w:sz w:val="21"/>
                      <w:szCs w:val="21"/>
                      <w:highlight w:val="none"/>
                      <w:lang w:val="en-US" w:eastAsia="zh-CN"/>
                    </w:rPr>
                    <w:t>向墨槽中加油墨或稀释剂时采用漏斗或软管等接驳工具</w:t>
                  </w:r>
                  <w:r>
                    <w:rPr>
                      <w:rFonts w:hint="eastAsia" w:ascii="Times New Roman" w:hAnsi="Times New Roman" w:eastAsia="宋体" w:cs="Times New Roman"/>
                      <w:sz w:val="21"/>
                      <w:szCs w:val="21"/>
                      <w:highlight w:val="none"/>
                      <w:lang w:val="en-US" w:eastAsia="zh-CN"/>
                    </w:rPr>
                    <w:t>；</w:t>
                  </w:r>
                </w:p>
                <w:p w14:paraId="4216C7E2">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both"/>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4、印刷过程</w:t>
                  </w:r>
                  <w:r>
                    <w:rPr>
                      <w:rFonts w:hint="eastAsia" w:ascii="Times New Roman" w:hAnsi="Times New Roman" w:eastAsia="宋体" w:cs="Times New Roman"/>
                      <w:sz w:val="21"/>
                      <w:szCs w:val="21"/>
                      <w:highlight w:val="none"/>
                      <w:lang w:val="en-US" w:eastAsia="zh-CN"/>
                    </w:rPr>
                    <w:t>：</w:t>
                  </w:r>
                  <w:r>
                    <w:rPr>
                      <w:rFonts w:hint="default" w:ascii="Times New Roman" w:hAnsi="Times New Roman" w:eastAsia="宋体" w:cs="Times New Roman"/>
                      <w:sz w:val="21"/>
                      <w:szCs w:val="21"/>
                      <w:highlight w:val="none"/>
                      <w:lang w:val="en-US" w:eastAsia="zh-CN"/>
                    </w:rPr>
                    <w:t>柔版印刷机采用封闭刮刀</w:t>
                  </w:r>
                  <w:r>
                    <w:rPr>
                      <w:rFonts w:hint="eastAsia" w:ascii="Times New Roman" w:hAnsi="Times New Roman" w:eastAsia="宋体" w:cs="Times New Roman"/>
                      <w:sz w:val="21"/>
                      <w:szCs w:val="21"/>
                      <w:highlight w:val="none"/>
                      <w:lang w:val="en-US" w:eastAsia="zh-CN"/>
                    </w:rPr>
                    <w:t>；</w:t>
                  </w:r>
                  <w:r>
                    <w:rPr>
                      <w:rFonts w:hint="default" w:ascii="Times New Roman" w:hAnsi="Times New Roman" w:eastAsia="宋体" w:cs="Times New Roman"/>
                      <w:sz w:val="21"/>
                      <w:szCs w:val="21"/>
                      <w:highlight w:val="none"/>
                      <w:lang w:val="en-US" w:eastAsia="zh-CN"/>
                    </w:rPr>
                    <w:t>凹版印刷机通过安装盖板、改变墨槽开口形状等减小墨盘、墨桶、搅墨机等开口面积</w:t>
                  </w:r>
                  <w:r>
                    <w:rPr>
                      <w:rFonts w:hint="eastAsia" w:ascii="Times New Roman" w:hAnsi="Times New Roman" w:eastAsia="宋体" w:cs="Times New Roman"/>
                      <w:sz w:val="21"/>
                      <w:szCs w:val="21"/>
                      <w:highlight w:val="none"/>
                      <w:lang w:val="en-US" w:eastAsia="zh-CN"/>
                    </w:rPr>
                    <w:t>；</w:t>
                  </w:r>
                  <w:r>
                    <w:rPr>
                      <w:rFonts w:hint="default" w:ascii="Times New Roman" w:hAnsi="Times New Roman" w:eastAsia="宋体" w:cs="Times New Roman"/>
                      <w:sz w:val="21"/>
                      <w:szCs w:val="21"/>
                      <w:highlight w:val="none"/>
                      <w:lang w:val="en-US" w:eastAsia="zh-CN"/>
                    </w:rPr>
                    <w:t>烘箱密闭，保持负压</w:t>
                  </w:r>
                  <w:r>
                    <w:rPr>
                      <w:rFonts w:hint="eastAsia" w:ascii="Times New Roman" w:hAnsi="Times New Roman" w:eastAsia="宋体" w:cs="Times New Roman"/>
                      <w:sz w:val="21"/>
                      <w:szCs w:val="21"/>
                      <w:highlight w:val="none"/>
                      <w:lang w:val="en-US" w:eastAsia="zh-CN"/>
                    </w:rPr>
                    <w:t>；</w:t>
                  </w:r>
                  <w:r>
                    <w:rPr>
                      <w:rFonts w:hint="default" w:ascii="Times New Roman" w:hAnsi="Times New Roman" w:eastAsia="宋体" w:cs="Times New Roman"/>
                      <w:sz w:val="21"/>
                      <w:szCs w:val="21"/>
                      <w:highlight w:val="none"/>
                      <w:lang w:val="en-US" w:eastAsia="zh-CN"/>
                    </w:rPr>
                    <w:t>印刷机整体排风收集</w:t>
                  </w:r>
                  <w:r>
                    <w:rPr>
                      <w:rFonts w:hint="eastAsia" w:ascii="Times New Roman" w:hAnsi="Times New Roman" w:eastAsia="宋体" w:cs="Times New Roman"/>
                      <w:sz w:val="21"/>
                      <w:szCs w:val="21"/>
                      <w:highlight w:val="none"/>
                      <w:lang w:val="en-US" w:eastAsia="zh-CN"/>
                    </w:rPr>
                    <w:t>；</w:t>
                  </w:r>
                </w:p>
                <w:p w14:paraId="0B68F05C">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both"/>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5、清洗过程</w:t>
                  </w:r>
                  <w:r>
                    <w:rPr>
                      <w:rFonts w:hint="eastAsia" w:ascii="Times New Roman" w:hAnsi="Times New Roman" w:eastAsia="宋体" w:cs="Times New Roman"/>
                      <w:sz w:val="21"/>
                      <w:szCs w:val="21"/>
                      <w:highlight w:val="none"/>
                      <w:lang w:val="en-US" w:eastAsia="zh-CN"/>
                    </w:rPr>
                    <w:t>：</w:t>
                  </w:r>
                  <w:r>
                    <w:rPr>
                      <w:rFonts w:hint="default" w:ascii="Times New Roman" w:hAnsi="Times New Roman" w:eastAsia="宋体" w:cs="Times New Roman"/>
                      <w:sz w:val="21"/>
                      <w:szCs w:val="21"/>
                      <w:highlight w:val="none"/>
                      <w:lang w:val="en-US" w:eastAsia="zh-CN"/>
                    </w:rPr>
                    <w:t>清洗专用清洗间、排风收集</w:t>
                  </w:r>
                  <w:r>
                    <w:rPr>
                      <w:rFonts w:hint="eastAsia" w:ascii="Times New Roman" w:hAnsi="Times New Roman" w:eastAsia="宋体" w:cs="Times New Roman"/>
                      <w:sz w:val="21"/>
                      <w:szCs w:val="21"/>
                      <w:highlight w:val="none"/>
                      <w:lang w:val="en-US" w:eastAsia="zh-CN"/>
                    </w:rPr>
                    <w:t>；</w:t>
                  </w:r>
                  <w:r>
                    <w:rPr>
                      <w:rFonts w:hint="default" w:ascii="Times New Roman" w:hAnsi="Times New Roman" w:eastAsia="宋体" w:cs="Times New Roman"/>
                      <w:sz w:val="21"/>
                      <w:szCs w:val="21"/>
                      <w:highlight w:val="none"/>
                      <w:lang w:val="en-US" w:eastAsia="zh-CN"/>
                    </w:rPr>
                    <w:t>沾染清洗剂的毛巾或抹布储存于密闭容器</w:t>
                  </w:r>
                  <w:r>
                    <w:rPr>
                      <w:rFonts w:hint="eastAsia" w:ascii="Times New Roman" w:hAnsi="Times New Roman" w:eastAsia="宋体" w:cs="Times New Roman"/>
                      <w:sz w:val="21"/>
                      <w:szCs w:val="21"/>
                      <w:highlight w:val="none"/>
                      <w:lang w:val="en-US" w:eastAsia="zh-CN"/>
                    </w:rPr>
                    <w:t>；</w:t>
                  </w:r>
                </w:p>
                <w:p w14:paraId="056A64E3">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both"/>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6、复合过程</w:t>
                  </w:r>
                  <w:r>
                    <w:rPr>
                      <w:rFonts w:hint="eastAsia" w:ascii="Times New Roman" w:hAnsi="Times New Roman" w:eastAsia="宋体" w:cs="Times New Roman"/>
                      <w:sz w:val="21"/>
                      <w:szCs w:val="21"/>
                      <w:highlight w:val="none"/>
                      <w:lang w:val="en-US" w:eastAsia="zh-CN"/>
                    </w:rPr>
                    <w:t>：</w:t>
                  </w:r>
                  <w:r>
                    <w:rPr>
                      <w:rFonts w:hint="default" w:ascii="Times New Roman" w:hAnsi="Times New Roman" w:eastAsia="宋体" w:cs="Times New Roman"/>
                      <w:sz w:val="21"/>
                      <w:szCs w:val="21"/>
                      <w:highlight w:val="none"/>
                      <w:lang w:val="en-US" w:eastAsia="zh-CN"/>
                    </w:rPr>
                    <w:t>烘箱密闭，保持负压</w:t>
                  </w:r>
                  <w:r>
                    <w:rPr>
                      <w:rFonts w:hint="eastAsia" w:ascii="Times New Roman" w:hAnsi="Times New Roman" w:eastAsia="宋体" w:cs="Times New Roman"/>
                      <w:sz w:val="21"/>
                      <w:szCs w:val="21"/>
                      <w:highlight w:val="none"/>
                      <w:lang w:val="en-US" w:eastAsia="zh-CN"/>
                    </w:rPr>
                    <w:t>；</w:t>
                  </w:r>
                  <w:r>
                    <w:rPr>
                      <w:rFonts w:hint="default" w:ascii="Times New Roman" w:hAnsi="Times New Roman" w:eastAsia="宋体" w:cs="Times New Roman"/>
                      <w:sz w:val="21"/>
                      <w:szCs w:val="21"/>
                      <w:highlight w:val="none"/>
                      <w:lang w:val="en-US" w:eastAsia="zh-CN"/>
                    </w:rPr>
                    <w:t>干式复合机整机封闭集气收集</w:t>
                  </w:r>
                  <w:r>
                    <w:rPr>
                      <w:rFonts w:hint="eastAsia" w:ascii="Times New Roman" w:hAnsi="Times New Roman" w:eastAsia="宋体" w:cs="Times New Roman"/>
                      <w:sz w:val="21"/>
                      <w:szCs w:val="21"/>
                      <w:highlight w:val="none"/>
                      <w:lang w:val="en-US" w:eastAsia="zh-CN"/>
                    </w:rPr>
                    <w:t>；</w:t>
                  </w:r>
                </w:p>
                <w:p w14:paraId="17A0D82A">
                  <w:pPr>
                    <w:keepNext w:val="0"/>
                    <w:keepLines w:val="0"/>
                    <w:pageBreakBefore w:val="0"/>
                    <w:widowControl/>
                    <w:suppressLineNumbers w:val="0"/>
                    <w:kinsoku/>
                    <w:wordWrap/>
                    <w:overflowPunct/>
                    <w:topLinePunct w:val="0"/>
                    <w:autoSpaceDE/>
                    <w:autoSpaceDN/>
                    <w:bidi w:val="0"/>
                    <w:spacing w:before="0" w:beforeLines="0" w:beforeAutospacing="0" w:after="0" w:afterLines="0" w:afterAutospacing="0" w:line="240" w:lineRule="auto"/>
                    <w:ind w:left="0" w:right="0"/>
                    <w:jc w:val="both"/>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sz w:val="21"/>
                      <w:szCs w:val="21"/>
                      <w:highlight w:val="none"/>
                      <w:lang w:val="en-US" w:eastAsia="zh-CN"/>
                    </w:rPr>
                    <w:t>7、存储过程</w:t>
                  </w:r>
                  <w:r>
                    <w:rPr>
                      <w:rFonts w:hint="eastAsia" w:ascii="Times New Roman" w:hAnsi="Times New Roman" w:eastAsia="宋体" w:cs="Times New Roman"/>
                      <w:sz w:val="21"/>
                      <w:szCs w:val="21"/>
                      <w:highlight w:val="none"/>
                      <w:lang w:val="en-US" w:eastAsia="zh-CN"/>
                    </w:rPr>
                    <w:t>：</w:t>
                  </w:r>
                  <w:r>
                    <w:rPr>
                      <w:rFonts w:hint="default" w:ascii="Times New Roman" w:hAnsi="Times New Roman" w:eastAsia="宋体" w:cs="Times New Roman"/>
                      <w:sz w:val="21"/>
                      <w:szCs w:val="21"/>
                      <w:highlight w:val="none"/>
                      <w:lang w:val="en-US" w:eastAsia="zh-CN"/>
                    </w:rPr>
                    <w:t>油墨、稀释剂、胶粘剂、清洗剂、上光油等VOCs物料密闭存储，存放于无阳光直射的场所</w:t>
                  </w:r>
                  <w:r>
                    <w:rPr>
                      <w:rFonts w:hint="eastAsia" w:ascii="Times New Roman" w:hAnsi="Times New Roman" w:eastAsia="宋体" w:cs="Times New Roman"/>
                      <w:sz w:val="21"/>
                      <w:szCs w:val="21"/>
                      <w:highlight w:val="none"/>
                      <w:lang w:val="en-US" w:eastAsia="zh-CN"/>
                    </w:rPr>
                    <w:t>；</w:t>
                  </w:r>
                  <w:r>
                    <w:rPr>
                      <w:rFonts w:hint="default" w:ascii="Times New Roman" w:hAnsi="Times New Roman" w:eastAsia="宋体" w:cs="Times New Roman"/>
                      <w:sz w:val="21"/>
                      <w:szCs w:val="21"/>
                      <w:highlight w:val="none"/>
                      <w:lang w:val="en-US" w:eastAsia="zh-CN"/>
                    </w:rPr>
                    <w:t>废油墨、废清洗剂、废活性炭等含VOCs的废物应分类放置于贴有标识的容器内，加盖密封，存放于无阳光直射的场所</w:t>
                  </w:r>
                </w:p>
              </w:tc>
              <w:tc>
                <w:tcPr>
                  <w:tcW w:w="2554" w:type="dxa"/>
                  <w:tcBorders>
                    <w:tl2br w:val="nil"/>
                    <w:tr2bl w:val="nil"/>
                  </w:tcBorders>
                  <w:noWrap/>
                  <w:vAlign w:val="center"/>
                </w:tcPr>
                <w:p w14:paraId="4A72D537">
                  <w:pPr>
                    <w:keepNext w:val="0"/>
                    <w:keepLines w:val="0"/>
                    <w:pageBreakBefore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jc w:val="both"/>
                    <w:textAlignment w:val="auto"/>
                    <w:rPr>
                      <w:rFonts w:hint="default" w:ascii="Times New Roman" w:hAnsi="Times New Roman" w:eastAsia="宋体" w:cs="Times New Roman"/>
                      <w:color w:val="auto"/>
                      <w:kern w:val="0"/>
                      <w:sz w:val="21"/>
                      <w:szCs w:val="21"/>
                      <w:highlight w:val="none"/>
                      <w:lang w:eastAsia="zh-CN"/>
                    </w:rPr>
                  </w:pPr>
                  <w:r>
                    <w:rPr>
                      <w:rFonts w:hint="eastAsia" w:cs="Times New Roman"/>
                      <w:color w:val="auto"/>
                      <w:kern w:val="0"/>
                      <w:sz w:val="21"/>
                      <w:szCs w:val="21"/>
                      <w:highlight w:val="none"/>
                      <w:lang w:val="en-US" w:eastAsia="zh-CN"/>
                    </w:rPr>
                    <w:t>1.</w:t>
                  </w:r>
                  <w:r>
                    <w:rPr>
                      <w:rFonts w:hint="default" w:ascii="Times New Roman" w:hAnsi="Times New Roman" w:eastAsia="宋体" w:cs="Times New Roman"/>
                      <w:color w:val="auto"/>
                      <w:kern w:val="0"/>
                      <w:sz w:val="21"/>
                      <w:szCs w:val="21"/>
                      <w:highlight w:val="none"/>
                      <w:lang w:val="en-US" w:eastAsia="zh-CN"/>
                    </w:rPr>
                    <w:t>项目</w:t>
                  </w:r>
                  <w:r>
                    <w:rPr>
                      <w:rFonts w:hint="default" w:ascii="Times New Roman" w:hAnsi="Times New Roman" w:eastAsia="宋体" w:cs="Times New Roman"/>
                      <w:color w:val="auto"/>
                      <w:kern w:val="0"/>
                      <w:sz w:val="21"/>
                      <w:szCs w:val="21"/>
                      <w:highlight w:val="none"/>
                    </w:rPr>
                    <w:t>满足《挥发性有机物无组织排放控制标准》（GB37822-2019）特别控制要求</w:t>
                  </w:r>
                  <w:r>
                    <w:rPr>
                      <w:rFonts w:hint="default" w:ascii="Times New Roman" w:hAnsi="Times New Roman" w:eastAsia="宋体" w:cs="Times New Roman"/>
                      <w:color w:val="auto"/>
                      <w:kern w:val="0"/>
                      <w:sz w:val="21"/>
                      <w:szCs w:val="21"/>
                      <w:highlight w:val="none"/>
                      <w:lang w:eastAsia="zh-CN"/>
                    </w:rPr>
                    <w:t>；</w:t>
                  </w:r>
                </w:p>
                <w:p w14:paraId="21475E23">
                  <w:pPr>
                    <w:keepNext w:val="0"/>
                    <w:keepLines w:val="0"/>
                    <w:pageBreakBefore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jc w:val="both"/>
                    <w:textAlignment w:val="auto"/>
                    <w:rPr>
                      <w:rFonts w:hint="eastAsia" w:ascii="Times New Roman" w:hAnsi="Times New Roman" w:eastAsia="宋体" w:cs="Times New Roman"/>
                      <w:color w:val="auto"/>
                      <w:kern w:val="0"/>
                      <w:sz w:val="21"/>
                      <w:szCs w:val="21"/>
                      <w:highlight w:val="none"/>
                      <w:lang w:eastAsia="zh-CN"/>
                    </w:rPr>
                  </w:pPr>
                  <w:r>
                    <w:rPr>
                      <w:rFonts w:hint="eastAsia" w:cs="Times New Roman"/>
                      <w:color w:val="auto"/>
                      <w:kern w:val="0"/>
                      <w:sz w:val="21"/>
                      <w:szCs w:val="21"/>
                      <w:highlight w:val="none"/>
                      <w:lang w:val="en-US" w:eastAsia="zh-CN"/>
                    </w:rPr>
                    <w:t>2.</w:t>
                  </w:r>
                  <w:r>
                    <w:rPr>
                      <w:rFonts w:hint="eastAsia" w:ascii="Times New Roman" w:hAnsi="Times New Roman" w:eastAsia="宋体" w:cs="Times New Roman"/>
                      <w:color w:val="auto"/>
                      <w:kern w:val="0"/>
                      <w:sz w:val="21"/>
                      <w:szCs w:val="21"/>
                      <w:highlight w:val="none"/>
                      <w:lang w:eastAsia="zh-CN"/>
                    </w:rPr>
                    <w:t>水性油墨调配位于</w:t>
                  </w:r>
                  <w:r>
                    <w:rPr>
                      <w:rFonts w:hint="eastAsia"/>
                      <w:lang w:eastAsia="zh-CN"/>
                    </w:rPr>
                    <w:t>密闭</w:t>
                  </w:r>
                  <w:r>
                    <w:rPr>
                      <w:rFonts w:hint="eastAsia" w:cs="Times New Roman"/>
                      <w:color w:val="auto"/>
                      <w:kern w:val="0"/>
                      <w:sz w:val="21"/>
                      <w:szCs w:val="21"/>
                      <w:highlight w:val="none"/>
                      <w:lang w:eastAsia="zh-CN"/>
                    </w:rPr>
                    <w:t>配制间</w:t>
                  </w:r>
                  <w:r>
                    <w:rPr>
                      <w:rFonts w:hint="eastAsia" w:ascii="Times New Roman" w:hAnsi="Times New Roman" w:eastAsia="宋体" w:cs="Times New Roman"/>
                      <w:color w:val="auto"/>
                      <w:kern w:val="0"/>
                      <w:sz w:val="21"/>
                      <w:szCs w:val="21"/>
                      <w:highlight w:val="none"/>
                      <w:lang w:eastAsia="zh-CN"/>
                    </w:rPr>
                    <w:t>；</w:t>
                  </w:r>
                </w:p>
                <w:p w14:paraId="5DE6E5D1">
                  <w:pPr>
                    <w:keepNext w:val="0"/>
                    <w:keepLines w:val="0"/>
                    <w:pageBreakBefore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jc w:val="both"/>
                    <w:textAlignment w:val="auto"/>
                    <w:rPr>
                      <w:rFonts w:hint="eastAsia" w:ascii="Times New Roman" w:hAnsi="Times New Roman" w:eastAsia="宋体" w:cs="Times New Roman"/>
                      <w:color w:val="auto"/>
                      <w:kern w:val="0"/>
                      <w:sz w:val="21"/>
                      <w:szCs w:val="21"/>
                      <w:highlight w:val="none"/>
                      <w:lang w:eastAsia="zh-CN"/>
                    </w:rPr>
                  </w:pPr>
                  <w:r>
                    <w:rPr>
                      <w:rFonts w:hint="eastAsia" w:cs="Times New Roman"/>
                      <w:color w:val="auto"/>
                      <w:kern w:val="0"/>
                      <w:sz w:val="21"/>
                      <w:szCs w:val="21"/>
                      <w:highlight w:val="none"/>
                      <w:lang w:val="en-US" w:eastAsia="zh-CN"/>
                    </w:rPr>
                    <w:t>3.</w:t>
                  </w:r>
                  <w:r>
                    <w:rPr>
                      <w:rFonts w:hint="eastAsia" w:ascii="Times New Roman" w:hAnsi="Times New Roman" w:eastAsia="宋体" w:cs="Times New Roman"/>
                      <w:color w:val="auto"/>
                      <w:kern w:val="0"/>
                      <w:sz w:val="21"/>
                      <w:szCs w:val="21"/>
                      <w:highlight w:val="none"/>
                      <w:lang w:eastAsia="zh-CN"/>
                    </w:rPr>
                    <w:t>供墨过程在密闭负压空间内操作；</w:t>
                  </w:r>
                </w:p>
                <w:p w14:paraId="688DED27">
                  <w:pPr>
                    <w:keepNext w:val="0"/>
                    <w:keepLines w:val="0"/>
                    <w:pageBreakBefore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jc w:val="both"/>
                    <w:textAlignment w:val="auto"/>
                    <w:rPr>
                      <w:rFonts w:hint="eastAsia" w:ascii="Times New Roman" w:hAnsi="Times New Roman" w:eastAsia="宋体" w:cs="Times New Roman"/>
                      <w:color w:val="auto"/>
                      <w:kern w:val="0"/>
                      <w:sz w:val="21"/>
                      <w:szCs w:val="21"/>
                      <w:highlight w:val="none"/>
                      <w:lang w:eastAsia="zh-CN"/>
                    </w:rPr>
                  </w:pPr>
                  <w:r>
                    <w:rPr>
                      <w:rFonts w:hint="eastAsia" w:cs="Times New Roman"/>
                      <w:color w:val="auto"/>
                      <w:kern w:val="0"/>
                      <w:sz w:val="21"/>
                      <w:szCs w:val="21"/>
                      <w:highlight w:val="none"/>
                      <w:lang w:val="en-US" w:eastAsia="zh-CN"/>
                    </w:rPr>
                    <w:t>4.</w:t>
                  </w:r>
                  <w:r>
                    <w:rPr>
                      <w:rFonts w:hint="eastAsia" w:ascii="Times New Roman" w:hAnsi="Times New Roman" w:eastAsia="宋体" w:cs="Times New Roman"/>
                      <w:color w:val="auto"/>
                      <w:kern w:val="0"/>
                      <w:sz w:val="21"/>
                      <w:szCs w:val="21"/>
                      <w:highlight w:val="none"/>
                      <w:lang w:eastAsia="zh-CN"/>
                    </w:rPr>
                    <w:t>印刷机开口面积很小，烘箱位于印刷机内，密闭负压；</w:t>
                  </w:r>
                </w:p>
                <w:p w14:paraId="7A538CE4">
                  <w:pPr>
                    <w:keepNext w:val="0"/>
                    <w:keepLines w:val="0"/>
                    <w:pageBreakBefore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jc w:val="both"/>
                    <w:textAlignment w:val="auto"/>
                    <w:rPr>
                      <w:rFonts w:hint="eastAsia" w:ascii="Times New Roman" w:hAnsi="Times New Roman" w:eastAsia="宋体" w:cs="Times New Roman"/>
                      <w:color w:val="auto"/>
                      <w:kern w:val="0"/>
                      <w:sz w:val="21"/>
                      <w:szCs w:val="21"/>
                      <w:highlight w:val="none"/>
                      <w:lang w:eastAsia="zh-CN"/>
                    </w:rPr>
                  </w:pPr>
                  <w:r>
                    <w:rPr>
                      <w:rFonts w:hint="eastAsia" w:cs="Times New Roman"/>
                      <w:color w:val="auto"/>
                      <w:kern w:val="0"/>
                      <w:sz w:val="21"/>
                      <w:szCs w:val="21"/>
                      <w:highlight w:val="none"/>
                      <w:lang w:val="en-US" w:eastAsia="zh-CN"/>
                    </w:rPr>
                    <w:t>5.</w:t>
                  </w:r>
                  <w:r>
                    <w:rPr>
                      <w:rFonts w:hint="eastAsia" w:cs="Times New Roman"/>
                      <w:color w:val="auto"/>
                      <w:kern w:val="0"/>
                      <w:sz w:val="21"/>
                      <w:szCs w:val="21"/>
                      <w:highlight w:val="none"/>
                      <w:lang w:eastAsia="zh-CN"/>
                    </w:rPr>
                    <w:t>本项目用抹布沾取无水乙醇进行擦拭，此过程</w:t>
                  </w:r>
                  <w:r>
                    <w:rPr>
                      <w:rFonts w:hint="eastAsia" w:ascii="Times New Roman" w:hAnsi="Times New Roman" w:eastAsia="宋体" w:cs="Times New Roman"/>
                      <w:color w:val="auto"/>
                      <w:kern w:val="0"/>
                      <w:sz w:val="21"/>
                      <w:szCs w:val="21"/>
                      <w:highlight w:val="none"/>
                      <w:lang w:eastAsia="zh-CN"/>
                    </w:rPr>
                    <w:t>位于密闭</w:t>
                  </w:r>
                  <w:r>
                    <w:rPr>
                      <w:rFonts w:hint="eastAsia" w:cs="Times New Roman"/>
                      <w:color w:val="auto"/>
                      <w:kern w:val="0"/>
                      <w:sz w:val="21"/>
                      <w:szCs w:val="21"/>
                      <w:highlight w:val="none"/>
                      <w:lang w:eastAsia="zh-CN"/>
                    </w:rPr>
                    <w:t>配制间</w:t>
                  </w:r>
                  <w:r>
                    <w:rPr>
                      <w:rFonts w:hint="eastAsia" w:ascii="Times New Roman" w:hAnsi="Times New Roman" w:eastAsia="宋体" w:cs="Times New Roman"/>
                      <w:color w:val="auto"/>
                      <w:kern w:val="0"/>
                      <w:sz w:val="21"/>
                      <w:szCs w:val="21"/>
                      <w:highlight w:val="none"/>
                      <w:lang w:eastAsia="zh-CN"/>
                    </w:rPr>
                    <w:t>，</w:t>
                  </w:r>
                  <w:r>
                    <w:rPr>
                      <w:rFonts w:hint="eastAsia" w:cs="Times New Roman"/>
                      <w:color w:val="auto"/>
                      <w:kern w:val="0"/>
                      <w:sz w:val="21"/>
                      <w:szCs w:val="21"/>
                      <w:highlight w:val="none"/>
                      <w:lang w:eastAsia="zh-CN"/>
                    </w:rPr>
                    <w:t>废抹布</w:t>
                  </w:r>
                  <w:r>
                    <w:rPr>
                      <w:rFonts w:hint="eastAsia" w:ascii="Times New Roman" w:hAnsi="Times New Roman" w:eastAsia="宋体" w:cs="Times New Roman"/>
                      <w:color w:val="auto"/>
                      <w:kern w:val="0"/>
                      <w:sz w:val="21"/>
                      <w:szCs w:val="21"/>
                      <w:highlight w:val="none"/>
                      <w:lang w:eastAsia="zh-CN"/>
                    </w:rPr>
                    <w:t>均存储于密闭容器暂存于危废间，定期交有资质单位处理；</w:t>
                  </w:r>
                </w:p>
                <w:p w14:paraId="658D96F1">
                  <w:pPr>
                    <w:keepNext w:val="0"/>
                    <w:keepLines w:val="0"/>
                    <w:pageBreakBefore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jc w:val="both"/>
                    <w:textAlignment w:val="auto"/>
                    <w:rPr>
                      <w:rFonts w:hint="eastAsia" w:ascii="Times New Roman" w:hAnsi="Times New Roman" w:eastAsia="宋体" w:cs="Times New Roman"/>
                      <w:color w:val="auto"/>
                      <w:kern w:val="0"/>
                      <w:sz w:val="21"/>
                      <w:szCs w:val="21"/>
                      <w:highlight w:val="none"/>
                      <w:lang w:eastAsia="zh-CN"/>
                    </w:rPr>
                  </w:pPr>
                  <w:r>
                    <w:rPr>
                      <w:rFonts w:hint="eastAsia" w:cs="Times New Roman"/>
                      <w:color w:val="auto"/>
                      <w:kern w:val="0"/>
                      <w:sz w:val="21"/>
                      <w:szCs w:val="21"/>
                      <w:highlight w:val="none"/>
                      <w:lang w:val="en-US" w:eastAsia="zh-CN"/>
                    </w:rPr>
                    <w:t>6.</w:t>
                  </w:r>
                  <w:r>
                    <w:rPr>
                      <w:rFonts w:hint="eastAsia" w:ascii="Times New Roman" w:hAnsi="Times New Roman" w:eastAsia="宋体" w:cs="Times New Roman"/>
                      <w:color w:val="auto"/>
                      <w:kern w:val="0"/>
                      <w:sz w:val="21"/>
                      <w:szCs w:val="21"/>
                      <w:highlight w:val="none"/>
                      <w:lang w:eastAsia="zh-CN"/>
                    </w:rPr>
                    <w:t>复合过程烘箱密闭，保持负压；以上工艺废气均经集气装置收集，送至二级活性炭吸附装置处理；</w:t>
                  </w:r>
                </w:p>
                <w:p w14:paraId="04058BB3">
                  <w:pPr>
                    <w:keepNext w:val="0"/>
                    <w:keepLines w:val="0"/>
                    <w:pageBreakBefore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jc w:val="both"/>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kern w:val="0"/>
                      <w:sz w:val="21"/>
                      <w:szCs w:val="21"/>
                      <w:highlight w:val="none"/>
                      <w:lang w:val="en-US" w:eastAsia="zh-CN"/>
                    </w:rPr>
                    <w:t>7.</w:t>
                  </w:r>
                  <w:r>
                    <w:rPr>
                      <w:rFonts w:hint="eastAsia" w:ascii="Times New Roman" w:hAnsi="Times New Roman" w:eastAsia="宋体" w:cs="Times New Roman"/>
                      <w:color w:val="auto"/>
                      <w:kern w:val="0"/>
                      <w:sz w:val="21"/>
                      <w:szCs w:val="21"/>
                      <w:highlight w:val="none"/>
                      <w:lang w:eastAsia="zh-CN"/>
                    </w:rPr>
                    <w:t>水性油墨、</w:t>
                  </w:r>
                  <w:r>
                    <w:rPr>
                      <w:rFonts w:hint="eastAsia" w:cs="Times New Roman"/>
                      <w:color w:val="auto"/>
                      <w:kern w:val="0"/>
                      <w:sz w:val="21"/>
                      <w:szCs w:val="21"/>
                      <w:highlight w:val="none"/>
                      <w:lang w:eastAsia="zh-CN"/>
                    </w:rPr>
                    <w:t>无水乙醇</w:t>
                  </w:r>
                  <w:r>
                    <w:rPr>
                      <w:rFonts w:hint="eastAsia" w:ascii="Times New Roman" w:hAnsi="Times New Roman" w:eastAsia="宋体" w:cs="Times New Roman"/>
                      <w:color w:val="auto"/>
                      <w:kern w:val="0"/>
                      <w:sz w:val="21"/>
                      <w:szCs w:val="21"/>
                      <w:highlight w:val="none"/>
                      <w:lang w:eastAsia="zh-CN"/>
                    </w:rPr>
                    <w:t>、胶粘剂均密闭储存于室内原料区，无阳光直射；危险废物均</w:t>
                  </w:r>
                  <w:r>
                    <w:rPr>
                      <w:rFonts w:hint="default" w:ascii="Times New Roman" w:hAnsi="Times New Roman" w:eastAsia="宋体" w:cs="Times New Roman"/>
                      <w:color w:val="auto"/>
                      <w:sz w:val="21"/>
                      <w:szCs w:val="21"/>
                      <w:lang w:val="en-US" w:eastAsia="zh-CN"/>
                    </w:rPr>
                    <w:t>分类放置于贴有标识的容器内，加盖密封，存放于</w:t>
                  </w:r>
                  <w:r>
                    <w:rPr>
                      <w:rFonts w:hint="eastAsia" w:ascii="Times New Roman" w:hAnsi="Times New Roman" w:eastAsia="宋体" w:cs="Times New Roman"/>
                      <w:color w:val="auto"/>
                      <w:sz w:val="21"/>
                      <w:szCs w:val="21"/>
                      <w:lang w:val="en-US" w:eastAsia="zh-CN"/>
                    </w:rPr>
                    <w:t>危废间，无阳光直射。</w:t>
                  </w:r>
                </w:p>
              </w:tc>
              <w:tc>
                <w:tcPr>
                  <w:tcW w:w="664" w:type="dxa"/>
                  <w:vMerge w:val="restart"/>
                  <w:tcBorders>
                    <w:tl2br w:val="nil"/>
                    <w:tr2bl w:val="nil"/>
                  </w:tcBorders>
                  <w:noWrap/>
                  <w:vAlign w:val="center"/>
                </w:tcPr>
                <w:p w14:paraId="2438A60E">
                  <w:pPr>
                    <w:keepNext w:val="0"/>
                    <w:keepLines w:val="0"/>
                    <w:pageBreakBefore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226BF5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58" w:type="dxa"/>
                  <w:tcBorders>
                    <w:tl2br w:val="nil"/>
                    <w:tr2bl w:val="nil"/>
                  </w:tcBorders>
                  <w:noWrap/>
                  <w:vAlign w:val="center"/>
                </w:tcPr>
                <w:p w14:paraId="110113F5">
                  <w:pPr>
                    <w:keepNext w:val="0"/>
                    <w:keepLines w:val="0"/>
                    <w:pageBreakBefore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污染治理技术</w:t>
                  </w:r>
                </w:p>
              </w:tc>
              <w:tc>
                <w:tcPr>
                  <w:tcW w:w="3796" w:type="dxa"/>
                  <w:tcBorders>
                    <w:tl2br w:val="nil"/>
                    <w:tr2bl w:val="nil"/>
                  </w:tcBorders>
                  <w:noWrap/>
                  <w:vAlign w:val="center"/>
                </w:tcPr>
                <w:p w14:paraId="3D71F696">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both"/>
                    <w:textAlignment w:val="auto"/>
                    <w:rPr>
                      <w:rFonts w:hint="eastAsia"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en-US" w:bidi="ar-SA"/>
                    </w:rPr>
                    <w:t>1、使用溶剂型原辅材料时，调墨、供墨、涂布(上光)、印刷、覆膜、复合、清洗等工序含VOCs废气采用燃烧、吸附+燃烧、吸附+冷凝回收等治理技术，处理效率≥90%</w:t>
                  </w:r>
                  <w:r>
                    <w:rPr>
                      <w:rFonts w:hint="eastAsia" w:ascii="Times New Roman" w:hAnsi="Times New Roman" w:eastAsia="宋体" w:cs="Times New Roman"/>
                      <w:kern w:val="0"/>
                      <w:sz w:val="21"/>
                      <w:szCs w:val="21"/>
                      <w:lang w:val="en-US" w:eastAsia="zh-CN" w:bidi="ar-SA"/>
                    </w:rPr>
                    <w:t>；</w:t>
                  </w:r>
                </w:p>
                <w:p w14:paraId="15CC7105">
                  <w:pPr>
                    <w:keepNext w:val="0"/>
                    <w:keepLines w:val="0"/>
                    <w:pageBreakBefore w:val="0"/>
                    <w:widowControl/>
                    <w:suppressLineNumbers w:val="0"/>
                    <w:kinsoku/>
                    <w:wordWrap/>
                    <w:overflowPunct/>
                    <w:topLinePunct w:val="0"/>
                    <w:autoSpaceDE/>
                    <w:autoSpaceDN/>
                    <w:bidi w:val="0"/>
                    <w:spacing w:before="0" w:beforeLines="0" w:beforeAutospacing="0" w:after="0" w:afterLines="0" w:afterAutospacing="0" w:line="240" w:lineRule="auto"/>
                    <w:ind w:left="0" w:right="0"/>
                    <w:jc w:val="both"/>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kern w:val="0"/>
                      <w:sz w:val="21"/>
                      <w:szCs w:val="21"/>
                      <w:lang w:val="en-US" w:eastAsia="en-US" w:bidi="ar-SA"/>
                    </w:rPr>
                    <w:t>2、采用平版印刷工艺或使用非溶剂型原辅材料时，当车间或生产设施排气中NMHC初始排放速率≥2kg/h时，建设末端治污设施，处理效率≥80%</w:t>
                  </w:r>
                </w:p>
              </w:tc>
              <w:tc>
                <w:tcPr>
                  <w:tcW w:w="2554" w:type="dxa"/>
                  <w:tcBorders>
                    <w:tl2br w:val="nil"/>
                    <w:tr2bl w:val="nil"/>
                  </w:tcBorders>
                  <w:noWrap/>
                  <w:vAlign w:val="center"/>
                </w:tcPr>
                <w:p w14:paraId="0E992F74">
                  <w:pPr>
                    <w:keepNext w:val="0"/>
                    <w:keepLines w:val="0"/>
                    <w:pageBreakBefore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both"/>
                    <w:textAlignment w:val="auto"/>
                    <w:rPr>
                      <w:rFonts w:hint="eastAsia"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eastAsia="zh-CN"/>
                    </w:rPr>
                    <w:t>项目</w:t>
                  </w:r>
                  <w:r>
                    <w:rPr>
                      <w:rFonts w:hint="eastAsia" w:cs="Times New Roman"/>
                      <w:color w:val="auto"/>
                      <w:kern w:val="0"/>
                      <w:sz w:val="21"/>
                      <w:szCs w:val="21"/>
                      <w:highlight w:val="none"/>
                      <w:lang w:eastAsia="zh-CN"/>
                    </w:rPr>
                    <w:t>使用水性油墨和非溶剂型胶粘剂，</w:t>
                  </w:r>
                  <w:r>
                    <w:rPr>
                      <w:rFonts w:hint="eastAsia" w:ascii="Times New Roman" w:hAnsi="Times New Roman" w:eastAsia="宋体" w:cs="Times New Roman"/>
                      <w:color w:val="auto"/>
                      <w:kern w:val="0"/>
                      <w:sz w:val="21"/>
                      <w:szCs w:val="21"/>
                      <w:highlight w:val="none"/>
                      <w:lang w:eastAsia="zh-CN"/>
                    </w:rPr>
                    <w:t>产生的</w:t>
                  </w:r>
                  <w:r>
                    <w:rPr>
                      <w:rFonts w:hint="default" w:ascii="Times New Roman" w:hAnsi="Times New Roman" w:eastAsia="宋体" w:cs="Times New Roman"/>
                      <w:color w:val="auto"/>
                      <w:sz w:val="21"/>
                      <w:szCs w:val="21"/>
                    </w:rPr>
                    <w:t>VOCs废气</w:t>
                  </w:r>
                  <w:r>
                    <w:rPr>
                      <w:rFonts w:hint="eastAsia" w:ascii="Times New Roman" w:hAnsi="Times New Roman" w:eastAsia="宋体" w:cs="Times New Roman"/>
                      <w:color w:val="auto"/>
                      <w:sz w:val="21"/>
                      <w:szCs w:val="21"/>
                      <w:lang w:eastAsia="zh-CN"/>
                    </w:rPr>
                    <w:t>经收集均送至二级</w:t>
                  </w:r>
                  <w:r>
                    <w:rPr>
                      <w:rFonts w:hint="eastAsia" w:ascii="Times New Roman" w:hAnsi="Times New Roman" w:eastAsia="宋体" w:cs="Times New Roman"/>
                      <w:snapToGrid w:val="0"/>
                      <w:color w:val="auto"/>
                      <w:sz w:val="21"/>
                      <w:szCs w:val="21"/>
                      <w:lang w:val="en-US" w:eastAsia="zh-CN"/>
                    </w:rPr>
                    <w:t>活性炭吸附装置处理，</w:t>
                  </w:r>
                  <w:r>
                    <w:rPr>
                      <w:rFonts w:hint="default" w:ascii="Times New Roman" w:hAnsi="Times New Roman" w:cs="Times New Roman"/>
                      <w:snapToGrid w:val="0"/>
                      <w:color w:val="auto"/>
                      <w:sz w:val="21"/>
                      <w:szCs w:val="21"/>
                    </w:rPr>
                    <w:t>经15</w:t>
                  </w:r>
                  <w:r>
                    <w:rPr>
                      <w:rFonts w:hint="eastAsia" w:ascii="Times New Roman" w:hAnsi="Times New Roman" w:cs="Times New Roman"/>
                      <w:snapToGrid w:val="0"/>
                      <w:color w:val="auto"/>
                      <w:sz w:val="21"/>
                      <w:szCs w:val="21"/>
                      <w:lang w:val="en-US" w:eastAsia="zh-CN"/>
                    </w:rPr>
                    <w:t>m</w:t>
                  </w:r>
                  <w:r>
                    <w:rPr>
                      <w:rFonts w:hint="default" w:ascii="Times New Roman" w:hAnsi="Times New Roman" w:cs="Times New Roman"/>
                      <w:snapToGrid w:val="0"/>
                      <w:color w:val="auto"/>
                      <w:sz w:val="21"/>
                      <w:szCs w:val="21"/>
                    </w:rPr>
                    <w:t>排气筒排放</w:t>
                  </w:r>
                  <w:r>
                    <w:rPr>
                      <w:rFonts w:hint="eastAsia" w:cs="Times New Roman"/>
                      <w:snapToGrid w:val="0"/>
                      <w:color w:val="auto"/>
                      <w:sz w:val="21"/>
                      <w:szCs w:val="21"/>
                      <w:lang w:eastAsia="zh-CN"/>
                    </w:rPr>
                    <w:t>，非甲烷总烃初始排放速率</w:t>
                  </w:r>
                  <w:r>
                    <w:rPr>
                      <w:rFonts w:hint="eastAsia" w:ascii="微软雅黑" w:hAnsi="微软雅黑" w:eastAsia="微软雅黑" w:cs="微软雅黑"/>
                      <w:snapToGrid w:val="0"/>
                      <w:color w:val="auto"/>
                      <w:sz w:val="21"/>
                      <w:szCs w:val="21"/>
                      <w:lang w:val="en-US" w:eastAsia="zh-CN"/>
                    </w:rPr>
                    <w:t>&lt;</w:t>
                  </w:r>
                  <w:r>
                    <w:rPr>
                      <w:rFonts w:hint="eastAsia" w:cs="Times New Roman"/>
                      <w:snapToGrid w:val="0"/>
                      <w:color w:val="auto"/>
                      <w:sz w:val="21"/>
                      <w:szCs w:val="21"/>
                      <w:lang w:val="en-US" w:eastAsia="zh-CN"/>
                    </w:rPr>
                    <w:t>2kg/h</w:t>
                  </w:r>
                  <w:r>
                    <w:rPr>
                      <w:rFonts w:hint="eastAsia" w:ascii="Times New Roman" w:hAnsi="Times New Roman" w:eastAsia="宋体" w:cs="Times New Roman"/>
                      <w:color w:val="auto"/>
                      <w:sz w:val="21"/>
                      <w:szCs w:val="21"/>
                      <w:lang w:eastAsia="zh-CN"/>
                    </w:rPr>
                    <w:t>。</w:t>
                  </w:r>
                </w:p>
              </w:tc>
              <w:tc>
                <w:tcPr>
                  <w:tcW w:w="664" w:type="dxa"/>
                  <w:vMerge w:val="continue"/>
                  <w:tcBorders>
                    <w:tl2br w:val="nil"/>
                    <w:tr2bl w:val="nil"/>
                  </w:tcBorders>
                  <w:noWrap/>
                  <w:vAlign w:val="center"/>
                </w:tcPr>
                <w:p w14:paraId="42208FB3">
                  <w:pPr>
                    <w:keepNext w:val="0"/>
                    <w:keepLines w:val="0"/>
                    <w:pageBreakBefore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color w:val="auto"/>
                      <w:sz w:val="21"/>
                      <w:szCs w:val="21"/>
                      <w:highlight w:val="none"/>
                    </w:rPr>
                  </w:pPr>
                </w:p>
              </w:tc>
            </w:tr>
            <w:tr w14:paraId="3625F2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58" w:type="dxa"/>
                  <w:tcBorders>
                    <w:tl2br w:val="nil"/>
                    <w:tr2bl w:val="nil"/>
                  </w:tcBorders>
                  <w:noWrap/>
                  <w:vAlign w:val="center"/>
                </w:tcPr>
                <w:p w14:paraId="2A888BDF">
                  <w:pPr>
                    <w:keepNext w:val="0"/>
                    <w:keepLines w:val="0"/>
                    <w:pageBreakBefore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排放限值</w:t>
                  </w:r>
                </w:p>
              </w:tc>
              <w:tc>
                <w:tcPr>
                  <w:tcW w:w="3796" w:type="dxa"/>
                  <w:tcBorders>
                    <w:tl2br w:val="nil"/>
                    <w:tr2bl w:val="nil"/>
                  </w:tcBorders>
                  <w:noWrap/>
                  <w:vAlign w:val="center"/>
                </w:tcPr>
                <w:p w14:paraId="1203FEB2">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both"/>
                    <w:textAlignment w:val="auto"/>
                    <w:rPr>
                      <w:rFonts w:hint="eastAsia"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en-US" w:bidi="ar-SA"/>
                    </w:rPr>
                    <w:t>1、在连续一年的监测数据中，车间或生产设施排气筒排放的NMHC为20-30mg/m</w:t>
                  </w:r>
                  <w:r>
                    <w:rPr>
                      <w:rFonts w:hint="eastAsia" w:ascii="Times New Roman" w:hAnsi="Times New Roman" w:eastAsia="宋体" w:cs="Times New Roman"/>
                      <w:kern w:val="0"/>
                      <w:sz w:val="21"/>
                      <w:szCs w:val="21"/>
                      <w:vertAlign w:val="superscript"/>
                      <w:lang w:val="en-US" w:eastAsia="zh-CN" w:bidi="ar-SA"/>
                    </w:rPr>
                    <w:t>3</w:t>
                  </w:r>
                  <w:r>
                    <w:rPr>
                      <w:rFonts w:hint="default" w:ascii="Times New Roman" w:hAnsi="Times New Roman" w:eastAsia="宋体" w:cs="Times New Roman"/>
                      <w:kern w:val="0"/>
                      <w:sz w:val="21"/>
                      <w:szCs w:val="21"/>
                      <w:lang w:val="en-US" w:eastAsia="en-US" w:bidi="ar-SA"/>
                    </w:rPr>
                    <w:t>、TVOC为40-50mg/m</w:t>
                  </w:r>
                  <w:r>
                    <w:rPr>
                      <w:rFonts w:hint="eastAsia" w:ascii="Times New Roman" w:hAnsi="Times New Roman" w:eastAsia="宋体" w:cs="Times New Roman"/>
                      <w:kern w:val="0"/>
                      <w:sz w:val="21"/>
                      <w:szCs w:val="21"/>
                      <w:vertAlign w:val="superscript"/>
                      <w:lang w:val="en-US" w:eastAsia="zh-CN" w:bidi="ar-SA"/>
                    </w:rPr>
                    <w:t>3</w:t>
                  </w:r>
                  <w:r>
                    <w:rPr>
                      <w:rFonts w:hint="eastAsia" w:ascii="Times New Roman" w:hAnsi="Times New Roman" w:eastAsia="宋体" w:cs="Times New Roman"/>
                      <w:kern w:val="0"/>
                      <w:sz w:val="21"/>
                      <w:szCs w:val="21"/>
                      <w:lang w:val="en-US" w:eastAsia="zh-CN" w:bidi="ar-SA"/>
                    </w:rPr>
                    <w:t>；</w:t>
                  </w:r>
                </w:p>
                <w:p w14:paraId="5B90B72B">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both"/>
                    <w:textAlignment w:val="auto"/>
                    <w:rPr>
                      <w:rFonts w:hint="eastAsia"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en-US" w:bidi="ar-SA"/>
                    </w:rPr>
                    <w:t>2、厂区内无组织排放监控点NMHC的1h平均浓度值不高于6mg/m</w:t>
                  </w:r>
                  <w:r>
                    <w:rPr>
                      <w:rFonts w:hint="eastAsia" w:ascii="Times New Roman" w:hAnsi="Times New Roman" w:eastAsia="宋体" w:cs="Times New Roman"/>
                      <w:kern w:val="0"/>
                      <w:sz w:val="21"/>
                      <w:szCs w:val="21"/>
                      <w:vertAlign w:val="superscript"/>
                      <w:lang w:val="en-US" w:eastAsia="zh-CN" w:bidi="ar-SA"/>
                    </w:rPr>
                    <w:t>3</w:t>
                  </w:r>
                  <w:r>
                    <w:rPr>
                      <w:rFonts w:hint="default" w:ascii="Times New Roman" w:hAnsi="Times New Roman" w:eastAsia="宋体" w:cs="Times New Roman"/>
                      <w:kern w:val="0"/>
                      <w:sz w:val="21"/>
                      <w:szCs w:val="21"/>
                      <w:lang w:val="en-US" w:eastAsia="en-US" w:bidi="ar-SA"/>
                    </w:rPr>
                    <w:t>、任意一次浓度值不高于20mg/m</w:t>
                  </w:r>
                  <w:r>
                    <w:rPr>
                      <w:rFonts w:hint="default" w:ascii="Times New Roman" w:hAnsi="Times New Roman" w:eastAsia="宋体" w:cs="Times New Roman"/>
                      <w:kern w:val="0"/>
                      <w:sz w:val="21"/>
                      <w:szCs w:val="21"/>
                      <w:vertAlign w:val="superscript"/>
                      <w:lang w:val="en-US" w:eastAsia="en-US" w:bidi="ar-SA"/>
                    </w:rPr>
                    <w:t>3</w:t>
                  </w:r>
                  <w:r>
                    <w:rPr>
                      <w:rFonts w:hint="eastAsia" w:ascii="Times New Roman" w:hAnsi="Times New Roman" w:eastAsia="宋体" w:cs="Times New Roman"/>
                      <w:kern w:val="0"/>
                      <w:sz w:val="21"/>
                      <w:szCs w:val="21"/>
                      <w:lang w:val="en-US" w:eastAsia="zh-CN" w:bidi="ar-SA"/>
                    </w:rPr>
                    <w:t>；</w:t>
                  </w:r>
                </w:p>
                <w:p w14:paraId="6E3BAEBB">
                  <w:pPr>
                    <w:keepNext w:val="0"/>
                    <w:keepLines w:val="0"/>
                    <w:pageBreakBefore w:val="0"/>
                    <w:widowControl/>
                    <w:suppressLineNumbers w:val="0"/>
                    <w:kinsoku/>
                    <w:wordWrap/>
                    <w:overflowPunct/>
                    <w:topLinePunct w:val="0"/>
                    <w:autoSpaceDE/>
                    <w:autoSpaceDN/>
                    <w:bidi w:val="0"/>
                    <w:spacing w:before="0" w:beforeLines="0" w:beforeAutospacing="0" w:after="0" w:afterLines="0" w:afterAutospacing="0" w:line="240" w:lineRule="auto"/>
                    <w:ind w:left="0" w:right="0"/>
                    <w:jc w:val="both"/>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kern w:val="0"/>
                      <w:sz w:val="21"/>
                      <w:szCs w:val="21"/>
                      <w:lang w:val="en-US" w:eastAsia="en-US" w:bidi="ar-SA"/>
                    </w:rPr>
                    <w:t>3、其他各项污染物稳定达到现行排放控制要求，并从严地方要求</w:t>
                  </w:r>
                </w:p>
              </w:tc>
              <w:tc>
                <w:tcPr>
                  <w:tcW w:w="2554" w:type="dxa"/>
                  <w:tcBorders>
                    <w:tl2br w:val="nil"/>
                    <w:tr2bl w:val="nil"/>
                  </w:tcBorders>
                  <w:noWrap/>
                  <w:vAlign w:val="center"/>
                </w:tcPr>
                <w:p w14:paraId="5EC5C7B6">
                  <w:pPr>
                    <w:keepNext w:val="0"/>
                    <w:keepLines w:val="0"/>
                    <w:pageBreakBefore w:val="0"/>
                    <w:suppressLineNumbers w:val="0"/>
                    <w:kinsoku/>
                    <w:wordWrap/>
                    <w:overflowPunct/>
                    <w:topLinePunct w:val="0"/>
                    <w:autoSpaceDE/>
                    <w:autoSpaceDN/>
                    <w:bidi w:val="0"/>
                    <w:adjustRightInd w:val="0"/>
                    <w:snapToGrid/>
                    <w:spacing w:before="0" w:beforeLines="0" w:beforeAutospacing="0" w:after="0" w:afterLines="0" w:afterAutospacing="0" w:line="240" w:lineRule="auto"/>
                    <w:ind w:left="0" w:right="0"/>
                    <w:jc w:val="both"/>
                    <w:textAlignment w:val="auto"/>
                    <w:rPr>
                      <w:rFonts w:hint="default" w:ascii="Times New Roman" w:hAnsi="Times New Roman" w:eastAsia="宋体" w:cs="Times New Roman"/>
                      <w:color w:val="auto"/>
                      <w:kern w:val="2"/>
                      <w:sz w:val="21"/>
                      <w:szCs w:val="21"/>
                      <w:highlight w:val="none"/>
                      <w:vertAlign w:val="superscript"/>
                      <w:lang w:val="en-US" w:eastAsia="zh-CN" w:bidi="ar-SA"/>
                    </w:rPr>
                  </w:pPr>
                  <w:r>
                    <w:rPr>
                      <w:rFonts w:hint="default" w:ascii="Times New Roman" w:hAnsi="Times New Roman" w:eastAsia="宋体" w:cs="Times New Roman"/>
                      <w:color w:val="auto"/>
                      <w:kern w:val="2"/>
                      <w:sz w:val="21"/>
                      <w:szCs w:val="21"/>
                      <w:highlight w:val="none"/>
                      <w:lang w:val="en-US" w:eastAsia="zh-CN" w:bidi="ar-SA"/>
                    </w:rPr>
                    <w:t>1.经预测排气筒DA00</w:t>
                  </w:r>
                  <w:r>
                    <w:rPr>
                      <w:rFonts w:hint="eastAsia" w:ascii="Times New Roman" w:hAnsi="Times New Roman" w:eastAsia="宋体" w:cs="Times New Roman"/>
                      <w:color w:val="auto"/>
                      <w:kern w:val="2"/>
                      <w:sz w:val="21"/>
                      <w:szCs w:val="21"/>
                      <w:highlight w:val="none"/>
                      <w:lang w:val="en-US" w:eastAsia="zh-CN" w:bidi="ar-SA"/>
                    </w:rPr>
                    <w:t>1</w:t>
                  </w:r>
                  <w:r>
                    <w:rPr>
                      <w:rFonts w:hint="default" w:ascii="Times New Roman" w:hAnsi="Times New Roman" w:eastAsia="宋体" w:cs="Times New Roman"/>
                      <w:color w:val="auto"/>
                      <w:kern w:val="2"/>
                      <w:sz w:val="21"/>
                      <w:szCs w:val="21"/>
                      <w:highlight w:val="none"/>
                      <w:lang w:val="en-US" w:eastAsia="zh-CN" w:bidi="ar-SA"/>
                    </w:rPr>
                    <w:t>的非甲烷总烃浓度</w:t>
                  </w:r>
                  <w:r>
                    <w:rPr>
                      <w:rFonts w:hint="eastAsia" w:ascii="Times New Roman" w:hAnsi="Times New Roman" w:eastAsia="宋体" w:cs="Times New Roman"/>
                      <w:color w:val="auto"/>
                      <w:kern w:val="2"/>
                      <w:sz w:val="21"/>
                      <w:szCs w:val="21"/>
                      <w:highlight w:val="none"/>
                      <w:lang w:val="en-US" w:eastAsia="zh-CN" w:bidi="ar-SA"/>
                    </w:rPr>
                    <w:t>为</w:t>
                  </w:r>
                  <w:r>
                    <w:rPr>
                      <w:rFonts w:hint="eastAsia" w:cs="Times New Roman"/>
                      <w:color w:val="auto"/>
                      <w:kern w:val="2"/>
                      <w:sz w:val="21"/>
                      <w:szCs w:val="21"/>
                      <w:highlight w:val="none"/>
                      <w:lang w:val="en-US" w:eastAsia="zh-CN" w:bidi="ar-SA"/>
                    </w:rPr>
                    <w:t>2.194</w:t>
                  </w:r>
                  <w:r>
                    <w:rPr>
                      <w:rFonts w:hint="default" w:ascii="Times New Roman" w:hAnsi="Times New Roman" w:eastAsia="宋体" w:cs="Times New Roman"/>
                      <w:color w:val="auto"/>
                      <w:kern w:val="2"/>
                      <w:sz w:val="21"/>
                      <w:szCs w:val="21"/>
                      <w:highlight w:val="none"/>
                      <w:lang w:val="en-US" w:eastAsia="zh-CN" w:bidi="ar-SA"/>
                    </w:rPr>
                    <w:t>mg/m</w:t>
                  </w:r>
                  <w:r>
                    <w:rPr>
                      <w:rFonts w:hint="default" w:ascii="Times New Roman" w:hAnsi="Times New Roman" w:eastAsia="宋体" w:cs="Times New Roman"/>
                      <w:color w:val="auto"/>
                      <w:kern w:val="2"/>
                      <w:sz w:val="21"/>
                      <w:szCs w:val="21"/>
                      <w:highlight w:val="none"/>
                      <w:vertAlign w:val="superscript"/>
                      <w:lang w:val="en-US" w:eastAsia="zh-CN" w:bidi="ar-SA"/>
                    </w:rPr>
                    <w:t>3</w:t>
                  </w:r>
                  <w:r>
                    <w:rPr>
                      <w:rFonts w:hint="eastAsia" w:ascii="Times New Roman" w:hAnsi="Times New Roman" w:eastAsia="宋体" w:cs="Times New Roman"/>
                      <w:color w:val="auto"/>
                      <w:kern w:val="2"/>
                      <w:sz w:val="21"/>
                      <w:szCs w:val="21"/>
                      <w:highlight w:val="none"/>
                      <w:vertAlign w:val="baseline"/>
                      <w:lang w:val="en-US" w:eastAsia="zh-CN" w:bidi="ar-SA"/>
                    </w:rPr>
                    <w:t>，</w:t>
                  </w:r>
                  <w:r>
                    <w:rPr>
                      <w:rFonts w:hint="eastAsia" w:ascii="Times New Roman" w:hAnsi="Times New Roman" w:eastAsia="宋体" w:cs="Times New Roman"/>
                      <w:color w:val="auto"/>
                      <w:kern w:val="2"/>
                      <w:sz w:val="21"/>
                      <w:szCs w:val="21"/>
                      <w:highlight w:val="none"/>
                      <w:lang w:val="en-US" w:eastAsia="zh-CN" w:bidi="ar-SA"/>
                    </w:rPr>
                    <w:t>DA00</w:t>
                  </w:r>
                  <w:r>
                    <w:rPr>
                      <w:rFonts w:hint="eastAsia" w:ascii="Times New Roman" w:hAnsi="Times New Roman" w:cs="Times New Roman"/>
                      <w:color w:val="auto"/>
                      <w:kern w:val="2"/>
                      <w:sz w:val="21"/>
                      <w:szCs w:val="21"/>
                      <w:highlight w:val="none"/>
                      <w:lang w:val="en-US" w:eastAsia="zh-CN" w:bidi="ar-SA"/>
                    </w:rPr>
                    <w:t>2</w:t>
                  </w:r>
                  <w:r>
                    <w:rPr>
                      <w:rFonts w:hint="default" w:ascii="Times New Roman" w:hAnsi="Times New Roman" w:eastAsia="宋体" w:cs="Times New Roman"/>
                      <w:color w:val="auto"/>
                      <w:kern w:val="2"/>
                      <w:sz w:val="21"/>
                      <w:szCs w:val="21"/>
                      <w:highlight w:val="none"/>
                      <w:lang w:val="en-US" w:eastAsia="zh-CN" w:bidi="ar-SA"/>
                    </w:rPr>
                    <w:t>的非甲烷总烃浓度</w:t>
                  </w:r>
                  <w:r>
                    <w:rPr>
                      <w:rFonts w:hint="eastAsia" w:ascii="Times New Roman" w:hAnsi="Times New Roman" w:eastAsia="宋体" w:cs="Times New Roman"/>
                      <w:color w:val="auto"/>
                      <w:kern w:val="2"/>
                      <w:sz w:val="21"/>
                      <w:szCs w:val="21"/>
                      <w:highlight w:val="none"/>
                      <w:lang w:val="en-US" w:eastAsia="zh-CN" w:bidi="ar-SA"/>
                    </w:rPr>
                    <w:t>为</w:t>
                  </w:r>
                  <w:r>
                    <w:rPr>
                      <w:rFonts w:hint="eastAsia" w:cs="Times New Roman"/>
                      <w:color w:val="auto"/>
                      <w:kern w:val="2"/>
                      <w:sz w:val="21"/>
                      <w:szCs w:val="21"/>
                      <w:highlight w:val="none"/>
                      <w:lang w:val="en-US" w:eastAsia="zh-CN" w:bidi="ar-SA"/>
                    </w:rPr>
                    <w:t>2.462</w:t>
                  </w:r>
                  <w:r>
                    <w:rPr>
                      <w:rFonts w:hint="default" w:ascii="Times New Roman" w:hAnsi="Times New Roman" w:eastAsia="宋体" w:cs="Times New Roman"/>
                      <w:color w:val="auto"/>
                      <w:kern w:val="2"/>
                      <w:sz w:val="21"/>
                      <w:szCs w:val="21"/>
                      <w:highlight w:val="none"/>
                      <w:lang w:val="en-US" w:eastAsia="zh-CN" w:bidi="ar-SA"/>
                    </w:rPr>
                    <w:t>mg/m</w:t>
                  </w:r>
                  <w:r>
                    <w:rPr>
                      <w:rFonts w:hint="default" w:ascii="Times New Roman" w:hAnsi="Times New Roman" w:eastAsia="宋体" w:cs="Times New Roman"/>
                      <w:color w:val="auto"/>
                      <w:kern w:val="2"/>
                      <w:sz w:val="21"/>
                      <w:szCs w:val="21"/>
                      <w:highlight w:val="none"/>
                      <w:vertAlign w:val="superscript"/>
                      <w:lang w:val="en-US" w:eastAsia="zh-CN" w:bidi="ar-SA"/>
                    </w:rPr>
                    <w:t>3</w:t>
                  </w:r>
                  <w:r>
                    <w:rPr>
                      <w:rFonts w:hint="eastAsia" w:ascii="Times New Roman" w:hAnsi="Times New Roman" w:eastAsia="宋体" w:cs="Times New Roman"/>
                      <w:color w:val="auto"/>
                      <w:kern w:val="2"/>
                      <w:sz w:val="21"/>
                      <w:szCs w:val="21"/>
                      <w:highlight w:val="none"/>
                      <w:vertAlign w:val="baseline"/>
                      <w:lang w:val="en-US" w:eastAsia="zh-CN" w:bidi="ar-SA"/>
                    </w:rPr>
                    <w:t>，</w:t>
                  </w:r>
                  <w:r>
                    <w:rPr>
                      <w:rFonts w:hint="eastAsia" w:ascii="Times New Roman" w:hAnsi="Times New Roman" w:eastAsia="宋体" w:cs="Times New Roman"/>
                      <w:color w:val="auto"/>
                      <w:kern w:val="2"/>
                      <w:sz w:val="21"/>
                      <w:szCs w:val="21"/>
                      <w:highlight w:val="none"/>
                      <w:lang w:val="en-US" w:eastAsia="zh-CN" w:bidi="ar-SA"/>
                    </w:rPr>
                    <w:t>DA00</w:t>
                  </w:r>
                  <w:r>
                    <w:rPr>
                      <w:rFonts w:hint="eastAsia" w:ascii="Times New Roman" w:hAnsi="Times New Roman" w:cs="Times New Roman"/>
                      <w:color w:val="auto"/>
                      <w:kern w:val="2"/>
                      <w:sz w:val="21"/>
                      <w:szCs w:val="21"/>
                      <w:highlight w:val="none"/>
                      <w:lang w:val="en-US" w:eastAsia="zh-CN" w:bidi="ar-SA"/>
                    </w:rPr>
                    <w:t>3</w:t>
                  </w:r>
                  <w:r>
                    <w:rPr>
                      <w:rFonts w:hint="default" w:ascii="Times New Roman" w:hAnsi="Times New Roman" w:eastAsia="宋体" w:cs="Times New Roman"/>
                      <w:color w:val="auto"/>
                      <w:kern w:val="2"/>
                      <w:sz w:val="21"/>
                      <w:szCs w:val="21"/>
                      <w:highlight w:val="none"/>
                      <w:lang w:val="en-US" w:eastAsia="zh-CN" w:bidi="ar-SA"/>
                    </w:rPr>
                    <w:t>的非甲烷总烃浓度</w:t>
                  </w:r>
                  <w:r>
                    <w:rPr>
                      <w:rFonts w:hint="eastAsia" w:ascii="Times New Roman" w:hAnsi="Times New Roman" w:eastAsia="宋体" w:cs="Times New Roman"/>
                      <w:color w:val="auto"/>
                      <w:kern w:val="2"/>
                      <w:sz w:val="21"/>
                      <w:szCs w:val="21"/>
                      <w:highlight w:val="none"/>
                      <w:lang w:val="en-US" w:eastAsia="zh-CN" w:bidi="ar-SA"/>
                    </w:rPr>
                    <w:t>为</w:t>
                  </w:r>
                  <w:r>
                    <w:rPr>
                      <w:rFonts w:hint="eastAsia" w:cs="Times New Roman"/>
                      <w:color w:val="auto"/>
                      <w:kern w:val="2"/>
                      <w:sz w:val="21"/>
                      <w:szCs w:val="21"/>
                      <w:highlight w:val="none"/>
                      <w:lang w:val="en-US" w:eastAsia="zh-CN" w:bidi="ar-SA"/>
                    </w:rPr>
                    <w:t>1.380</w:t>
                  </w:r>
                  <w:r>
                    <w:rPr>
                      <w:rFonts w:hint="default" w:ascii="Times New Roman" w:hAnsi="Times New Roman" w:eastAsia="宋体" w:cs="Times New Roman"/>
                      <w:color w:val="auto"/>
                      <w:kern w:val="2"/>
                      <w:sz w:val="21"/>
                      <w:szCs w:val="21"/>
                      <w:highlight w:val="none"/>
                      <w:lang w:val="en-US" w:eastAsia="zh-CN" w:bidi="ar-SA"/>
                    </w:rPr>
                    <w:t>mg/m</w:t>
                  </w:r>
                  <w:r>
                    <w:rPr>
                      <w:rFonts w:hint="default" w:ascii="Times New Roman" w:hAnsi="Times New Roman" w:eastAsia="宋体" w:cs="Times New Roman"/>
                      <w:color w:val="auto"/>
                      <w:kern w:val="2"/>
                      <w:sz w:val="21"/>
                      <w:szCs w:val="21"/>
                      <w:highlight w:val="none"/>
                      <w:vertAlign w:val="superscript"/>
                      <w:lang w:val="en-US" w:eastAsia="zh-CN" w:bidi="ar-SA"/>
                    </w:rPr>
                    <w:t>3</w:t>
                  </w:r>
                  <w:r>
                    <w:rPr>
                      <w:rFonts w:hint="eastAsia" w:ascii="Times New Roman" w:hAnsi="Times New Roman" w:eastAsia="宋体" w:cs="Times New Roman"/>
                      <w:color w:val="auto"/>
                      <w:kern w:val="2"/>
                      <w:sz w:val="21"/>
                      <w:szCs w:val="21"/>
                      <w:highlight w:val="none"/>
                      <w:vertAlign w:val="baseline"/>
                      <w:lang w:val="en-US" w:eastAsia="zh-CN" w:bidi="ar-SA"/>
                    </w:rPr>
                    <w:t>；</w:t>
                  </w:r>
                </w:p>
                <w:p w14:paraId="494B2EC9">
                  <w:pPr>
                    <w:keepNext w:val="0"/>
                    <w:keepLines w:val="0"/>
                    <w:pageBreakBefore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jc w:val="both"/>
                    <w:textAlignment w:val="auto"/>
                    <w:rPr>
                      <w:rFonts w:hint="default" w:ascii="Times New Roman" w:hAnsi="Times New Roman" w:eastAsia="宋体" w:cs="Times New Roman"/>
                      <w:color w:val="auto"/>
                      <w:kern w:val="0"/>
                      <w:sz w:val="21"/>
                      <w:szCs w:val="21"/>
                      <w:highlight w:val="none"/>
                      <w:vertAlign w:val="baseline"/>
                      <w:lang w:eastAsia="zh-CN"/>
                    </w:rPr>
                  </w:pPr>
                  <w:r>
                    <w:rPr>
                      <w:rFonts w:hint="default" w:ascii="Times New Roman" w:hAnsi="Times New Roman" w:eastAsia="宋体" w:cs="Times New Roman"/>
                      <w:color w:val="auto"/>
                      <w:kern w:val="2"/>
                      <w:sz w:val="21"/>
                      <w:szCs w:val="21"/>
                      <w:highlight w:val="none"/>
                      <w:lang w:val="en-US" w:eastAsia="zh-CN" w:bidi="ar-SA"/>
                    </w:rPr>
                    <w:t>2.经预测</w:t>
                  </w:r>
                  <w:r>
                    <w:rPr>
                      <w:rFonts w:hint="default" w:ascii="Times New Roman" w:hAnsi="Times New Roman" w:eastAsia="宋体" w:cs="Times New Roman"/>
                      <w:color w:val="auto"/>
                      <w:kern w:val="0"/>
                      <w:sz w:val="21"/>
                      <w:szCs w:val="21"/>
                      <w:highlight w:val="none"/>
                    </w:rPr>
                    <w:t>厂区内无组织排放监控点NMHC的小时平均浓度值</w:t>
                  </w:r>
                  <w:r>
                    <w:rPr>
                      <w:rFonts w:hint="default" w:ascii="Times New Roman" w:hAnsi="Times New Roman" w:eastAsia="宋体" w:cs="Times New Roman"/>
                      <w:color w:val="auto"/>
                      <w:kern w:val="0"/>
                      <w:sz w:val="21"/>
                      <w:szCs w:val="21"/>
                      <w:highlight w:val="none"/>
                      <w:lang w:eastAsia="zh-CN"/>
                    </w:rPr>
                    <w:t>低于</w:t>
                  </w:r>
                  <w:r>
                    <w:rPr>
                      <w:rFonts w:hint="default" w:ascii="Times New Roman" w:hAnsi="Times New Roman" w:eastAsia="宋体" w:cs="Times New Roman"/>
                      <w:color w:val="auto"/>
                      <w:kern w:val="0"/>
                      <w:sz w:val="21"/>
                      <w:szCs w:val="21"/>
                      <w:highlight w:val="none"/>
                    </w:rPr>
                    <w:t>6mg/m</w:t>
                  </w:r>
                  <w:r>
                    <w:rPr>
                      <w:rFonts w:hint="default" w:ascii="Times New Roman" w:hAnsi="Times New Roman" w:eastAsia="宋体" w:cs="Times New Roman"/>
                      <w:color w:val="auto"/>
                      <w:kern w:val="0"/>
                      <w:sz w:val="21"/>
                      <w:szCs w:val="21"/>
                      <w:highlight w:val="none"/>
                      <w:vertAlign w:val="superscript"/>
                    </w:rPr>
                    <w:t>3</w:t>
                  </w:r>
                  <w:r>
                    <w:rPr>
                      <w:rFonts w:hint="default" w:ascii="Times New Roman" w:hAnsi="Times New Roman" w:eastAsia="宋体" w:cs="Times New Roman"/>
                      <w:color w:val="auto"/>
                      <w:kern w:val="0"/>
                      <w:sz w:val="21"/>
                      <w:szCs w:val="21"/>
                      <w:highlight w:val="none"/>
                    </w:rPr>
                    <w:t>、任意一次浓度值</w:t>
                  </w:r>
                  <w:r>
                    <w:rPr>
                      <w:rFonts w:hint="default" w:ascii="Times New Roman" w:hAnsi="Times New Roman" w:eastAsia="宋体" w:cs="Times New Roman"/>
                      <w:color w:val="auto"/>
                      <w:kern w:val="0"/>
                      <w:sz w:val="21"/>
                      <w:szCs w:val="21"/>
                      <w:highlight w:val="none"/>
                      <w:lang w:eastAsia="zh-CN"/>
                    </w:rPr>
                    <w:t>低于</w:t>
                  </w:r>
                  <w:r>
                    <w:rPr>
                      <w:rFonts w:hint="default" w:ascii="Times New Roman" w:hAnsi="Times New Roman" w:eastAsia="宋体" w:cs="Times New Roman"/>
                      <w:color w:val="auto"/>
                      <w:kern w:val="0"/>
                      <w:sz w:val="21"/>
                      <w:szCs w:val="21"/>
                      <w:highlight w:val="none"/>
                    </w:rPr>
                    <w:t>20mg/m</w:t>
                  </w:r>
                  <w:r>
                    <w:rPr>
                      <w:rFonts w:hint="default" w:ascii="Times New Roman" w:hAnsi="Times New Roman" w:eastAsia="宋体" w:cs="Times New Roman"/>
                      <w:color w:val="auto"/>
                      <w:kern w:val="0"/>
                      <w:sz w:val="21"/>
                      <w:szCs w:val="21"/>
                      <w:highlight w:val="none"/>
                      <w:vertAlign w:val="superscript"/>
                    </w:rPr>
                    <w:t>3</w:t>
                  </w:r>
                  <w:r>
                    <w:rPr>
                      <w:rFonts w:hint="default" w:ascii="Times New Roman" w:hAnsi="Times New Roman" w:eastAsia="宋体" w:cs="Times New Roman"/>
                      <w:color w:val="auto"/>
                      <w:kern w:val="0"/>
                      <w:sz w:val="21"/>
                      <w:szCs w:val="21"/>
                      <w:highlight w:val="none"/>
                      <w:vertAlign w:val="baseline"/>
                      <w:lang w:eastAsia="zh-CN"/>
                    </w:rPr>
                    <w:t>；</w:t>
                  </w:r>
                </w:p>
                <w:p w14:paraId="6ADA4312">
                  <w:pPr>
                    <w:keepNext w:val="0"/>
                    <w:keepLines w:val="0"/>
                    <w:pageBreakBefore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jc w:val="both"/>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kern w:val="0"/>
                      <w:sz w:val="21"/>
                      <w:szCs w:val="21"/>
                      <w:highlight w:val="none"/>
                      <w:vertAlign w:val="baseline"/>
                      <w:lang w:val="en-US" w:eastAsia="zh-CN"/>
                    </w:rPr>
                    <w:t>3.项目废气均达标排放</w:t>
                  </w:r>
                  <w:r>
                    <w:rPr>
                      <w:rFonts w:hint="eastAsia" w:ascii="Times New Roman" w:hAnsi="Times New Roman" w:cs="Times New Roman"/>
                      <w:color w:val="auto"/>
                      <w:kern w:val="0"/>
                      <w:sz w:val="21"/>
                      <w:szCs w:val="21"/>
                      <w:highlight w:val="none"/>
                      <w:vertAlign w:val="baseline"/>
                      <w:lang w:val="en-US" w:eastAsia="zh-CN"/>
                    </w:rPr>
                    <w:t>。</w:t>
                  </w:r>
                </w:p>
              </w:tc>
              <w:tc>
                <w:tcPr>
                  <w:tcW w:w="664" w:type="dxa"/>
                  <w:tcBorders>
                    <w:tl2br w:val="nil"/>
                    <w:tr2bl w:val="nil"/>
                  </w:tcBorders>
                  <w:noWrap/>
                  <w:vAlign w:val="center"/>
                </w:tcPr>
                <w:p w14:paraId="3A86AFC3">
                  <w:pPr>
                    <w:keepNext w:val="0"/>
                    <w:keepLines w:val="0"/>
                    <w:pageBreakBefore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2E6CBA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58" w:type="dxa"/>
                  <w:tcBorders>
                    <w:tl2br w:val="nil"/>
                    <w:tr2bl w:val="nil"/>
                  </w:tcBorders>
                  <w:noWrap/>
                  <w:vAlign w:val="center"/>
                </w:tcPr>
                <w:p w14:paraId="668CA84D">
                  <w:pPr>
                    <w:keepNext w:val="0"/>
                    <w:keepLines w:val="0"/>
                    <w:pageBreakBefore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监测监控水平</w:t>
                  </w:r>
                </w:p>
              </w:tc>
              <w:tc>
                <w:tcPr>
                  <w:tcW w:w="3796" w:type="dxa"/>
                  <w:tcBorders>
                    <w:tl2br w:val="nil"/>
                    <w:tr2bl w:val="nil"/>
                  </w:tcBorders>
                  <w:noWrap/>
                  <w:vAlign w:val="center"/>
                </w:tcPr>
                <w:p w14:paraId="47198B90">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both"/>
                    <w:textAlignment w:val="auto"/>
                    <w:rPr>
                      <w:rFonts w:hint="eastAsia"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en-US" w:bidi="ar-SA"/>
                    </w:rPr>
                    <w:t>1、严格执行《排污许可证申请与核发技术规范印刷工业》(HJ1066-2019)规定的自行监测管理要求</w:t>
                  </w:r>
                  <w:r>
                    <w:rPr>
                      <w:rFonts w:hint="eastAsia" w:ascii="Times New Roman" w:hAnsi="Times New Roman" w:eastAsia="宋体" w:cs="Times New Roman"/>
                      <w:kern w:val="0"/>
                      <w:sz w:val="21"/>
                      <w:szCs w:val="21"/>
                      <w:lang w:val="en-US" w:eastAsia="zh-CN" w:bidi="ar-SA"/>
                    </w:rPr>
                    <w:t>；</w:t>
                  </w:r>
                </w:p>
                <w:p w14:paraId="602DA6B6">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both"/>
                    <w:textAlignment w:val="auto"/>
                    <w:rPr>
                      <w:rFonts w:hint="eastAsia"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en-US" w:bidi="ar-SA"/>
                    </w:rPr>
                    <w:t>2、重点排污企业风量大于10000m</w:t>
                  </w:r>
                  <w:r>
                    <w:rPr>
                      <w:rFonts w:hint="eastAsia" w:ascii="Times New Roman" w:hAnsi="Times New Roman" w:eastAsia="宋体" w:cs="Times New Roman"/>
                      <w:kern w:val="0"/>
                      <w:sz w:val="21"/>
                      <w:szCs w:val="21"/>
                      <w:vertAlign w:val="superscript"/>
                      <w:lang w:val="en-US" w:eastAsia="zh-CN" w:bidi="ar-SA"/>
                    </w:rPr>
                    <w:t>3</w:t>
                  </w:r>
                  <w:r>
                    <w:rPr>
                      <w:rFonts w:hint="default" w:ascii="Times New Roman" w:hAnsi="Times New Roman" w:eastAsia="宋体" w:cs="Times New Roman"/>
                      <w:kern w:val="0"/>
                      <w:sz w:val="21"/>
                      <w:szCs w:val="21"/>
                      <w:lang w:val="en-US" w:eastAsia="en-US" w:bidi="ar-SA"/>
                    </w:rPr>
                    <w:t>/h的主要排放口*安装NMHC在线监测设施(FID检测器)，自动监控数据保存一年以上</w:t>
                  </w:r>
                  <w:r>
                    <w:rPr>
                      <w:rFonts w:hint="eastAsia" w:ascii="Times New Roman" w:hAnsi="Times New Roman" w:eastAsia="宋体" w:cs="Times New Roman"/>
                      <w:kern w:val="0"/>
                      <w:sz w:val="21"/>
                      <w:szCs w:val="21"/>
                      <w:lang w:val="en-US" w:eastAsia="zh-CN" w:bidi="ar-SA"/>
                    </w:rPr>
                    <w:t>；</w:t>
                  </w:r>
                </w:p>
                <w:p w14:paraId="6FE78550">
                  <w:pPr>
                    <w:keepNext w:val="0"/>
                    <w:keepLines w:val="0"/>
                    <w:pageBreakBefore w:val="0"/>
                    <w:widowControl/>
                    <w:suppressLineNumbers w:val="0"/>
                    <w:kinsoku/>
                    <w:wordWrap/>
                    <w:overflowPunct/>
                    <w:topLinePunct w:val="0"/>
                    <w:autoSpaceDE/>
                    <w:autoSpaceDN/>
                    <w:bidi w:val="0"/>
                    <w:spacing w:before="0" w:beforeLines="0" w:beforeAutospacing="0" w:after="0" w:afterLines="0" w:afterAutospacing="0" w:line="240" w:lineRule="auto"/>
                    <w:ind w:left="0" w:right="0"/>
                    <w:jc w:val="both"/>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kern w:val="0"/>
                      <w:sz w:val="21"/>
                      <w:szCs w:val="21"/>
                      <w:lang w:val="en-US" w:eastAsia="en-US" w:bidi="ar-SA"/>
                    </w:rPr>
                    <w:t>3、安装DCS系统、仪器仪表等装置，连续测量并记录治理设施控制指标温度、压力(压差)、时间和频率值。再生式活性炭连续自动测量并记录温度、再生时间和更换周期</w:t>
                  </w:r>
                  <w:r>
                    <w:rPr>
                      <w:rFonts w:hint="eastAsia" w:ascii="Times New Roman" w:hAnsi="Times New Roman" w:eastAsia="宋体" w:cs="Times New Roman"/>
                      <w:kern w:val="0"/>
                      <w:sz w:val="21"/>
                      <w:szCs w:val="21"/>
                      <w:lang w:val="en-US" w:eastAsia="zh-CN" w:bidi="ar-SA"/>
                    </w:rPr>
                    <w:t>；</w:t>
                  </w:r>
                  <w:r>
                    <w:rPr>
                      <w:rFonts w:hint="default" w:ascii="Times New Roman" w:hAnsi="Times New Roman" w:eastAsia="宋体" w:cs="Times New Roman"/>
                      <w:kern w:val="0"/>
                      <w:sz w:val="21"/>
                      <w:szCs w:val="21"/>
                      <w:lang w:val="en-US" w:eastAsia="en-US" w:bidi="ar-SA"/>
                    </w:rPr>
                    <w:t>更换式活性炭记录温度、更换周期及更换量</w:t>
                  </w:r>
                  <w:r>
                    <w:rPr>
                      <w:rFonts w:hint="eastAsia" w:ascii="Times New Roman" w:hAnsi="Times New Roman" w:eastAsia="宋体" w:cs="Times New Roman"/>
                      <w:kern w:val="0"/>
                      <w:sz w:val="21"/>
                      <w:szCs w:val="21"/>
                      <w:lang w:val="en-US" w:eastAsia="zh-CN" w:bidi="ar-SA"/>
                    </w:rPr>
                    <w:t>；</w:t>
                  </w:r>
                  <w:r>
                    <w:rPr>
                      <w:rFonts w:hint="default" w:ascii="Times New Roman" w:hAnsi="Times New Roman" w:eastAsia="宋体" w:cs="Times New Roman"/>
                      <w:kern w:val="0"/>
                      <w:sz w:val="21"/>
                      <w:szCs w:val="21"/>
                      <w:lang w:val="en-US" w:eastAsia="en-US" w:bidi="ar-SA"/>
                    </w:rPr>
                    <w:t>数据保存一年以上</w:t>
                  </w:r>
                </w:p>
              </w:tc>
              <w:tc>
                <w:tcPr>
                  <w:tcW w:w="2554" w:type="dxa"/>
                  <w:tcBorders>
                    <w:tl2br w:val="nil"/>
                    <w:tr2bl w:val="nil"/>
                  </w:tcBorders>
                  <w:noWrap/>
                  <w:vAlign w:val="center"/>
                </w:tcPr>
                <w:p w14:paraId="22E8B8FE">
                  <w:pPr>
                    <w:keepNext w:val="0"/>
                    <w:keepLines w:val="0"/>
                    <w:pageBreakBefore w:val="0"/>
                    <w:widowControl/>
                    <w:suppressLineNumbers w:val="0"/>
                    <w:kinsoku/>
                    <w:wordWrap/>
                    <w:overflowPunct/>
                    <w:topLinePunct w:val="0"/>
                    <w:autoSpaceDE/>
                    <w:autoSpaceDN/>
                    <w:bidi w:val="0"/>
                    <w:spacing w:before="0" w:beforeLines="0" w:beforeAutospacing="0" w:after="0" w:afterLines="0" w:afterAutospacing="0" w:line="240" w:lineRule="auto"/>
                    <w:ind w:left="0" w:right="0"/>
                    <w:jc w:val="both"/>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sz w:val="21"/>
                      <w:szCs w:val="21"/>
                      <w:highlight w:val="none"/>
                      <w:lang w:val="en-US" w:eastAsia="zh-CN"/>
                    </w:rPr>
                    <w:t>1.项目</w:t>
                  </w:r>
                  <w:r>
                    <w:rPr>
                      <w:rFonts w:hint="default" w:ascii="Times New Roman" w:hAnsi="Times New Roman" w:eastAsia="宋体" w:cs="Times New Roman"/>
                      <w:color w:val="auto"/>
                      <w:kern w:val="0"/>
                      <w:sz w:val="21"/>
                      <w:szCs w:val="21"/>
                      <w:highlight w:val="none"/>
                    </w:rPr>
                    <w:t>严格执行</w:t>
                  </w:r>
                  <w:r>
                    <w:rPr>
                      <w:rFonts w:hint="default" w:ascii="Times New Roman" w:hAnsi="Times New Roman" w:eastAsia="宋体" w:cs="Times New Roman"/>
                      <w:color w:val="auto"/>
                      <w:sz w:val="21"/>
                      <w:szCs w:val="21"/>
                    </w:rPr>
                    <w:t>《排污许可证申请与核发技术规范 印刷工业》（HJ</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1066-2019）规定的自行监测管理要求；</w:t>
                  </w:r>
                </w:p>
                <w:p w14:paraId="5925B5B4">
                  <w:pPr>
                    <w:keepNext w:val="0"/>
                    <w:keepLines w:val="0"/>
                    <w:pageBreakBefore w:val="0"/>
                    <w:numPr>
                      <w:ilvl w:val="0"/>
                      <w:numId w:val="0"/>
                    </w:numPr>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rightChars="0"/>
                    <w:jc w:val="both"/>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2.</w:t>
                  </w:r>
                  <w:r>
                    <w:rPr>
                      <w:rFonts w:hint="default" w:ascii="Times New Roman" w:hAnsi="Times New Roman" w:eastAsia="宋体" w:cs="Times New Roman"/>
                      <w:color w:val="auto"/>
                      <w:sz w:val="21"/>
                      <w:szCs w:val="21"/>
                      <w:highlight w:val="none"/>
                      <w:lang w:val="en-US" w:eastAsia="zh-CN"/>
                    </w:rPr>
                    <w:t>企业不属于重点排污企业，无主要排放口</w:t>
                  </w:r>
                  <w:r>
                    <w:rPr>
                      <w:rFonts w:hint="eastAsia" w:cs="Times New Roman"/>
                      <w:color w:val="auto"/>
                      <w:sz w:val="21"/>
                      <w:szCs w:val="21"/>
                      <w:highlight w:val="none"/>
                      <w:lang w:val="en-US" w:eastAsia="zh-CN"/>
                    </w:rPr>
                    <w:t>；</w:t>
                  </w:r>
                </w:p>
                <w:p w14:paraId="25F93E6E">
                  <w:pPr>
                    <w:keepNext w:val="0"/>
                    <w:keepLines w:val="0"/>
                    <w:pageBreakBefore w:val="0"/>
                    <w:numPr>
                      <w:ilvl w:val="0"/>
                      <w:numId w:val="0"/>
                    </w:numPr>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rightChars="0"/>
                    <w:jc w:val="both"/>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3.</w:t>
                  </w:r>
                  <w:r>
                    <w:rPr>
                      <w:rFonts w:hint="default" w:ascii="Times New Roman" w:hAnsi="Times New Roman" w:eastAsia="宋体" w:cs="Times New Roman"/>
                      <w:color w:val="auto"/>
                      <w:sz w:val="21"/>
                      <w:szCs w:val="21"/>
                      <w:highlight w:val="none"/>
                      <w:lang w:val="en-US" w:eastAsia="zh-CN"/>
                    </w:rPr>
                    <w:t>企业拟安装</w:t>
                  </w:r>
                  <w:r>
                    <w:rPr>
                      <w:rFonts w:hint="default" w:ascii="Times New Roman" w:hAnsi="Times New Roman" w:eastAsia="宋体" w:cs="Times New Roman"/>
                      <w:color w:val="auto"/>
                      <w:kern w:val="0"/>
                      <w:sz w:val="21"/>
                      <w:szCs w:val="21"/>
                      <w:highlight w:val="none"/>
                    </w:rPr>
                    <w:t>PLC系统等装置，记录治理设施主要参数，数据保存一年以上</w:t>
                  </w:r>
                  <w:r>
                    <w:rPr>
                      <w:rFonts w:hint="eastAsia" w:cs="Times New Roman"/>
                      <w:color w:val="auto"/>
                      <w:kern w:val="0"/>
                      <w:sz w:val="21"/>
                      <w:szCs w:val="21"/>
                      <w:highlight w:val="none"/>
                      <w:lang w:eastAsia="zh-CN"/>
                    </w:rPr>
                    <w:t>。</w:t>
                  </w:r>
                </w:p>
              </w:tc>
              <w:tc>
                <w:tcPr>
                  <w:tcW w:w="664" w:type="dxa"/>
                  <w:tcBorders>
                    <w:tl2br w:val="nil"/>
                    <w:tr2bl w:val="nil"/>
                  </w:tcBorders>
                  <w:noWrap/>
                  <w:vAlign w:val="center"/>
                </w:tcPr>
                <w:p w14:paraId="6892BB28">
                  <w:pPr>
                    <w:keepNext w:val="0"/>
                    <w:keepLines w:val="0"/>
                    <w:pageBreakBefore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68896A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58" w:type="dxa"/>
                  <w:tcBorders>
                    <w:tl2br w:val="nil"/>
                    <w:tr2bl w:val="nil"/>
                  </w:tcBorders>
                  <w:noWrap/>
                  <w:vAlign w:val="center"/>
                </w:tcPr>
                <w:p w14:paraId="0FB76AC5">
                  <w:pPr>
                    <w:keepNext w:val="0"/>
                    <w:keepLines w:val="0"/>
                    <w:pageBreakBefore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环境管理水平</w:t>
                  </w:r>
                </w:p>
              </w:tc>
              <w:tc>
                <w:tcPr>
                  <w:tcW w:w="3796" w:type="dxa"/>
                  <w:tcBorders>
                    <w:tl2br w:val="nil"/>
                    <w:tr2bl w:val="nil"/>
                  </w:tcBorders>
                  <w:noWrap/>
                  <w:vAlign w:val="center"/>
                </w:tcPr>
                <w:p w14:paraId="5FDB266B">
                  <w:pPr>
                    <w:keepNext w:val="0"/>
                    <w:keepLines w:val="0"/>
                    <w:pageBreakBefore w:val="0"/>
                    <w:widowControl/>
                    <w:suppressLineNumbers w:val="0"/>
                    <w:kinsoku/>
                    <w:wordWrap/>
                    <w:overflowPunct/>
                    <w:topLinePunct w:val="0"/>
                    <w:autoSpaceDE/>
                    <w:autoSpaceDN/>
                    <w:bidi w:val="0"/>
                    <w:spacing w:before="0" w:beforeLines="0" w:beforeAutospacing="0" w:after="0" w:afterLines="0" w:afterAutospacing="0" w:line="240" w:lineRule="auto"/>
                    <w:ind w:left="0" w:right="0"/>
                    <w:jc w:val="both"/>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环保档案齐全：</w:t>
                  </w:r>
                  <w:r>
                    <w:rPr>
                      <w:rFonts w:hint="default" w:ascii="Times New Roman" w:hAnsi="Times New Roman" w:eastAsia="宋体" w:cs="Times New Roman"/>
                      <w:color w:val="auto"/>
                      <w:sz w:val="21"/>
                      <w:szCs w:val="21"/>
                      <w:highlight w:val="none"/>
                    </w:rPr>
                    <w:t>1、环评批复文件；2、排污许可证及季度、年度执行报告；3、竣工验收文件；4、废气治理设施运行管理规程；5、一年内废气监测报告</w:t>
                  </w:r>
                </w:p>
                <w:p w14:paraId="27769A5E">
                  <w:pPr>
                    <w:keepNext w:val="0"/>
                    <w:keepLines w:val="0"/>
                    <w:pageBreakBefore w:val="0"/>
                    <w:widowControl/>
                    <w:suppressLineNumbers w:val="0"/>
                    <w:kinsoku/>
                    <w:wordWrap/>
                    <w:overflowPunct/>
                    <w:topLinePunct w:val="0"/>
                    <w:autoSpaceDE/>
                    <w:autoSpaceDN/>
                    <w:bidi w:val="0"/>
                    <w:spacing w:before="0" w:beforeLines="0" w:beforeAutospacing="0" w:after="0" w:afterLines="0" w:afterAutospacing="0" w:line="240" w:lineRule="auto"/>
                    <w:ind w:left="0" w:right="0"/>
                    <w:jc w:val="both"/>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台账记录：</w:t>
                  </w:r>
                  <w:r>
                    <w:rPr>
                      <w:rFonts w:hint="default" w:ascii="Times New Roman" w:hAnsi="Times New Roman" w:eastAsia="宋体" w:cs="Times New Roman"/>
                      <w:color w:val="auto"/>
                      <w:sz w:val="21"/>
                      <w:szCs w:val="21"/>
                    </w:rPr>
                    <w:t>1、生产设施运行管理信息（生产时间、运行负荷、产品产量等，必须具备近一年及以上所用油墨的固含量、VOCs含量、含水率（水性油墨）等信息的检测报告）；2、废气污染治理设施运行管理信息（燃烧室温度、冷凝温度、过滤材料更换频次、吸附剂更换频次、催化剂更换频次）；3、监测记录信息（主要污染排放口废气排放记录（手工监测和在线监测）等）；4、主要原辅材料消耗记录；5、燃料（天然气）消耗记录</w:t>
                  </w:r>
                </w:p>
                <w:p w14:paraId="74EDBC66">
                  <w:pPr>
                    <w:keepNext w:val="0"/>
                    <w:keepLines w:val="0"/>
                    <w:pageBreakBefore w:val="0"/>
                    <w:widowControl/>
                    <w:suppressLineNumbers w:val="0"/>
                    <w:kinsoku/>
                    <w:wordWrap/>
                    <w:overflowPunct/>
                    <w:topLinePunct w:val="0"/>
                    <w:autoSpaceDE/>
                    <w:autoSpaceDN/>
                    <w:bidi w:val="0"/>
                    <w:spacing w:before="0" w:beforeLines="0" w:beforeAutospacing="0" w:after="0" w:afterLines="0" w:afterAutospacing="0" w:line="240" w:lineRule="auto"/>
                    <w:ind w:left="0" w:right="0"/>
                    <w:jc w:val="both"/>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人员配置：</w:t>
                  </w:r>
                  <w:r>
                    <w:rPr>
                      <w:rFonts w:hint="default" w:ascii="Times New Roman" w:hAnsi="Times New Roman" w:eastAsia="宋体" w:cs="Times New Roman"/>
                      <w:color w:val="auto"/>
                      <w:sz w:val="21"/>
                      <w:szCs w:val="21"/>
                      <w:highlight w:val="none"/>
                    </w:rPr>
                    <w:t>配备专职环保人员，并具备相应的环境管理能力</w:t>
                  </w:r>
                </w:p>
              </w:tc>
              <w:tc>
                <w:tcPr>
                  <w:tcW w:w="2554" w:type="dxa"/>
                  <w:tcBorders>
                    <w:tl2br w:val="nil"/>
                    <w:tr2bl w:val="nil"/>
                  </w:tcBorders>
                  <w:noWrap/>
                  <w:vAlign w:val="center"/>
                </w:tcPr>
                <w:p w14:paraId="003A5811">
                  <w:pPr>
                    <w:keepNext w:val="0"/>
                    <w:keepLines w:val="0"/>
                    <w:pageBreakBefore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both"/>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项目依照要求建立环保档案及台账记录，并配备专职环保人员进行管理</w:t>
                  </w:r>
                  <w:r>
                    <w:rPr>
                      <w:rFonts w:hint="eastAsia" w:ascii="Times New Roman" w:hAnsi="Times New Roman" w:eastAsia="宋体" w:cs="Times New Roman"/>
                      <w:color w:val="auto"/>
                      <w:sz w:val="21"/>
                      <w:szCs w:val="21"/>
                      <w:highlight w:val="none"/>
                      <w:lang w:val="en-US" w:eastAsia="zh-CN"/>
                    </w:rPr>
                    <w:t>。</w:t>
                  </w:r>
                </w:p>
              </w:tc>
              <w:tc>
                <w:tcPr>
                  <w:tcW w:w="664" w:type="dxa"/>
                  <w:tcBorders>
                    <w:tl2br w:val="nil"/>
                    <w:tr2bl w:val="nil"/>
                  </w:tcBorders>
                  <w:noWrap/>
                  <w:vAlign w:val="center"/>
                </w:tcPr>
                <w:p w14:paraId="00F0C698">
                  <w:pPr>
                    <w:keepNext w:val="0"/>
                    <w:keepLines w:val="0"/>
                    <w:pageBreakBefore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符合</w:t>
                  </w:r>
                </w:p>
              </w:tc>
            </w:tr>
            <w:tr w14:paraId="5773F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58" w:type="dxa"/>
                  <w:tcBorders>
                    <w:tl2br w:val="nil"/>
                    <w:tr2bl w:val="nil"/>
                  </w:tcBorders>
                  <w:noWrap/>
                  <w:vAlign w:val="center"/>
                </w:tcPr>
                <w:p w14:paraId="5DB656AE">
                  <w:pPr>
                    <w:keepNext w:val="0"/>
                    <w:keepLines w:val="0"/>
                    <w:pageBreakBefore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运输方式</w:t>
                  </w:r>
                </w:p>
              </w:tc>
              <w:tc>
                <w:tcPr>
                  <w:tcW w:w="3796" w:type="dxa"/>
                  <w:tcBorders>
                    <w:tl2br w:val="nil"/>
                    <w:tr2bl w:val="nil"/>
                  </w:tcBorders>
                  <w:noWrap/>
                  <w:vAlign w:val="center"/>
                </w:tcPr>
                <w:p w14:paraId="624940D9">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both"/>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1.</w:t>
                  </w:r>
                  <w:r>
                    <w:rPr>
                      <w:rFonts w:hint="eastAsia" w:ascii="Times New Roman" w:hAnsi="Times New Roman" w:eastAsia="宋体" w:cs="Times New Roman"/>
                      <w:color w:val="auto"/>
                      <w:kern w:val="0"/>
                      <w:sz w:val="21"/>
                      <w:szCs w:val="21"/>
                      <w:highlight w:val="none"/>
                      <w:lang w:eastAsia="zh-CN"/>
                    </w:rPr>
                    <w:t>物料公路运输全部使用达到国五级以上排放标准重型载货车辆（含燃气）或新能源车辆</w:t>
                  </w:r>
                  <w:r>
                    <w:rPr>
                      <w:rFonts w:hint="default" w:ascii="Times New Roman" w:hAnsi="Times New Roman" w:eastAsia="宋体" w:cs="Times New Roman"/>
                      <w:color w:val="auto"/>
                      <w:kern w:val="0"/>
                      <w:sz w:val="21"/>
                      <w:szCs w:val="21"/>
                      <w:highlight w:val="none"/>
                    </w:rPr>
                    <w:t>；</w:t>
                  </w:r>
                </w:p>
                <w:p w14:paraId="0F4AA55D">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both"/>
                    <w:textAlignment w:val="auto"/>
                    <w:rPr>
                      <w:rFonts w:hint="eastAsia" w:ascii="Times New Roman" w:hAnsi="Times New Roman" w:eastAsia="宋体" w:cs="Times New Roman"/>
                      <w:color w:val="auto"/>
                      <w:kern w:val="0"/>
                      <w:sz w:val="21"/>
                      <w:szCs w:val="21"/>
                      <w:highlight w:val="none"/>
                      <w:lang w:eastAsia="zh-CN"/>
                    </w:rPr>
                  </w:pPr>
                  <w:r>
                    <w:rPr>
                      <w:rFonts w:hint="default" w:ascii="Times New Roman" w:hAnsi="Times New Roman" w:eastAsia="宋体" w:cs="Times New Roman"/>
                      <w:color w:val="auto"/>
                      <w:kern w:val="0"/>
                      <w:sz w:val="21"/>
                      <w:szCs w:val="21"/>
                      <w:highlight w:val="none"/>
                    </w:rPr>
                    <w:t>2.</w:t>
                  </w:r>
                  <w:r>
                    <w:rPr>
                      <w:rFonts w:hint="eastAsia" w:ascii="Times New Roman" w:hAnsi="Times New Roman" w:eastAsia="宋体" w:cs="Times New Roman"/>
                      <w:color w:val="auto"/>
                      <w:kern w:val="0"/>
                      <w:sz w:val="21"/>
                      <w:szCs w:val="21"/>
                      <w:highlight w:val="none"/>
                      <w:lang w:eastAsia="zh-CN"/>
                    </w:rPr>
                    <w:t>厂内运输车辆全部达到国五级以上排放标准（含燃气）或使用新能源车辆；</w:t>
                  </w:r>
                </w:p>
                <w:p w14:paraId="37D90A06">
                  <w:pPr>
                    <w:keepNext w:val="0"/>
                    <w:keepLines w:val="0"/>
                    <w:pageBreakBefore w:val="0"/>
                    <w:widowControl/>
                    <w:suppressLineNumbers w:val="0"/>
                    <w:kinsoku/>
                    <w:wordWrap/>
                    <w:overflowPunct/>
                    <w:topLinePunct w:val="0"/>
                    <w:autoSpaceDE/>
                    <w:autoSpaceDN/>
                    <w:bidi w:val="0"/>
                    <w:spacing w:before="0" w:beforeLines="0" w:beforeAutospacing="0" w:after="0" w:afterLines="0" w:afterAutospacing="0" w:line="240" w:lineRule="auto"/>
                    <w:ind w:left="0" w:right="0"/>
                    <w:jc w:val="both"/>
                    <w:textAlignment w:val="auto"/>
                    <w:rPr>
                      <w:rFonts w:hint="default"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lang w:val="en-US" w:eastAsia="zh-CN"/>
                    </w:rPr>
                    <w:t>3.</w:t>
                  </w:r>
                  <w:r>
                    <w:rPr>
                      <w:rFonts w:hint="default" w:ascii="Times New Roman" w:hAnsi="Times New Roman" w:eastAsia="宋体" w:cs="Times New Roman"/>
                      <w:color w:val="auto"/>
                      <w:kern w:val="0"/>
                      <w:sz w:val="21"/>
                      <w:szCs w:val="21"/>
                      <w:highlight w:val="none"/>
                    </w:rPr>
                    <w:t>厂内</w:t>
                  </w:r>
                  <w:r>
                    <w:rPr>
                      <w:rFonts w:hint="default" w:ascii="Times New Roman" w:hAnsi="Times New Roman" w:eastAsia="宋体" w:cs="Times New Roman"/>
                      <w:color w:val="auto"/>
                      <w:kern w:val="0"/>
                      <w:sz w:val="21"/>
                      <w:szCs w:val="21"/>
                      <w:highlight w:val="none"/>
                      <w:lang w:eastAsia="zh-CN"/>
                    </w:rPr>
                    <w:t>非道路移动机械</w:t>
                  </w:r>
                  <w:r>
                    <w:rPr>
                      <w:rFonts w:hint="eastAsia" w:ascii="Times New Roman" w:hAnsi="Times New Roman" w:eastAsia="宋体" w:cs="Times New Roman"/>
                      <w:color w:val="auto"/>
                      <w:kern w:val="0"/>
                      <w:sz w:val="21"/>
                      <w:szCs w:val="21"/>
                      <w:highlight w:val="none"/>
                      <w:lang w:eastAsia="zh-CN"/>
                    </w:rPr>
                    <w:t>全部达到国三及以上排放标准或使用新能源机械</w:t>
                  </w:r>
                  <w:r>
                    <w:rPr>
                      <w:rFonts w:hint="default" w:ascii="Times New Roman" w:hAnsi="Times New Roman" w:eastAsia="宋体" w:cs="Times New Roman"/>
                      <w:color w:val="auto"/>
                      <w:kern w:val="0"/>
                      <w:sz w:val="21"/>
                      <w:szCs w:val="21"/>
                      <w:highlight w:val="none"/>
                    </w:rPr>
                    <w:t>。</w:t>
                  </w:r>
                </w:p>
              </w:tc>
              <w:tc>
                <w:tcPr>
                  <w:tcW w:w="2554" w:type="dxa"/>
                  <w:tcBorders>
                    <w:tl2br w:val="nil"/>
                    <w:tr2bl w:val="nil"/>
                  </w:tcBorders>
                  <w:noWrap/>
                  <w:vAlign w:val="center"/>
                </w:tcPr>
                <w:p w14:paraId="4D352438">
                  <w:pPr>
                    <w:keepNext w:val="0"/>
                    <w:keepLines w:val="0"/>
                    <w:pageBreakBefore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both"/>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项目厂内运</w:t>
                  </w:r>
                  <w:r>
                    <w:rPr>
                      <w:rFonts w:hint="eastAsia" w:cs="Times New Roman"/>
                      <w:color w:val="auto"/>
                      <w:sz w:val="21"/>
                      <w:szCs w:val="21"/>
                      <w:highlight w:val="none"/>
                      <w:lang w:val="en-US" w:eastAsia="zh-CN"/>
                    </w:rPr>
                    <w:t>输</w:t>
                  </w:r>
                  <w:r>
                    <w:rPr>
                      <w:rFonts w:hint="default" w:ascii="Times New Roman" w:hAnsi="Times New Roman" w:eastAsia="宋体" w:cs="Times New Roman"/>
                      <w:color w:val="auto"/>
                      <w:sz w:val="21"/>
                      <w:szCs w:val="21"/>
                      <w:highlight w:val="none"/>
                      <w:lang w:val="en-US" w:eastAsia="zh-CN"/>
                    </w:rPr>
                    <w:t>车辆全部使用新能源车辆；厂内非道路移动机械满足国</w:t>
                  </w:r>
                  <w:r>
                    <w:rPr>
                      <w:rFonts w:hint="eastAsia" w:ascii="Times New Roman" w:hAnsi="Times New Roman" w:eastAsia="宋体" w:cs="Times New Roman"/>
                      <w:color w:val="auto"/>
                      <w:sz w:val="21"/>
                      <w:szCs w:val="21"/>
                      <w:highlight w:val="none"/>
                      <w:lang w:val="en-US" w:eastAsia="zh-CN"/>
                    </w:rPr>
                    <w:t>三</w:t>
                  </w:r>
                  <w:r>
                    <w:rPr>
                      <w:rFonts w:hint="default" w:ascii="Times New Roman" w:hAnsi="Times New Roman" w:eastAsia="宋体" w:cs="Times New Roman"/>
                      <w:color w:val="auto"/>
                      <w:sz w:val="21"/>
                      <w:szCs w:val="21"/>
                      <w:highlight w:val="none"/>
                      <w:lang w:val="en-US" w:eastAsia="zh-CN"/>
                    </w:rPr>
                    <w:t>及以上排放阶段</w:t>
                  </w:r>
                </w:p>
              </w:tc>
              <w:tc>
                <w:tcPr>
                  <w:tcW w:w="664" w:type="dxa"/>
                  <w:tcBorders>
                    <w:tl2br w:val="nil"/>
                    <w:tr2bl w:val="nil"/>
                  </w:tcBorders>
                  <w:noWrap/>
                  <w:vAlign w:val="center"/>
                </w:tcPr>
                <w:p w14:paraId="519BCB42">
                  <w:pPr>
                    <w:keepNext w:val="0"/>
                    <w:keepLines w:val="0"/>
                    <w:pageBreakBefore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41ACB1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58" w:type="dxa"/>
                  <w:tcBorders>
                    <w:tl2br w:val="nil"/>
                    <w:tr2bl w:val="nil"/>
                  </w:tcBorders>
                  <w:noWrap/>
                  <w:vAlign w:val="center"/>
                </w:tcPr>
                <w:p w14:paraId="6C209FA1">
                  <w:pPr>
                    <w:keepNext w:val="0"/>
                    <w:keepLines w:val="0"/>
                    <w:pageBreakBefore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运输监管</w:t>
                  </w:r>
                </w:p>
              </w:tc>
              <w:tc>
                <w:tcPr>
                  <w:tcW w:w="3796" w:type="dxa"/>
                  <w:tcBorders>
                    <w:tl2br w:val="nil"/>
                    <w:tr2bl w:val="nil"/>
                  </w:tcBorders>
                  <w:noWrap/>
                  <w:vAlign w:val="center"/>
                </w:tcPr>
                <w:p w14:paraId="442DA543">
                  <w:pPr>
                    <w:keepNext w:val="0"/>
                    <w:keepLines w:val="0"/>
                    <w:pageBreakBefore w:val="0"/>
                    <w:widowControl/>
                    <w:suppressLineNumbers w:val="0"/>
                    <w:kinsoku/>
                    <w:wordWrap/>
                    <w:overflowPunct/>
                    <w:topLinePunct w:val="0"/>
                    <w:autoSpaceDE/>
                    <w:autoSpaceDN/>
                    <w:bidi w:val="0"/>
                    <w:spacing w:before="157" w:beforeLines="50" w:beforeAutospacing="0" w:after="157" w:afterLines="50" w:afterAutospacing="0" w:line="240" w:lineRule="auto"/>
                    <w:ind w:left="0" w:right="0"/>
                    <w:jc w:val="both"/>
                    <w:textAlignment w:val="auto"/>
                    <w:rPr>
                      <w:rFonts w:hint="default" w:ascii="Times New Roman" w:hAnsi="Times New Roman" w:eastAsia="宋体" w:cs="Times New Roman"/>
                      <w:color w:val="auto"/>
                      <w:kern w:val="0"/>
                      <w:sz w:val="21"/>
                      <w:szCs w:val="21"/>
                      <w:highlight w:val="none"/>
                    </w:rPr>
                  </w:pPr>
                  <w:r>
                    <w:rPr>
                      <w:rFonts w:hint="eastAsia" w:cs="Times New Roman"/>
                      <w:color w:val="auto"/>
                      <w:sz w:val="21"/>
                      <w:szCs w:val="21"/>
                      <w:highlight w:val="none"/>
                      <w:lang w:eastAsia="zh-CN"/>
                    </w:rPr>
                    <w:t>参照</w:t>
                  </w:r>
                  <w:r>
                    <w:rPr>
                      <w:rFonts w:hint="default" w:ascii="Times New Roman" w:hAnsi="Times New Roman" w:eastAsia="宋体" w:cs="Times New Roman"/>
                      <w:color w:val="auto"/>
                      <w:sz w:val="21"/>
                      <w:szCs w:val="21"/>
                      <w:highlight w:val="none"/>
                    </w:rPr>
                    <w:t>《重污染天气重点行业移动源应急管理技术指南》建立门禁系统和电子台账要求</w:t>
                  </w:r>
                </w:p>
              </w:tc>
              <w:tc>
                <w:tcPr>
                  <w:tcW w:w="2554" w:type="dxa"/>
                  <w:tcBorders>
                    <w:tl2br w:val="nil"/>
                    <w:tr2bl w:val="nil"/>
                  </w:tcBorders>
                  <w:noWrap/>
                  <w:vAlign w:val="center"/>
                </w:tcPr>
                <w:p w14:paraId="10E8CFA6">
                  <w:pPr>
                    <w:keepNext w:val="0"/>
                    <w:keepLines w:val="0"/>
                    <w:pageBreakBefore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both"/>
                    <w:textAlignment w:val="auto"/>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kern w:val="0"/>
                      <w:sz w:val="21"/>
                      <w:szCs w:val="21"/>
                      <w:highlight w:val="none"/>
                    </w:rPr>
                    <w:t>项目</w:t>
                  </w:r>
                  <w:r>
                    <w:rPr>
                      <w:rFonts w:hint="default" w:ascii="Times New Roman" w:hAnsi="Times New Roman" w:eastAsia="宋体" w:cs="Times New Roman"/>
                      <w:color w:val="auto"/>
                      <w:kern w:val="0"/>
                      <w:sz w:val="21"/>
                      <w:szCs w:val="21"/>
                      <w:highlight w:val="none"/>
                      <w:lang w:val="en-US" w:eastAsia="zh-CN"/>
                    </w:rPr>
                    <w:t>建立</w:t>
                  </w:r>
                  <w:r>
                    <w:rPr>
                      <w:rFonts w:hint="default" w:ascii="Times New Roman" w:hAnsi="Times New Roman" w:eastAsia="宋体" w:cs="Times New Roman"/>
                      <w:color w:val="auto"/>
                      <w:kern w:val="0"/>
                      <w:sz w:val="21"/>
                      <w:szCs w:val="21"/>
                      <w:highlight w:val="none"/>
                    </w:rPr>
                    <w:t>门禁视频监控系统和电子台账</w:t>
                  </w:r>
                  <w:r>
                    <w:rPr>
                      <w:rFonts w:hint="eastAsia" w:ascii="Times New Roman" w:hAnsi="Times New Roman" w:eastAsia="宋体" w:cs="Times New Roman"/>
                      <w:color w:val="auto"/>
                      <w:kern w:val="0"/>
                      <w:sz w:val="21"/>
                      <w:szCs w:val="21"/>
                      <w:highlight w:val="none"/>
                      <w:lang w:eastAsia="zh-CN"/>
                    </w:rPr>
                    <w:t>。</w:t>
                  </w:r>
                </w:p>
              </w:tc>
              <w:tc>
                <w:tcPr>
                  <w:tcW w:w="664" w:type="dxa"/>
                  <w:tcBorders>
                    <w:tl2br w:val="nil"/>
                    <w:tr2bl w:val="nil"/>
                  </w:tcBorders>
                  <w:noWrap/>
                  <w:vAlign w:val="center"/>
                </w:tcPr>
                <w:p w14:paraId="7050F45A">
                  <w:pPr>
                    <w:keepNext w:val="0"/>
                    <w:keepLines w:val="0"/>
                    <w:pageBreakBefore w:val="0"/>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bl>
          <w:p w14:paraId="39B6805B">
            <w:pPr>
              <w:keepNext w:val="0"/>
              <w:keepLines w:val="0"/>
              <w:pageBreakBefore w:val="0"/>
              <w:widowControl w:val="0"/>
              <w:suppressLineNumbers w:val="0"/>
              <w:kinsoku/>
              <w:wordWrap/>
              <w:overflowPunct/>
              <w:topLinePunct w:val="0"/>
              <w:autoSpaceDE/>
              <w:autoSpaceDN/>
              <w:bidi w:val="0"/>
              <w:adjustRightInd w:val="0"/>
              <w:snapToGrid/>
              <w:spacing w:before="0" w:beforeLines="50" w:beforeAutospacing="0" w:after="0" w:afterAutospacing="0" w:line="360" w:lineRule="auto"/>
              <w:ind w:left="0" w:right="0" w:firstLine="480" w:firstLineChars="200"/>
              <w:jc w:val="left"/>
              <w:textAlignment w:val="baseline"/>
              <w:rPr>
                <w:rFonts w:hint="eastAsia" w:ascii="宋体" w:hAnsi="宋体" w:eastAsia="宋体" w:cs="宋体"/>
                <w:snapToGrid w:val="0"/>
                <w:color w:val="auto"/>
                <w:kern w:val="0"/>
                <w:sz w:val="24"/>
                <w:highlight w:val="none"/>
                <w:lang w:val="en-US" w:eastAsia="zh-CN" w:bidi="en-US"/>
              </w:rPr>
            </w:pPr>
            <w:r>
              <w:rPr>
                <w:rFonts w:hint="eastAsia" w:cs="Times New Roman"/>
                <w:snapToGrid w:val="0"/>
                <w:color w:val="auto"/>
                <w:kern w:val="0"/>
                <w:sz w:val="24"/>
                <w:highlight w:val="none"/>
                <w:lang w:val="en-US" w:eastAsia="zh-CN" w:bidi="en-US"/>
              </w:rPr>
              <w:t>本项目需根据A级要求进行升A改造，具体措施有：</w:t>
            </w:r>
            <w:r>
              <w:rPr>
                <w:rFonts w:hint="default" w:ascii="Times New Roman" w:hAnsi="Times New Roman" w:eastAsia="微软雅黑" w:cs="Times New Roman"/>
                <w:snapToGrid w:val="0"/>
                <w:color w:val="auto"/>
                <w:kern w:val="0"/>
                <w:sz w:val="24"/>
                <w:highlight w:val="none"/>
                <w:lang w:val="en-US" w:eastAsia="zh-CN" w:bidi="en-US"/>
              </w:rPr>
              <w:t>①</w:t>
            </w:r>
            <w:r>
              <w:rPr>
                <w:rFonts w:hint="eastAsia" w:cs="Times New Roman"/>
                <w:snapToGrid w:val="0"/>
                <w:color w:val="auto"/>
                <w:kern w:val="0"/>
                <w:sz w:val="24"/>
                <w:highlight w:val="none"/>
                <w:lang w:val="en-US" w:eastAsia="zh-CN" w:bidi="en-US"/>
              </w:rPr>
              <w:t>按照生态环境部《挥发性有机物治理突出问题排查整治工作要求》中碘值的相关要求执行，且按活性炭最大吸附量的90%计算更换周期。</w:t>
            </w:r>
            <w:r>
              <w:rPr>
                <w:rFonts w:hint="default" w:ascii="Times New Roman" w:hAnsi="Times New Roman" w:eastAsia="微软雅黑" w:cs="Times New Roman"/>
                <w:snapToGrid w:val="0"/>
                <w:color w:val="auto"/>
                <w:kern w:val="0"/>
                <w:sz w:val="24"/>
                <w:highlight w:val="none"/>
                <w:lang w:val="en-US" w:eastAsia="zh-CN" w:bidi="en-US"/>
              </w:rPr>
              <w:t>②</w:t>
            </w:r>
            <w:r>
              <w:rPr>
                <w:rFonts w:hint="eastAsia" w:ascii="宋体" w:hAnsi="宋体" w:eastAsia="宋体" w:cs="宋体"/>
                <w:snapToGrid w:val="0"/>
                <w:color w:val="auto"/>
                <w:kern w:val="0"/>
                <w:sz w:val="24"/>
                <w:highlight w:val="none"/>
                <w:lang w:val="en-US" w:eastAsia="zh-CN" w:bidi="en-US"/>
              </w:rPr>
              <w:t>废抹布存储于密闭容器暂存于危废间，定期交有资质单位处理；危险废物均分类放置于贴有标识的容器内，加盖密封，存放于危废间，无阳光直射。</w:t>
            </w:r>
          </w:p>
          <w:p w14:paraId="6FA27782">
            <w:pPr>
              <w:keepNext w:val="0"/>
              <w:keepLines w:val="0"/>
              <w:pageBreakBefore w:val="0"/>
              <w:widowControl w:val="0"/>
              <w:suppressLineNumbers w:val="0"/>
              <w:kinsoku/>
              <w:wordWrap/>
              <w:overflowPunct/>
              <w:topLinePunct w:val="0"/>
              <w:autoSpaceDE/>
              <w:autoSpaceDN/>
              <w:bidi w:val="0"/>
              <w:adjustRightInd w:val="0"/>
              <w:snapToGrid/>
              <w:spacing w:before="0" w:beforeLines="0" w:beforeAutospacing="0" w:after="0" w:afterAutospacing="0" w:line="360" w:lineRule="auto"/>
              <w:ind w:left="0" w:right="0" w:firstLine="480" w:firstLineChars="200"/>
              <w:jc w:val="left"/>
              <w:textAlignment w:val="baseline"/>
              <w:rPr>
                <w:rFonts w:hint="default" w:ascii="Times New Roman" w:hAnsi="Times New Roman" w:eastAsia="宋体" w:cs="Times New Roman"/>
                <w:snapToGrid w:val="0"/>
                <w:color w:val="auto"/>
                <w:kern w:val="0"/>
                <w:sz w:val="24"/>
                <w:highlight w:val="none"/>
                <w:lang w:val="en-US" w:eastAsia="zh-CN" w:bidi="en-US"/>
              </w:rPr>
            </w:pPr>
            <w:r>
              <w:rPr>
                <w:rFonts w:hint="default" w:ascii="Times New Roman" w:hAnsi="Times New Roman" w:eastAsia="宋体" w:cs="Times New Roman"/>
                <w:snapToGrid w:val="0"/>
                <w:color w:val="auto"/>
                <w:kern w:val="0"/>
                <w:sz w:val="24"/>
                <w:highlight w:val="none"/>
                <w:lang w:val="en-US" w:eastAsia="zh-CN" w:bidi="en-US"/>
              </w:rPr>
              <w:t>综上所述，</w:t>
            </w:r>
            <w:r>
              <w:rPr>
                <w:rFonts w:hint="default" w:ascii="Times New Roman" w:hAnsi="Times New Roman" w:eastAsia="宋体" w:cs="Times New Roman"/>
                <w:snapToGrid w:val="0"/>
                <w:color w:val="auto"/>
                <w:kern w:val="0"/>
                <w:sz w:val="24"/>
                <w:lang w:val="en-US" w:eastAsia="zh-CN" w:bidi="en-US"/>
              </w:rPr>
              <w:t>项目满足《</w:t>
            </w:r>
            <w:r>
              <w:rPr>
                <w:rFonts w:hint="default" w:ascii="Times New Roman" w:hAnsi="Times New Roman" w:eastAsia="宋体" w:cs="Times New Roman"/>
                <w:snapToGrid w:val="0"/>
                <w:color w:val="auto"/>
                <w:kern w:val="0"/>
                <w:sz w:val="24"/>
                <w:lang w:bidi="en-US"/>
              </w:rPr>
              <w:t>河北省十一个行业重污染天气应急减排措施制定技术指南（试行）</w:t>
            </w:r>
            <w:r>
              <w:rPr>
                <w:rFonts w:hint="default" w:ascii="Times New Roman" w:hAnsi="Times New Roman" w:eastAsia="宋体" w:cs="Times New Roman"/>
                <w:snapToGrid w:val="0"/>
                <w:color w:val="auto"/>
                <w:kern w:val="0"/>
                <w:sz w:val="24"/>
                <w:lang w:val="en-US" w:eastAsia="zh-CN" w:bidi="en-US"/>
              </w:rPr>
              <w:t>》（河北省生态环境厅，2021年8月）中塑料制品行业绩效分级指标</w:t>
            </w:r>
            <w:r>
              <w:rPr>
                <w:rFonts w:hint="eastAsia" w:cs="Times New Roman"/>
                <w:snapToGrid w:val="0"/>
                <w:color w:val="auto"/>
                <w:kern w:val="0"/>
                <w:sz w:val="24"/>
                <w:lang w:val="en-US" w:eastAsia="zh-CN" w:bidi="en-US"/>
              </w:rPr>
              <w:t>A</w:t>
            </w:r>
            <w:r>
              <w:rPr>
                <w:rFonts w:hint="default" w:ascii="Times New Roman" w:hAnsi="Times New Roman" w:eastAsia="宋体" w:cs="Times New Roman"/>
                <w:snapToGrid w:val="0"/>
                <w:color w:val="auto"/>
                <w:kern w:val="0"/>
                <w:sz w:val="24"/>
                <w:lang w:val="en-US" w:eastAsia="zh-CN" w:bidi="en-US"/>
              </w:rPr>
              <w:t>级要求和</w:t>
            </w:r>
            <w:r>
              <w:rPr>
                <w:rFonts w:hint="default" w:ascii="Times New Roman" w:hAnsi="Times New Roman" w:eastAsia="宋体" w:cs="Times New Roman"/>
                <w:snapToGrid w:val="0"/>
                <w:color w:val="auto"/>
                <w:kern w:val="0"/>
                <w:sz w:val="24"/>
                <w:highlight w:val="none"/>
                <w:lang w:val="en-US" w:eastAsia="zh-CN" w:bidi="en-US"/>
              </w:rPr>
              <w:t>《</w:t>
            </w:r>
            <w:r>
              <w:rPr>
                <w:rFonts w:hint="default" w:ascii="Times New Roman" w:hAnsi="Times New Roman" w:eastAsia="宋体" w:cs="Times New Roman"/>
                <w:snapToGrid w:val="0"/>
                <w:color w:val="auto"/>
                <w:kern w:val="0"/>
                <w:sz w:val="24"/>
                <w:highlight w:val="none"/>
                <w:lang w:bidi="en-US"/>
              </w:rPr>
              <w:t>重污染天气重点行业应急减排措施</w:t>
            </w:r>
            <w:r>
              <w:rPr>
                <w:rFonts w:hint="default" w:ascii="Times New Roman" w:hAnsi="Times New Roman" w:eastAsia="宋体" w:cs="Times New Roman"/>
                <w:snapToGrid w:val="0"/>
                <w:color w:val="auto"/>
                <w:kern w:val="0"/>
                <w:sz w:val="24"/>
                <w:highlight w:val="none"/>
                <w:lang w:eastAsia="zh-CN" w:bidi="en-US"/>
              </w:rPr>
              <w:t>制定</w:t>
            </w:r>
            <w:r>
              <w:rPr>
                <w:rFonts w:hint="default" w:ascii="Times New Roman" w:hAnsi="Times New Roman" w:eastAsia="宋体" w:cs="Times New Roman"/>
                <w:snapToGrid w:val="0"/>
                <w:color w:val="auto"/>
                <w:kern w:val="0"/>
                <w:sz w:val="24"/>
                <w:highlight w:val="none"/>
                <w:lang w:bidi="en-US"/>
              </w:rPr>
              <w:t>技术指南</w:t>
            </w:r>
            <w:r>
              <w:rPr>
                <w:rFonts w:hint="default" w:ascii="Times New Roman" w:hAnsi="Times New Roman" w:eastAsia="宋体" w:cs="Times New Roman"/>
                <w:snapToGrid w:val="0"/>
                <w:color w:val="auto"/>
                <w:kern w:val="0"/>
                <w:sz w:val="24"/>
                <w:highlight w:val="none"/>
                <w:lang w:val="en-US" w:eastAsia="zh-CN" w:bidi="en-US"/>
              </w:rPr>
              <w:t>》（2020年修订版）中包装印刷行业绩效分级指标</w:t>
            </w:r>
            <w:r>
              <w:rPr>
                <w:rFonts w:hint="eastAsia" w:cs="Times New Roman"/>
                <w:snapToGrid w:val="0"/>
                <w:color w:val="auto"/>
                <w:kern w:val="0"/>
                <w:sz w:val="24"/>
                <w:highlight w:val="none"/>
                <w:lang w:val="en-US" w:eastAsia="zh-CN" w:bidi="en-US"/>
              </w:rPr>
              <w:t>A</w:t>
            </w:r>
            <w:r>
              <w:rPr>
                <w:rFonts w:hint="default" w:ascii="Times New Roman" w:hAnsi="Times New Roman" w:eastAsia="宋体" w:cs="Times New Roman"/>
                <w:snapToGrid w:val="0"/>
                <w:color w:val="auto"/>
                <w:kern w:val="0"/>
                <w:sz w:val="24"/>
                <w:highlight w:val="none"/>
                <w:lang w:val="en-US" w:eastAsia="zh-CN" w:bidi="en-US"/>
              </w:rPr>
              <w:t>级要求。</w:t>
            </w:r>
          </w:p>
          <w:p w14:paraId="02D296D0">
            <w:pPr>
              <w:pStyle w:val="13"/>
              <w:keepNext w:val="0"/>
              <w:keepLines w:val="0"/>
              <w:suppressLineNumbers w:val="0"/>
              <w:bidi w:val="0"/>
              <w:spacing w:before="0" w:beforeAutospacing="0" w:after="0" w:afterAutospacing="0" w:line="360" w:lineRule="auto"/>
              <w:ind w:left="0" w:leftChars="0" w:right="0" w:firstLine="0" w:firstLineChars="0"/>
              <w:jc w:val="left"/>
              <w:rPr>
                <w:rFonts w:hint="default" w:ascii="Times New Roman" w:hAnsi="Times New Roman" w:eastAsia="宋体" w:cs="Times New Roman"/>
                <w:b/>
                <w:bCs/>
                <w:snapToGrid w:val="0"/>
                <w:kern w:val="0"/>
                <w:sz w:val="24"/>
                <w:szCs w:val="24"/>
                <w:lang w:val="en-US" w:eastAsia="zh-CN" w:bidi="en-US"/>
              </w:rPr>
            </w:pPr>
            <w:r>
              <w:rPr>
                <w:rFonts w:hint="eastAsia" w:ascii="Times New Roman" w:hAnsi="Times New Roman" w:eastAsia="宋体" w:cs="Times New Roman"/>
                <w:b/>
                <w:bCs/>
                <w:snapToGrid w:val="0"/>
                <w:kern w:val="0"/>
                <w:sz w:val="24"/>
                <w:szCs w:val="24"/>
                <w:lang w:val="en-US" w:eastAsia="zh-CN" w:bidi="en-US"/>
              </w:rPr>
              <w:t>7</w:t>
            </w:r>
            <w:r>
              <w:rPr>
                <w:rFonts w:hint="default" w:ascii="Times New Roman" w:hAnsi="Times New Roman" w:eastAsia="宋体" w:cs="Times New Roman"/>
                <w:b/>
                <w:bCs/>
                <w:snapToGrid w:val="0"/>
                <w:kern w:val="0"/>
                <w:sz w:val="24"/>
                <w:szCs w:val="24"/>
                <w:lang w:val="en-US" w:eastAsia="zh-CN" w:bidi="en-US"/>
              </w:rPr>
              <w:t>、防沙治沙措施</w:t>
            </w:r>
          </w:p>
          <w:p w14:paraId="6D669277">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60" w:lineRule="auto"/>
              <w:ind w:left="0" w:right="0" w:firstLine="480" w:firstLineChars="200"/>
              <w:jc w:val="left"/>
              <w:textAlignment w:val="baseline"/>
              <w:rPr>
                <w:rFonts w:hint="default" w:ascii="Times New Roman" w:hAnsi="Times New Roman" w:eastAsia="宋体" w:cs="Times New Roman"/>
                <w:snapToGrid w:val="0"/>
                <w:kern w:val="0"/>
                <w:sz w:val="24"/>
                <w:szCs w:val="24"/>
                <w:lang w:val="en-US" w:eastAsia="zh-CN" w:bidi="en-US"/>
              </w:rPr>
            </w:pPr>
            <w:r>
              <w:rPr>
                <w:rFonts w:hint="default" w:ascii="Times New Roman" w:hAnsi="Times New Roman" w:eastAsia="宋体" w:cs="Times New Roman"/>
                <w:snapToGrid w:val="0"/>
                <w:kern w:val="0"/>
                <w:sz w:val="24"/>
                <w:szCs w:val="24"/>
                <w:lang w:val="en-US" w:eastAsia="zh-CN" w:bidi="en-US"/>
              </w:rPr>
              <w:t>根据《河北省生态环境厅办公室关于进一步做好沙区建设项目环境影响评价工作的通知》(冀环办字函【2023】326号)，为贯彻落实《中华人民共和国防沙治沙法》，按照</w:t>
            </w:r>
            <w:r>
              <w:rPr>
                <w:rFonts w:hint="eastAsia" w:ascii="Times New Roman" w:hAnsi="Times New Roman" w:eastAsia="宋体" w:cs="Times New Roman"/>
                <w:snapToGrid w:val="0"/>
                <w:kern w:val="0"/>
                <w:sz w:val="24"/>
                <w:szCs w:val="24"/>
                <w:lang w:val="en-US" w:eastAsia="zh-CN" w:bidi="en-US"/>
              </w:rPr>
              <w:t>“</w:t>
            </w:r>
            <w:r>
              <w:rPr>
                <w:rFonts w:hint="default" w:ascii="Times New Roman" w:hAnsi="Times New Roman" w:eastAsia="宋体" w:cs="Times New Roman"/>
                <w:snapToGrid w:val="0"/>
                <w:kern w:val="0"/>
                <w:sz w:val="24"/>
                <w:szCs w:val="24"/>
                <w:lang w:val="en-US" w:eastAsia="zh-CN" w:bidi="en-US"/>
              </w:rPr>
              <w:t>在沙化土地范围内从事开发建设活动的，必须事先就该项目可能对当地及相关地区生态产生的影响进行环境影响评价，依法提交环境影响报告</w:t>
            </w:r>
            <w:r>
              <w:rPr>
                <w:rFonts w:hint="eastAsia" w:cs="Times New Roman"/>
                <w:snapToGrid w:val="0"/>
                <w:kern w:val="0"/>
                <w:sz w:val="24"/>
                <w:szCs w:val="24"/>
                <w:lang w:val="en-US" w:eastAsia="zh-CN" w:bidi="en-US"/>
              </w:rPr>
              <w:t>；</w:t>
            </w:r>
            <w:r>
              <w:rPr>
                <w:rFonts w:hint="default" w:ascii="Times New Roman" w:hAnsi="Times New Roman" w:eastAsia="宋体" w:cs="Times New Roman"/>
                <w:snapToGrid w:val="0"/>
                <w:kern w:val="0"/>
                <w:sz w:val="24"/>
                <w:szCs w:val="24"/>
                <w:lang w:val="en-US" w:eastAsia="zh-CN" w:bidi="en-US"/>
              </w:rPr>
              <w:t>环境影响报告应当包括有关防沙治沙的内容</w:t>
            </w:r>
            <w:r>
              <w:rPr>
                <w:rFonts w:hint="eastAsia" w:ascii="Times New Roman" w:hAnsi="Times New Roman" w:eastAsia="宋体" w:cs="Times New Roman"/>
                <w:snapToGrid w:val="0"/>
                <w:kern w:val="0"/>
                <w:sz w:val="24"/>
                <w:szCs w:val="24"/>
                <w:lang w:val="en-US" w:eastAsia="zh-CN" w:bidi="en-US"/>
              </w:rPr>
              <w:t>”</w:t>
            </w:r>
            <w:r>
              <w:rPr>
                <w:rFonts w:hint="default" w:ascii="Times New Roman" w:hAnsi="Times New Roman" w:eastAsia="宋体" w:cs="Times New Roman"/>
                <w:snapToGrid w:val="0"/>
                <w:kern w:val="0"/>
                <w:sz w:val="24"/>
                <w:szCs w:val="24"/>
                <w:lang w:val="en-US" w:eastAsia="zh-CN" w:bidi="en-US"/>
              </w:rPr>
              <w:t>规定。根据该文件可知，沙区范围主要涉及的地区有关沧州地区的为</w:t>
            </w:r>
            <w:r>
              <w:rPr>
                <w:rFonts w:hint="eastAsia" w:cs="Times New Roman"/>
                <w:snapToGrid w:val="0"/>
                <w:kern w:val="0"/>
                <w:sz w:val="24"/>
                <w:szCs w:val="24"/>
                <w:lang w:val="en-US" w:eastAsia="zh-CN" w:bidi="en-US"/>
              </w:rPr>
              <w:t>：</w:t>
            </w:r>
            <w:r>
              <w:rPr>
                <w:rFonts w:hint="default" w:ascii="Times New Roman" w:hAnsi="Times New Roman" w:eastAsia="宋体" w:cs="Times New Roman"/>
                <w:snapToGrid w:val="0"/>
                <w:kern w:val="0"/>
                <w:sz w:val="24"/>
                <w:szCs w:val="24"/>
                <w:lang w:val="en-US" w:eastAsia="zh-CN" w:bidi="en-US"/>
              </w:rPr>
              <w:t>东光县、河间市、孟村回族自治县、南皮县、献县。</w:t>
            </w:r>
          </w:p>
          <w:p w14:paraId="22D19619">
            <w:pPr>
              <w:keepNext w:val="0"/>
              <w:keepLines w:val="0"/>
              <w:suppressLineNumbers w:val="0"/>
              <w:adjustRightInd w:val="0"/>
              <w:spacing w:before="0" w:beforeAutospacing="0" w:after="0" w:afterAutospacing="0" w:line="360" w:lineRule="auto"/>
              <w:ind w:left="0" w:right="0" w:firstLine="480" w:firstLineChars="200"/>
              <w:jc w:val="left"/>
              <w:textAlignment w:val="baseline"/>
              <w:rPr>
                <w:rFonts w:hint="default" w:ascii="Times New Roman" w:hAnsi="Times New Roman" w:eastAsia="宋体" w:cs="Times New Roman"/>
                <w:snapToGrid w:val="0"/>
                <w:kern w:val="0"/>
                <w:sz w:val="24"/>
                <w:szCs w:val="24"/>
                <w:lang w:val="en-US" w:eastAsia="zh-CN" w:bidi="en-US"/>
              </w:rPr>
            </w:pPr>
            <w:r>
              <w:rPr>
                <w:rFonts w:hint="default" w:ascii="Times New Roman" w:hAnsi="Times New Roman" w:eastAsia="宋体" w:cs="Times New Roman"/>
                <w:snapToGrid w:val="0"/>
                <w:kern w:val="0"/>
                <w:sz w:val="24"/>
                <w:szCs w:val="24"/>
                <w:lang w:val="en-US" w:eastAsia="zh-CN" w:bidi="en-US"/>
              </w:rPr>
              <w:t>本项目位于</w:t>
            </w:r>
            <w:r>
              <w:rPr>
                <w:rFonts w:hint="eastAsia" w:ascii="Times New Roman" w:hAnsi="Times New Roman" w:eastAsia="宋体" w:cs="Times New Roman"/>
                <w:snapToGrid w:val="0"/>
                <w:kern w:val="0"/>
                <w:sz w:val="24"/>
                <w:szCs w:val="24"/>
                <w:lang w:val="en-US" w:eastAsia="zh-CN" w:bidi="en-US"/>
              </w:rPr>
              <w:t>沧州临港经济技术开发区西区</w:t>
            </w:r>
            <w:r>
              <w:rPr>
                <w:rFonts w:hint="default" w:ascii="Times New Roman" w:hAnsi="Times New Roman" w:eastAsia="宋体" w:cs="Times New Roman"/>
                <w:snapToGrid w:val="0"/>
                <w:kern w:val="0"/>
                <w:sz w:val="24"/>
                <w:szCs w:val="24"/>
                <w:lang w:val="en-US" w:eastAsia="zh-CN" w:bidi="en-US"/>
              </w:rPr>
              <w:t>，不涉及沙化地区，不新增占地，无土建工程，在</w:t>
            </w:r>
            <w:r>
              <w:rPr>
                <w:rFonts w:hint="eastAsia" w:cs="Times New Roman"/>
                <w:snapToGrid w:val="0"/>
                <w:kern w:val="0"/>
                <w:sz w:val="24"/>
                <w:szCs w:val="24"/>
                <w:lang w:val="en-US" w:eastAsia="zh-CN" w:bidi="en-US"/>
              </w:rPr>
              <w:t>项目</w:t>
            </w:r>
            <w:r>
              <w:rPr>
                <w:rFonts w:hint="default" w:ascii="Times New Roman" w:hAnsi="Times New Roman" w:eastAsia="宋体" w:cs="Times New Roman"/>
                <w:snapToGrid w:val="0"/>
                <w:kern w:val="0"/>
                <w:sz w:val="24"/>
                <w:szCs w:val="24"/>
                <w:lang w:val="en-US" w:eastAsia="zh-CN" w:bidi="en-US"/>
              </w:rPr>
              <w:t>室内施工建设过程中，不会造成水土流失</w:t>
            </w:r>
            <w:r>
              <w:rPr>
                <w:rFonts w:hint="eastAsia" w:ascii="Times New Roman" w:hAnsi="Times New Roman" w:eastAsia="宋体" w:cs="Times New Roman"/>
                <w:snapToGrid w:val="0"/>
                <w:kern w:val="0"/>
                <w:sz w:val="24"/>
                <w:szCs w:val="24"/>
                <w:lang w:val="en-US" w:eastAsia="zh-CN" w:bidi="en-US"/>
              </w:rPr>
              <w:t>，且不</w:t>
            </w:r>
            <w:r>
              <w:rPr>
                <w:rFonts w:hint="default" w:ascii="Times New Roman" w:hAnsi="Times New Roman" w:eastAsia="宋体" w:cs="Times New Roman"/>
                <w:snapToGrid w:val="0"/>
                <w:kern w:val="0"/>
                <w:sz w:val="24"/>
                <w:szCs w:val="24"/>
                <w:lang w:val="en-US" w:eastAsia="zh-CN" w:bidi="en-US"/>
              </w:rPr>
              <w:t>属于沙化土地范围。</w:t>
            </w:r>
          </w:p>
          <w:p w14:paraId="18DB05ED">
            <w:pPr>
              <w:keepNext w:val="0"/>
              <w:keepLines w:val="0"/>
              <w:suppressLineNumbers w:val="0"/>
              <w:adjustRightInd w:val="0"/>
              <w:spacing w:before="0" w:beforeAutospacing="0" w:after="0" w:afterAutospacing="0" w:line="480" w:lineRule="atLeast"/>
              <w:ind w:left="0" w:right="0"/>
              <w:jc w:val="left"/>
              <w:textAlignment w:val="baseline"/>
              <w:rPr>
                <w:rFonts w:hint="default" w:ascii="Times New Roman" w:hAnsi="Times New Roman" w:eastAsia="宋体" w:cs="Times New Roman"/>
                <w:kern w:val="0"/>
                <w:sz w:val="24"/>
                <w:lang w:val="en-US" w:eastAsia="zh-CN"/>
              </w:rPr>
            </w:pPr>
          </w:p>
        </w:tc>
      </w:tr>
    </w:tbl>
    <w:p w14:paraId="3C152BB3">
      <w:pPr>
        <w:spacing w:line="360" w:lineRule="auto"/>
        <w:outlineLvl w:val="0"/>
        <w:rPr>
          <w:rFonts w:eastAsia="黑体"/>
          <w:sz w:val="30"/>
        </w:rPr>
        <w:sectPr>
          <w:footerReference r:id="rId4" w:type="default"/>
          <w:pgSz w:w="11906" w:h="16838"/>
          <w:pgMar w:top="1701" w:right="1531" w:bottom="1701" w:left="1531" w:header="851" w:footer="1077" w:gutter="0"/>
          <w:pgBorders>
            <w:top w:val="none" w:sz="0" w:space="0"/>
            <w:left w:val="none" w:sz="0" w:space="0"/>
            <w:bottom w:val="none" w:sz="0" w:space="0"/>
            <w:right w:val="none" w:sz="0" w:space="0"/>
          </w:pgBorders>
          <w:pgNumType w:start="1"/>
          <w:cols w:space="720" w:num="1"/>
          <w:docGrid w:linePitch="312" w:charSpace="0"/>
        </w:sectPr>
      </w:pPr>
    </w:p>
    <w:p w14:paraId="7049879E">
      <w:pPr>
        <w:pStyle w:val="34"/>
        <w:numPr>
          <w:ilvl w:val="0"/>
          <w:numId w:val="4"/>
        </w:numPr>
        <w:spacing w:before="0" w:beforeAutospacing="0" w:after="0" w:afterAutospacing="0" w:line="240" w:lineRule="atLeast"/>
        <w:jc w:val="center"/>
        <w:outlineLvl w:val="0"/>
        <w:rPr>
          <w:rFonts w:hint="eastAsia" w:eastAsia="宋体"/>
          <w:lang w:eastAsia="zh-CN"/>
        </w:rPr>
      </w:pPr>
      <w:r>
        <w:rPr>
          <w:rFonts w:ascii="Times New Roman" w:hAnsi="Times New Roman" w:eastAsia="黑体" w:cs="Times New Roman"/>
          <w:snapToGrid w:val="0"/>
          <w:sz w:val="30"/>
          <w:szCs w:val="30"/>
        </w:rPr>
        <w:t>建设项目工程分析</w:t>
      </w:r>
    </w:p>
    <w:tbl>
      <w:tblPr>
        <w:tblStyle w:val="3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96"/>
        <w:gridCol w:w="8488"/>
      </w:tblGrid>
      <w:tr w14:paraId="0CFEB3C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877" w:hRule="atLeast"/>
          <w:jc w:val="center"/>
        </w:trPr>
        <w:tc>
          <w:tcPr>
            <w:tcW w:w="496" w:type="dxa"/>
            <w:noWrap w:val="0"/>
            <w:vAlign w:val="center"/>
          </w:tcPr>
          <w:p w14:paraId="34B50A39">
            <w:pPr>
              <w:pStyle w:val="34"/>
              <w:keepNext w:val="0"/>
              <w:keepLines w:val="0"/>
              <w:suppressLineNumbers w:val="0"/>
              <w:adjustRightInd w:val="0"/>
              <w:snapToGrid w:val="0"/>
              <w:spacing w:before="0" w:beforeAutospacing="0" w:after="0" w:afterAutospacing="0" w:line="360" w:lineRule="auto"/>
              <w:ind w:left="0" w:right="0"/>
              <w:jc w:val="center"/>
              <w:rPr>
                <w:rFonts w:hint="default" w:ascii="Times New Roman" w:hAnsi="Times New Roman" w:cs="Times New Roman"/>
                <w:b/>
                <w:szCs w:val="24"/>
                <w:lang w:val="en-US" w:eastAsia="zh-CN"/>
              </w:rPr>
            </w:pPr>
            <w:r>
              <w:rPr>
                <w:rFonts w:hint="default" w:ascii="Times New Roman" w:hAnsi="Times New Roman" w:cs="Times New Roman"/>
                <w:b/>
                <w:szCs w:val="24"/>
                <w:lang w:val="en-US" w:eastAsia="zh-CN"/>
              </w:rPr>
              <w:t>建设内容</w:t>
            </w:r>
          </w:p>
        </w:tc>
        <w:tc>
          <w:tcPr>
            <w:tcW w:w="8488" w:type="dxa"/>
            <w:noWrap w:val="0"/>
            <w:vAlign w:val="top"/>
          </w:tcPr>
          <w:p w14:paraId="21CEEA8A">
            <w:pPr>
              <w:keepNext w:val="0"/>
              <w:keepLines w:val="0"/>
              <w:numPr>
                <w:ilvl w:val="0"/>
                <w:numId w:val="0"/>
              </w:numPr>
              <w:suppressLineNumbers w:val="0"/>
              <w:spacing w:before="0" w:beforeAutospacing="0" w:after="0" w:afterAutospacing="0" w:line="440" w:lineRule="exact"/>
              <w:ind w:left="0" w:right="0"/>
              <w:rPr>
                <w:rFonts w:hint="eastAsia" w:ascii="Times New Roman" w:hAnsi="Times New Roman" w:cs="Times New Roman"/>
                <w:b/>
                <w:bCs/>
                <w:sz w:val="24"/>
                <w:szCs w:val="22"/>
                <w:lang w:eastAsia="zh-CN"/>
              </w:rPr>
            </w:pPr>
            <w:r>
              <w:rPr>
                <w:rFonts w:hint="eastAsia" w:ascii="Times New Roman" w:hAnsi="Times New Roman" w:cs="Times New Roman"/>
                <w:b/>
                <w:bCs/>
                <w:sz w:val="24"/>
                <w:szCs w:val="22"/>
                <w:lang w:val="en-US" w:eastAsia="zh-CN"/>
              </w:rPr>
              <w:t>1、</w:t>
            </w:r>
            <w:r>
              <w:rPr>
                <w:rFonts w:hint="eastAsia" w:ascii="Times New Roman" w:hAnsi="Times New Roman" w:cs="Times New Roman"/>
                <w:b/>
                <w:bCs/>
                <w:sz w:val="24"/>
                <w:szCs w:val="22"/>
                <w:lang w:eastAsia="zh-CN"/>
              </w:rPr>
              <w:t>项目由来</w:t>
            </w:r>
          </w:p>
          <w:p w14:paraId="0884197E">
            <w:pPr>
              <w:keepNext w:val="0"/>
              <w:keepLines w:val="0"/>
              <w:suppressLineNumbers w:val="0"/>
              <w:spacing w:before="0" w:beforeAutospacing="0" w:after="0" w:afterAutospacing="0" w:line="440" w:lineRule="exact"/>
              <w:ind w:left="0" w:right="0" w:firstLine="480" w:firstLineChars="200"/>
              <w:rPr>
                <w:rFonts w:hint="eastAsia" w:ascii="Times New Roman" w:hAnsi="Times New Roman" w:eastAsia="宋体" w:cs="Times New Roman"/>
                <w:sz w:val="24"/>
                <w:highlight w:val="none"/>
                <w:lang w:val="en-US" w:eastAsia="zh-CN"/>
              </w:rPr>
            </w:pPr>
            <w:r>
              <w:rPr>
                <w:rFonts w:hint="eastAsia" w:ascii="Times New Roman" w:hAnsi="Times New Roman" w:eastAsia="宋体" w:cs="Times New Roman"/>
                <w:sz w:val="24"/>
                <w:highlight w:val="none"/>
                <w:lang w:val="en-US" w:eastAsia="zh-CN"/>
              </w:rPr>
              <w:t>为了提高车间洁净程度，提升产品品质，</w:t>
            </w:r>
            <w:r>
              <w:rPr>
                <w:rFonts w:hint="eastAsia" w:ascii="Times New Roman" w:hAnsi="Times New Roman" w:cs="Times New Roman"/>
                <w:sz w:val="24"/>
                <w:highlight w:val="none"/>
                <w:lang w:val="en-US" w:eastAsia="zh-CN"/>
              </w:rPr>
              <w:t>项目在原有车间基础上进行改造，在现有车间内划定区域建设洁净车间，</w:t>
            </w:r>
            <w:r>
              <w:rPr>
                <w:rFonts w:hint="eastAsia" w:cs="Times New Roman"/>
                <w:sz w:val="24"/>
                <w:highlight w:val="none"/>
                <w:lang w:val="en-US" w:eastAsia="zh-CN"/>
              </w:rPr>
              <w:t>洁净等级为十万级，</w:t>
            </w:r>
            <w:r>
              <w:rPr>
                <w:rFonts w:hint="eastAsia" w:ascii="Times New Roman" w:hAnsi="Times New Roman" w:cs="Times New Roman"/>
                <w:color w:val="auto"/>
                <w:sz w:val="24"/>
                <w:highlight w:val="none"/>
                <w:lang w:val="en-US" w:eastAsia="zh-CN"/>
              </w:rPr>
              <w:t>占地662.998</w:t>
            </w:r>
            <w:r>
              <w:rPr>
                <w:rFonts w:hint="default" w:ascii="Times New Roman" w:hAnsi="Times New Roman" w:eastAsia="宋体" w:cs="Times New Roman"/>
                <w:color w:val="auto"/>
                <w:sz w:val="21"/>
                <w:szCs w:val="21"/>
                <w:highlight w:val="none"/>
                <w:lang w:val="en-US" w:eastAsia="zh-CN"/>
              </w:rPr>
              <w:t>m</w:t>
            </w:r>
            <w:r>
              <w:rPr>
                <w:rFonts w:hint="default" w:ascii="Times New Roman" w:hAnsi="Times New Roman" w:eastAsia="宋体" w:cs="Times New Roman"/>
                <w:color w:val="auto"/>
                <w:sz w:val="21"/>
                <w:szCs w:val="21"/>
                <w:highlight w:val="none"/>
                <w:vertAlign w:val="superscript"/>
                <w:lang w:val="en-US" w:eastAsia="zh-CN"/>
              </w:rPr>
              <w:t>2</w:t>
            </w:r>
            <w:r>
              <w:rPr>
                <w:rFonts w:hint="eastAsia" w:ascii="Times New Roman" w:hAnsi="Times New Roman" w:cs="Times New Roman"/>
                <w:color w:val="auto"/>
                <w:sz w:val="24"/>
                <w:highlight w:val="none"/>
                <w:lang w:val="en-US" w:eastAsia="zh-CN"/>
              </w:rPr>
              <w:t>，建筑面积</w:t>
            </w:r>
            <w:r>
              <w:rPr>
                <w:rFonts w:hint="eastAsia" w:cs="Times New Roman"/>
                <w:color w:val="auto"/>
                <w:sz w:val="24"/>
                <w:highlight w:val="none"/>
                <w:lang w:val="en-US" w:eastAsia="zh-CN"/>
              </w:rPr>
              <w:t>662.998</w:t>
            </w:r>
            <w:r>
              <w:rPr>
                <w:rFonts w:hint="default" w:ascii="Times New Roman" w:hAnsi="Times New Roman" w:eastAsia="宋体" w:cs="Times New Roman"/>
                <w:color w:val="auto"/>
                <w:sz w:val="21"/>
                <w:szCs w:val="21"/>
                <w:highlight w:val="none"/>
                <w:lang w:val="en-US" w:eastAsia="zh-CN"/>
              </w:rPr>
              <w:t>m</w:t>
            </w:r>
            <w:r>
              <w:rPr>
                <w:rFonts w:hint="default" w:ascii="Times New Roman" w:hAnsi="Times New Roman" w:eastAsia="宋体" w:cs="Times New Roman"/>
                <w:color w:val="auto"/>
                <w:sz w:val="21"/>
                <w:szCs w:val="21"/>
                <w:highlight w:val="none"/>
                <w:vertAlign w:val="superscript"/>
                <w:lang w:val="en-US" w:eastAsia="zh-CN"/>
              </w:rPr>
              <w:t>2</w:t>
            </w:r>
            <w:r>
              <w:rPr>
                <w:rFonts w:hint="eastAsia" w:ascii="Times New Roman" w:hAnsi="Times New Roman" w:cs="Times New Roman"/>
                <w:sz w:val="24"/>
                <w:highlight w:val="none"/>
                <w:lang w:val="en-US" w:eastAsia="zh-CN"/>
              </w:rPr>
              <w:t>。技改项目建成后</w:t>
            </w:r>
            <w:r>
              <w:rPr>
                <w:rFonts w:hint="eastAsia" w:cs="Times New Roman"/>
                <w:sz w:val="24"/>
                <w:highlight w:val="none"/>
                <w:lang w:val="en-US" w:eastAsia="zh-CN"/>
              </w:rPr>
              <w:t>全厂</w:t>
            </w:r>
            <w:r>
              <w:rPr>
                <w:rFonts w:hint="eastAsia" w:ascii="Times New Roman" w:hAnsi="Times New Roman" w:cs="Times New Roman"/>
                <w:sz w:val="24"/>
                <w:highlight w:val="none"/>
                <w:lang w:val="en-US" w:eastAsia="zh-CN"/>
              </w:rPr>
              <w:t>原辅料</w:t>
            </w:r>
            <w:r>
              <w:rPr>
                <w:rFonts w:hint="eastAsia" w:cs="Times New Roman"/>
                <w:sz w:val="24"/>
                <w:highlight w:val="none"/>
                <w:lang w:val="en-US" w:eastAsia="zh-CN"/>
              </w:rPr>
              <w:t>总</w:t>
            </w:r>
            <w:r>
              <w:rPr>
                <w:rFonts w:hint="eastAsia" w:ascii="Times New Roman" w:hAnsi="Times New Roman" w:cs="Times New Roman"/>
                <w:sz w:val="24"/>
                <w:highlight w:val="none"/>
                <w:lang w:val="en-US" w:eastAsia="zh-CN"/>
              </w:rPr>
              <w:t>使用量不变，总产量不变，仅增加部分设备投入到洁净车间生产部分产品，同时非洁净车间产量相应减少。</w:t>
            </w:r>
            <w:r>
              <w:rPr>
                <w:rFonts w:hint="eastAsia" w:cs="Times New Roman"/>
                <w:sz w:val="24"/>
                <w:highlight w:val="none"/>
                <w:lang w:val="en-US" w:eastAsia="zh-CN"/>
              </w:rPr>
              <w:t>本项目生产中药包装袋为非药用标准的普通中药包装。</w:t>
            </w:r>
          </w:p>
          <w:p w14:paraId="6F678C55">
            <w:pPr>
              <w:keepNext w:val="0"/>
              <w:keepLines w:val="0"/>
              <w:suppressLineNumbers w:val="0"/>
              <w:spacing w:before="0" w:beforeAutospacing="0" w:after="0" w:afterAutospacing="0" w:line="440" w:lineRule="exact"/>
              <w:ind w:left="0" w:right="0"/>
              <w:rPr>
                <w:rFonts w:hint="default" w:ascii="Times New Roman" w:hAnsi="Times New Roman" w:cs="Times New Roman"/>
                <w:b/>
                <w:sz w:val="24"/>
              </w:rPr>
            </w:pPr>
            <w:r>
              <w:rPr>
                <w:rFonts w:hint="eastAsia" w:ascii="Times New Roman" w:hAnsi="Times New Roman" w:cs="Times New Roman"/>
                <w:b/>
                <w:bCs/>
                <w:sz w:val="24"/>
                <w:szCs w:val="22"/>
                <w:lang w:val="en-US" w:eastAsia="zh-CN"/>
              </w:rPr>
              <w:t>2、</w:t>
            </w:r>
            <w:r>
              <w:rPr>
                <w:rFonts w:hint="eastAsia" w:ascii="Times New Roman" w:hAnsi="Times New Roman" w:cs="Times New Roman"/>
                <w:b/>
                <w:bCs/>
                <w:sz w:val="24"/>
                <w:szCs w:val="22"/>
              </w:rPr>
              <w:t>项目组成</w:t>
            </w:r>
            <w:r>
              <w:rPr>
                <w:rFonts w:hint="default" w:ascii="Times New Roman" w:hAnsi="Times New Roman" w:cs="Times New Roman"/>
                <w:b/>
                <w:bCs/>
                <w:sz w:val="24"/>
                <w:szCs w:val="22"/>
              </w:rPr>
              <w:t>及工程内容</w:t>
            </w:r>
          </w:p>
          <w:p w14:paraId="45BA4A10">
            <w:pPr>
              <w:keepNext w:val="0"/>
              <w:keepLines w:val="0"/>
              <w:suppressLineNumbers w:val="0"/>
              <w:spacing w:before="0" w:beforeAutospacing="0" w:after="0" w:afterAutospacing="0" w:line="440" w:lineRule="exact"/>
              <w:ind w:left="0" w:right="0" w:firstLine="480" w:firstLineChars="200"/>
              <w:rPr>
                <w:rFonts w:hint="default" w:ascii="Times New Roman" w:hAnsi="Times New Roman" w:cs="Times New Roman"/>
                <w:bCs/>
                <w:sz w:val="24"/>
              </w:rPr>
            </w:pPr>
            <w:r>
              <w:rPr>
                <w:rFonts w:hint="eastAsia" w:ascii="Times New Roman" w:hAnsi="Times New Roman" w:cs="Times New Roman"/>
                <w:sz w:val="24"/>
                <w:szCs w:val="24"/>
                <w:lang w:val="en-US" w:eastAsia="zh-CN"/>
              </w:rPr>
              <w:t>项目建设洁净车间</w:t>
            </w:r>
            <w:r>
              <w:rPr>
                <w:rFonts w:hint="eastAsia" w:cs="Times New Roman"/>
                <w:sz w:val="24"/>
                <w:szCs w:val="24"/>
                <w:lang w:val="en-US" w:eastAsia="zh-CN"/>
              </w:rPr>
              <w:t>（</w:t>
            </w:r>
            <w:r>
              <w:rPr>
                <w:rFonts w:hint="eastAsia" w:ascii="Times New Roman" w:hAnsi="Times New Roman" w:cs="Times New Roman"/>
                <w:sz w:val="24"/>
                <w:szCs w:val="24"/>
                <w:lang w:val="en-US" w:eastAsia="zh-CN"/>
              </w:rPr>
              <w:t>主要对原有建筑物进行改造</w:t>
            </w:r>
            <w:r>
              <w:rPr>
                <w:rFonts w:hint="eastAsia" w:cs="Times New Roman"/>
                <w:sz w:val="24"/>
                <w:szCs w:val="24"/>
                <w:lang w:val="en-US" w:eastAsia="zh-CN"/>
              </w:rPr>
              <w:t>）</w:t>
            </w:r>
            <w:r>
              <w:rPr>
                <w:rFonts w:hint="eastAsia" w:ascii="Times New Roman" w:hAnsi="Times New Roman" w:cs="Times New Roman"/>
                <w:sz w:val="24"/>
                <w:szCs w:val="24"/>
                <w:lang w:val="en-US" w:eastAsia="zh-CN"/>
              </w:rPr>
              <w:t>，洁净车间内主要分为印刷室、复合室、固化室、分切室和外包间等，购置</w:t>
            </w:r>
            <w:r>
              <w:rPr>
                <w:rFonts w:hint="eastAsia" w:cs="Times New Roman"/>
                <w:sz w:val="24"/>
                <w:szCs w:val="24"/>
                <w:lang w:val="en-US" w:eastAsia="zh-CN"/>
              </w:rPr>
              <w:t>安装</w:t>
            </w:r>
            <w:r>
              <w:rPr>
                <w:rFonts w:hint="eastAsia" w:ascii="Times New Roman" w:hAnsi="Times New Roman" w:cs="Times New Roman"/>
                <w:sz w:val="24"/>
                <w:szCs w:val="24"/>
                <w:lang w:val="en-US" w:eastAsia="zh-CN"/>
              </w:rPr>
              <w:t>印刷机、无溶剂复合机、固化室、高速分切机</w:t>
            </w:r>
            <w:r>
              <w:rPr>
                <w:rFonts w:hint="eastAsia" w:cs="Times New Roman"/>
                <w:sz w:val="24"/>
                <w:szCs w:val="24"/>
                <w:lang w:val="en-US" w:eastAsia="zh-CN"/>
              </w:rPr>
              <w:t>（</w:t>
            </w:r>
            <w:r>
              <w:rPr>
                <w:rFonts w:hint="eastAsia" w:ascii="Times New Roman" w:hAnsi="Times New Roman" w:cs="Times New Roman"/>
                <w:sz w:val="24"/>
                <w:szCs w:val="24"/>
                <w:lang w:val="en-US" w:eastAsia="zh-CN"/>
              </w:rPr>
              <w:t>旧</w:t>
            </w:r>
            <w:r>
              <w:rPr>
                <w:rFonts w:hint="eastAsia" w:cs="Times New Roman"/>
                <w:sz w:val="24"/>
                <w:szCs w:val="24"/>
                <w:lang w:val="en-US" w:eastAsia="zh-CN"/>
              </w:rPr>
              <w:t>）</w:t>
            </w:r>
            <w:r>
              <w:rPr>
                <w:rFonts w:hint="eastAsia" w:ascii="Times New Roman" w:hAnsi="Times New Roman" w:cs="Times New Roman"/>
                <w:sz w:val="24"/>
                <w:szCs w:val="24"/>
                <w:lang w:val="en-US" w:eastAsia="zh-CN"/>
              </w:rPr>
              <w:t>设备。原项目总产能年产24万套中药包装袋（通用卷）、22万套中药包装袋（印字卷），项目建成后，洁净车间可年产6万套中药包装袋（通用卷）、5万套中药包装袋（印字卷），非洁净车间可年产18万套中药包装袋（通用卷）、17万套中药包装袋（印字卷）。本</w:t>
            </w:r>
            <w:r>
              <w:rPr>
                <w:rFonts w:hint="eastAsia" w:ascii="Times New Roman" w:hAnsi="Times New Roman" w:cs="Times New Roman"/>
                <w:color w:val="auto"/>
                <w:sz w:val="24"/>
                <w:szCs w:val="24"/>
                <w:highlight w:val="none"/>
                <w:lang w:val="en-US" w:eastAsia="zh-CN"/>
              </w:rPr>
              <w:t>项目建成后总产能不变</w:t>
            </w:r>
            <w:r>
              <w:rPr>
                <w:rFonts w:hint="eastAsia" w:ascii="Times New Roman" w:hAnsi="Times New Roman" w:cs="Times New Roman"/>
                <w:sz w:val="24"/>
                <w:szCs w:val="24"/>
                <w:lang w:val="en-US" w:eastAsia="zh-CN"/>
              </w:rPr>
              <w:t>。</w:t>
            </w:r>
            <w:r>
              <w:rPr>
                <w:rFonts w:hint="eastAsia" w:ascii="Times New Roman" w:hAnsi="Times New Roman" w:cs="Times New Roman"/>
                <w:sz w:val="24"/>
                <w:lang w:val="en-US" w:eastAsia="zh-CN"/>
              </w:rPr>
              <w:t>技改项目</w:t>
            </w:r>
            <w:r>
              <w:rPr>
                <w:rFonts w:hint="eastAsia" w:ascii="Times New Roman" w:hAnsi="Times New Roman" w:cs="Times New Roman"/>
                <w:bCs/>
                <w:sz w:val="24"/>
              </w:rPr>
              <w:t>工程组成表</w:t>
            </w:r>
            <w:r>
              <w:rPr>
                <w:rFonts w:hint="default" w:ascii="Times New Roman" w:hAnsi="Times New Roman" w:cs="Times New Roman"/>
                <w:bCs/>
                <w:sz w:val="24"/>
              </w:rPr>
              <w:t>见</w:t>
            </w:r>
            <w:r>
              <w:rPr>
                <w:rFonts w:hint="eastAsia" w:ascii="Times New Roman" w:hAnsi="Times New Roman" w:cs="Times New Roman"/>
                <w:bCs/>
                <w:sz w:val="24"/>
              </w:rPr>
              <w:t>下</w:t>
            </w:r>
            <w:r>
              <w:rPr>
                <w:rFonts w:hint="default" w:ascii="Times New Roman" w:hAnsi="Times New Roman" w:cs="Times New Roman"/>
                <w:bCs/>
                <w:sz w:val="24"/>
              </w:rPr>
              <w:t>表</w:t>
            </w:r>
            <w:r>
              <w:rPr>
                <w:rFonts w:hint="default" w:ascii="Times New Roman" w:hAnsi="Times New Roman" w:cs="Times New Roman"/>
                <w:sz w:val="24"/>
                <w:szCs w:val="22"/>
              </w:rPr>
              <w:t>。</w:t>
            </w:r>
            <w:bookmarkStart w:id="2" w:name="_Ref369161541"/>
          </w:p>
          <w:bookmarkEnd w:id="2"/>
          <w:p w14:paraId="1BF77E8A">
            <w:pPr>
              <w:keepNext w:val="0"/>
              <w:keepLines w:val="0"/>
              <w:suppressLineNumbers w:val="0"/>
              <w:spacing w:before="0" w:beforeAutospacing="0" w:after="0" w:afterAutospacing="0" w:line="240" w:lineRule="auto"/>
              <w:ind w:left="0" w:right="0" w:firstLine="422" w:firstLineChars="200"/>
              <w:jc w:val="center"/>
              <w:rPr>
                <w:rFonts w:hint="eastAsia" w:ascii="Times New Roman" w:hAnsi="Times New Roman" w:eastAsia="宋体" w:cs="Times New Roman"/>
                <w:b/>
                <w:bCs/>
                <w:color w:val="000000"/>
                <w:kern w:val="0"/>
                <w:sz w:val="21"/>
                <w:szCs w:val="21"/>
                <w:lang w:val="en-US" w:eastAsia="zh-CN" w:bidi="ar-SA"/>
              </w:rPr>
            </w:pPr>
            <w:r>
              <w:rPr>
                <w:rFonts w:hint="eastAsia" w:ascii="Times New Roman" w:hAnsi="Times New Roman" w:eastAsia="宋体" w:cs="Times New Roman"/>
                <w:b/>
                <w:bCs/>
                <w:color w:val="000000"/>
                <w:kern w:val="0"/>
                <w:sz w:val="21"/>
                <w:szCs w:val="21"/>
                <w:lang w:val="en-US" w:eastAsia="zh-CN" w:bidi="ar-SA"/>
              </w:rPr>
              <w:t>项目工程组成表</w:t>
            </w:r>
          </w:p>
          <w:tbl>
            <w:tblPr>
              <w:tblStyle w:val="38"/>
              <w:tblW w:w="501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1"/>
              <w:gridCol w:w="680"/>
              <w:gridCol w:w="1757"/>
              <w:gridCol w:w="1757"/>
              <w:gridCol w:w="1757"/>
              <w:gridCol w:w="1757"/>
            </w:tblGrid>
            <w:tr w14:paraId="251C24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jc w:val="center"/>
              </w:trPr>
              <w:tc>
                <w:tcPr>
                  <w:tcW w:w="350" w:type="pct"/>
                  <w:noWrap w:val="0"/>
                  <w:tcMar>
                    <w:left w:w="57" w:type="dxa"/>
                    <w:right w:w="57" w:type="dxa"/>
                  </w:tcMar>
                  <w:vAlign w:val="center"/>
                </w:tcPr>
                <w:p w14:paraId="1F80079C">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项目</w:t>
                  </w:r>
                </w:p>
              </w:tc>
              <w:tc>
                <w:tcPr>
                  <w:tcW w:w="410" w:type="pct"/>
                  <w:noWrap w:val="0"/>
                  <w:tcMar>
                    <w:left w:w="57" w:type="dxa"/>
                    <w:right w:w="57" w:type="dxa"/>
                  </w:tcMar>
                  <w:vAlign w:val="center"/>
                </w:tcPr>
                <w:p w14:paraId="167B504D">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建设内容</w:t>
                  </w:r>
                </w:p>
              </w:tc>
              <w:tc>
                <w:tcPr>
                  <w:tcW w:w="1059" w:type="pct"/>
                  <w:noWrap w:val="0"/>
                  <w:tcMar>
                    <w:left w:w="57" w:type="dxa"/>
                    <w:right w:w="57" w:type="dxa"/>
                  </w:tcMar>
                  <w:vAlign w:val="center"/>
                </w:tcPr>
                <w:p w14:paraId="498513FF">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b/>
                      <w:bCs/>
                      <w:color w:val="auto"/>
                      <w:szCs w:val="21"/>
                      <w:highlight w:val="none"/>
                      <w:lang w:val="en-US" w:eastAsia="zh-CN"/>
                    </w:rPr>
                  </w:pPr>
                  <w:r>
                    <w:rPr>
                      <w:rFonts w:hint="default" w:ascii="Times New Roman" w:hAnsi="Times New Roman" w:cs="Times New Roman"/>
                      <w:b/>
                      <w:bCs/>
                      <w:color w:val="auto"/>
                      <w:szCs w:val="21"/>
                      <w:highlight w:val="none"/>
                      <w:lang w:val="en-US" w:eastAsia="zh-CN"/>
                    </w:rPr>
                    <w:t>现有工程</w:t>
                  </w:r>
                </w:p>
              </w:tc>
              <w:tc>
                <w:tcPr>
                  <w:tcW w:w="1059" w:type="pct"/>
                  <w:noWrap w:val="0"/>
                  <w:tcMar>
                    <w:left w:w="57" w:type="dxa"/>
                    <w:right w:w="57" w:type="dxa"/>
                  </w:tcMar>
                  <w:vAlign w:val="center"/>
                </w:tcPr>
                <w:p w14:paraId="03EA0D8E">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bCs/>
                      <w:color w:val="auto"/>
                      <w:szCs w:val="21"/>
                      <w:highlight w:val="none"/>
                    </w:rPr>
                  </w:pPr>
                  <w:r>
                    <w:rPr>
                      <w:rFonts w:hint="eastAsia" w:ascii="Times New Roman" w:hAnsi="Times New Roman" w:cs="Times New Roman"/>
                      <w:b/>
                      <w:bCs/>
                      <w:color w:val="auto"/>
                      <w:szCs w:val="21"/>
                      <w:highlight w:val="none"/>
                      <w:lang w:val="en-US" w:eastAsia="zh-CN"/>
                    </w:rPr>
                    <w:t>技改</w:t>
                  </w:r>
                  <w:r>
                    <w:rPr>
                      <w:rFonts w:hint="default" w:ascii="Times New Roman" w:hAnsi="Times New Roman" w:cs="Times New Roman"/>
                      <w:b/>
                      <w:bCs/>
                      <w:color w:val="auto"/>
                      <w:szCs w:val="21"/>
                      <w:highlight w:val="none"/>
                      <w:lang w:val="en-US" w:eastAsia="zh-CN"/>
                    </w:rPr>
                    <w:t>项目</w:t>
                  </w:r>
                </w:p>
              </w:tc>
              <w:tc>
                <w:tcPr>
                  <w:tcW w:w="1059" w:type="pct"/>
                  <w:noWrap w:val="0"/>
                  <w:tcMar>
                    <w:left w:w="57" w:type="dxa"/>
                    <w:right w:w="57" w:type="dxa"/>
                  </w:tcMar>
                  <w:vAlign w:val="center"/>
                </w:tcPr>
                <w:p w14:paraId="3D6AFE91">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技改</w:t>
                  </w:r>
                  <w:r>
                    <w:rPr>
                      <w:rFonts w:hint="default" w:ascii="Times New Roman" w:hAnsi="Times New Roman" w:cs="Times New Roman"/>
                      <w:b/>
                      <w:bCs/>
                      <w:color w:val="auto"/>
                      <w:szCs w:val="21"/>
                      <w:lang w:val="en-US" w:eastAsia="zh-CN"/>
                    </w:rPr>
                    <w:t>完成后全厂</w:t>
                  </w:r>
                </w:p>
              </w:tc>
              <w:tc>
                <w:tcPr>
                  <w:tcW w:w="1059" w:type="pct"/>
                  <w:noWrap w:val="0"/>
                  <w:tcMar>
                    <w:left w:w="57" w:type="dxa"/>
                    <w:right w:w="57" w:type="dxa"/>
                  </w:tcMar>
                  <w:vAlign w:val="center"/>
                </w:tcPr>
                <w:p w14:paraId="59B38E60">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b/>
                      <w:bCs/>
                      <w:color w:val="auto"/>
                      <w:szCs w:val="21"/>
                      <w:lang w:val="en-US" w:eastAsia="zh-CN"/>
                    </w:rPr>
                  </w:pPr>
                  <w:r>
                    <w:rPr>
                      <w:rFonts w:hint="eastAsia" w:cs="Times New Roman"/>
                      <w:b/>
                      <w:bCs/>
                      <w:color w:val="auto"/>
                      <w:szCs w:val="21"/>
                      <w:lang w:val="en-US" w:eastAsia="zh-CN"/>
                    </w:rPr>
                    <w:t>备注</w:t>
                  </w:r>
                </w:p>
              </w:tc>
            </w:tr>
            <w:tr w14:paraId="68D5CA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350" w:type="pct"/>
                  <w:vMerge w:val="restart"/>
                  <w:noWrap w:val="0"/>
                  <w:tcMar>
                    <w:left w:w="57" w:type="dxa"/>
                    <w:right w:w="57" w:type="dxa"/>
                  </w:tcMar>
                  <w:vAlign w:val="center"/>
                </w:tcPr>
                <w:p w14:paraId="27B3D279">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主体</w:t>
                  </w:r>
                </w:p>
                <w:p w14:paraId="63D97D18">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工程</w:t>
                  </w:r>
                </w:p>
              </w:tc>
              <w:tc>
                <w:tcPr>
                  <w:tcW w:w="410" w:type="pct"/>
                  <w:noWrap w:val="0"/>
                  <w:tcMar>
                    <w:left w:w="57" w:type="dxa"/>
                    <w:right w:w="57" w:type="dxa"/>
                  </w:tcMar>
                  <w:vAlign w:val="center"/>
                </w:tcPr>
                <w:p w14:paraId="7E385154">
                  <w:pPr>
                    <w:pStyle w:val="121"/>
                    <w:keepNext w:val="0"/>
                    <w:keepLines w:val="0"/>
                    <w:widowControl w:val="0"/>
                    <w:suppressLineNumbers w:val="0"/>
                    <w:spacing w:before="0" w:beforeAutospacing="0" w:after="0" w:afterAutospacing="0" w:line="240" w:lineRule="auto"/>
                    <w:ind w:left="0" w:right="0"/>
                    <w:rPr>
                      <w:rFonts w:hint="default" w:ascii="Times New Roman" w:hAnsi="Times New Roman" w:eastAsia="宋体" w:cs="Times New Roman"/>
                      <w:szCs w:val="21"/>
                      <w:lang w:val="en-US" w:eastAsia="zh-CN"/>
                    </w:rPr>
                  </w:pPr>
                  <w:r>
                    <w:rPr>
                      <w:rFonts w:hint="eastAsia" w:ascii="Times New Roman" w:hAnsi="Times New Roman" w:cs="Times New Roman"/>
                      <w:color w:val="auto"/>
                      <w:spacing w:val="-4"/>
                      <w:kern w:val="2"/>
                      <w:lang w:eastAsia="zh-CN"/>
                    </w:rPr>
                    <w:t>生产车间</w:t>
                  </w:r>
                </w:p>
              </w:tc>
              <w:tc>
                <w:tcPr>
                  <w:tcW w:w="1059" w:type="pct"/>
                  <w:noWrap w:val="0"/>
                  <w:tcMar>
                    <w:left w:w="57" w:type="dxa"/>
                    <w:right w:w="57" w:type="dxa"/>
                  </w:tcMar>
                  <w:vAlign w:val="center"/>
                </w:tcPr>
                <w:p w14:paraId="4F6DBA23">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Cs w:val="21"/>
                      <w:vertAlign w:val="baseline"/>
                      <w:lang w:val="en-US" w:eastAsia="zh-CN"/>
                    </w:rPr>
                  </w:pPr>
                  <w:r>
                    <w:rPr>
                      <w:rFonts w:hint="default" w:ascii="Times New Roman" w:hAnsi="Times New Roman" w:cs="Times New Roman"/>
                      <w:color w:val="auto"/>
                      <w:spacing w:val="-4"/>
                    </w:rPr>
                    <w:t>1座，钢结构，</w:t>
                  </w:r>
                  <w:r>
                    <w:rPr>
                      <w:rFonts w:hint="eastAsia" w:ascii="Times New Roman" w:hAnsi="Times New Roman" w:cs="Times New Roman"/>
                      <w:color w:val="auto"/>
                      <w:spacing w:val="-4"/>
                      <w:kern w:val="2"/>
                      <w:lang w:eastAsia="zh-CN"/>
                    </w:rPr>
                    <w:t>高</w:t>
                  </w:r>
                  <w:r>
                    <w:rPr>
                      <w:rFonts w:hint="eastAsia" w:ascii="Times New Roman" w:hAnsi="Times New Roman" w:cs="Times New Roman"/>
                      <w:color w:val="auto"/>
                      <w:spacing w:val="-4"/>
                      <w:kern w:val="2"/>
                      <w:lang w:val="en-US" w:eastAsia="zh-CN"/>
                    </w:rPr>
                    <w:t>9m，占地面积3900</w:t>
                  </w:r>
                  <w:r>
                    <w:rPr>
                      <w:rFonts w:hint="default" w:ascii="Times New Roman" w:hAnsi="Times New Roman" w:eastAsia="宋体" w:cs="Times New Roman"/>
                      <w:color w:val="auto"/>
                      <w:sz w:val="21"/>
                      <w:szCs w:val="21"/>
                      <w:highlight w:val="none"/>
                      <w:lang w:val="en-US" w:eastAsia="zh-CN"/>
                    </w:rPr>
                    <w:t>m</w:t>
                  </w:r>
                  <w:r>
                    <w:rPr>
                      <w:rFonts w:hint="default" w:ascii="Times New Roman" w:hAnsi="Times New Roman" w:eastAsia="宋体" w:cs="Times New Roman"/>
                      <w:color w:val="auto"/>
                      <w:sz w:val="21"/>
                      <w:szCs w:val="21"/>
                      <w:highlight w:val="none"/>
                      <w:vertAlign w:val="superscript"/>
                      <w:lang w:val="en-US" w:eastAsia="zh-CN"/>
                    </w:rPr>
                    <w:t>2</w:t>
                  </w:r>
                  <w:r>
                    <w:rPr>
                      <w:rFonts w:hint="eastAsia" w:ascii="Times New Roman" w:hAnsi="Times New Roman" w:cs="Times New Roman"/>
                      <w:color w:val="auto"/>
                      <w:spacing w:val="-4"/>
                      <w:kern w:val="2"/>
                      <w:lang w:val="en-US" w:eastAsia="zh-CN"/>
                    </w:rPr>
                    <w:t>，</w:t>
                  </w:r>
                  <w:r>
                    <w:rPr>
                      <w:rFonts w:hint="default" w:ascii="Times New Roman" w:hAnsi="Times New Roman" w:cs="Times New Roman"/>
                      <w:color w:val="auto"/>
                      <w:spacing w:val="-4"/>
                    </w:rPr>
                    <w:t>建筑面积</w:t>
                  </w:r>
                  <w:r>
                    <w:rPr>
                      <w:rFonts w:hint="eastAsia" w:ascii="Times New Roman" w:hAnsi="Times New Roman" w:cs="Times New Roman"/>
                      <w:color w:val="auto"/>
                      <w:spacing w:val="-4"/>
                      <w:lang w:val="en-US" w:eastAsia="zh-CN"/>
                    </w:rPr>
                    <w:t>3900</w:t>
                  </w:r>
                  <w:r>
                    <w:rPr>
                      <w:rFonts w:hint="default" w:ascii="Times New Roman" w:hAnsi="Times New Roman" w:cs="Times New Roman"/>
                      <w:color w:val="auto"/>
                      <w:spacing w:val="-4"/>
                    </w:rPr>
                    <w:t>m</w:t>
                  </w:r>
                  <w:r>
                    <w:rPr>
                      <w:rFonts w:hint="default" w:ascii="Times New Roman" w:hAnsi="Times New Roman" w:cs="Times New Roman"/>
                      <w:color w:val="auto"/>
                      <w:spacing w:val="-4"/>
                      <w:vertAlign w:val="superscript"/>
                    </w:rPr>
                    <w:t>2</w:t>
                  </w:r>
                  <w:r>
                    <w:rPr>
                      <w:rFonts w:hint="eastAsia" w:ascii="Times New Roman" w:hAnsi="Times New Roman" w:cs="Times New Roman"/>
                      <w:color w:val="auto"/>
                      <w:spacing w:val="-4"/>
                      <w:vertAlign w:val="baseline"/>
                      <w:lang w:eastAsia="zh-CN"/>
                    </w:rPr>
                    <w:t>，主要用于产品生产。</w:t>
                  </w:r>
                </w:p>
              </w:tc>
              <w:tc>
                <w:tcPr>
                  <w:tcW w:w="1059" w:type="pct"/>
                  <w:noWrap w:val="0"/>
                  <w:tcMar>
                    <w:left w:w="57" w:type="dxa"/>
                    <w:right w:w="57" w:type="dxa"/>
                  </w:tcMar>
                  <w:vAlign w:val="center"/>
                </w:tcPr>
                <w:p w14:paraId="367A43A1">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依托</w:t>
                  </w:r>
                </w:p>
              </w:tc>
              <w:tc>
                <w:tcPr>
                  <w:tcW w:w="1059" w:type="pct"/>
                  <w:noWrap w:val="0"/>
                  <w:tcMar>
                    <w:left w:w="57" w:type="dxa"/>
                    <w:right w:w="57" w:type="dxa"/>
                  </w:tcMar>
                  <w:vAlign w:val="center"/>
                </w:tcPr>
                <w:p w14:paraId="43B016B7">
                  <w:pPr>
                    <w:keepNext w:val="0"/>
                    <w:keepLines w:val="0"/>
                    <w:suppressLineNumbers w:val="0"/>
                    <w:spacing w:before="0" w:beforeAutospacing="0" w:after="0" w:afterAutospacing="0" w:line="240" w:lineRule="auto"/>
                    <w:ind w:left="0" w:right="0"/>
                    <w:rPr>
                      <w:rFonts w:hint="default" w:ascii="Times New Roman" w:hAnsi="Times New Roman" w:cs="Times New Roman"/>
                      <w:szCs w:val="21"/>
                      <w:lang w:val="en-US" w:eastAsia="zh-CN"/>
                    </w:rPr>
                  </w:pPr>
                  <w:r>
                    <w:rPr>
                      <w:rFonts w:hint="default" w:ascii="Times New Roman" w:hAnsi="Times New Roman" w:cs="Times New Roman"/>
                      <w:color w:val="auto"/>
                      <w:spacing w:val="-4"/>
                    </w:rPr>
                    <w:t>1座，钢结构，</w:t>
                  </w:r>
                  <w:r>
                    <w:rPr>
                      <w:rFonts w:hint="eastAsia" w:ascii="Times New Roman" w:hAnsi="Times New Roman" w:cs="Times New Roman"/>
                      <w:color w:val="auto"/>
                      <w:spacing w:val="-4"/>
                      <w:kern w:val="2"/>
                      <w:lang w:eastAsia="zh-CN"/>
                    </w:rPr>
                    <w:t>高</w:t>
                  </w:r>
                  <w:r>
                    <w:rPr>
                      <w:rFonts w:hint="eastAsia" w:ascii="Times New Roman" w:hAnsi="Times New Roman" w:cs="Times New Roman"/>
                      <w:color w:val="auto"/>
                      <w:spacing w:val="-4"/>
                      <w:kern w:val="2"/>
                      <w:lang w:val="en-US" w:eastAsia="zh-CN"/>
                    </w:rPr>
                    <w:t>9m，占地面积3900</w:t>
                  </w:r>
                  <w:r>
                    <w:rPr>
                      <w:rFonts w:hint="default" w:ascii="Times New Roman" w:hAnsi="Times New Roman" w:eastAsia="宋体" w:cs="Times New Roman"/>
                      <w:color w:val="auto"/>
                      <w:sz w:val="21"/>
                      <w:szCs w:val="21"/>
                      <w:highlight w:val="none"/>
                      <w:lang w:val="en-US" w:eastAsia="zh-CN"/>
                    </w:rPr>
                    <w:t>m</w:t>
                  </w:r>
                  <w:r>
                    <w:rPr>
                      <w:rFonts w:hint="default" w:ascii="Times New Roman" w:hAnsi="Times New Roman" w:eastAsia="宋体" w:cs="Times New Roman"/>
                      <w:color w:val="auto"/>
                      <w:sz w:val="21"/>
                      <w:szCs w:val="21"/>
                      <w:highlight w:val="none"/>
                      <w:vertAlign w:val="superscript"/>
                      <w:lang w:val="en-US" w:eastAsia="zh-CN"/>
                    </w:rPr>
                    <w:t>2</w:t>
                  </w:r>
                  <w:r>
                    <w:rPr>
                      <w:rFonts w:hint="eastAsia" w:ascii="Times New Roman" w:hAnsi="Times New Roman" w:cs="Times New Roman"/>
                      <w:color w:val="auto"/>
                      <w:spacing w:val="-4"/>
                      <w:kern w:val="2"/>
                      <w:lang w:val="en-US" w:eastAsia="zh-CN"/>
                    </w:rPr>
                    <w:t>，</w:t>
                  </w:r>
                  <w:r>
                    <w:rPr>
                      <w:rFonts w:hint="default" w:ascii="Times New Roman" w:hAnsi="Times New Roman" w:cs="Times New Roman"/>
                      <w:color w:val="auto"/>
                      <w:spacing w:val="-4"/>
                    </w:rPr>
                    <w:t>建筑面积</w:t>
                  </w:r>
                  <w:r>
                    <w:rPr>
                      <w:rFonts w:hint="eastAsia" w:ascii="Times New Roman" w:hAnsi="Times New Roman" w:cs="Times New Roman"/>
                      <w:color w:val="auto"/>
                      <w:spacing w:val="-4"/>
                      <w:lang w:val="en-US" w:eastAsia="zh-CN"/>
                    </w:rPr>
                    <w:t>3900</w:t>
                  </w:r>
                  <w:r>
                    <w:rPr>
                      <w:rFonts w:hint="default" w:ascii="Times New Roman" w:hAnsi="Times New Roman" w:cs="Times New Roman"/>
                      <w:color w:val="auto"/>
                      <w:spacing w:val="-4"/>
                    </w:rPr>
                    <w:t>m</w:t>
                  </w:r>
                  <w:r>
                    <w:rPr>
                      <w:rFonts w:hint="default" w:ascii="Times New Roman" w:hAnsi="Times New Roman" w:cs="Times New Roman"/>
                      <w:color w:val="auto"/>
                      <w:spacing w:val="-4"/>
                      <w:vertAlign w:val="superscript"/>
                    </w:rPr>
                    <w:t>2</w:t>
                  </w:r>
                  <w:r>
                    <w:rPr>
                      <w:rFonts w:hint="eastAsia" w:ascii="Times New Roman" w:hAnsi="Times New Roman" w:cs="Times New Roman"/>
                      <w:color w:val="auto"/>
                      <w:spacing w:val="-4"/>
                      <w:vertAlign w:val="baseline"/>
                      <w:lang w:eastAsia="zh-CN"/>
                    </w:rPr>
                    <w:t>，主要用于产品生产</w:t>
                  </w:r>
                  <w:r>
                    <w:rPr>
                      <w:rFonts w:hint="eastAsia" w:cs="Times New Roman"/>
                      <w:color w:val="auto"/>
                      <w:spacing w:val="-4"/>
                      <w:vertAlign w:val="baseline"/>
                      <w:lang w:eastAsia="zh-CN"/>
                    </w:rPr>
                    <w:t>，技改后分为洁净车间和非洁净车间</w:t>
                  </w:r>
                  <w:r>
                    <w:rPr>
                      <w:rFonts w:hint="eastAsia" w:ascii="Times New Roman" w:hAnsi="Times New Roman" w:cs="Times New Roman"/>
                      <w:color w:val="auto"/>
                      <w:spacing w:val="-4"/>
                      <w:vertAlign w:val="baseline"/>
                      <w:lang w:eastAsia="zh-CN"/>
                    </w:rPr>
                    <w:t>。</w:t>
                  </w:r>
                </w:p>
              </w:tc>
              <w:tc>
                <w:tcPr>
                  <w:tcW w:w="1059" w:type="pct"/>
                  <w:noWrap w:val="0"/>
                  <w:tcMar>
                    <w:left w:w="57" w:type="dxa"/>
                    <w:right w:w="57" w:type="dxa"/>
                  </w:tcMar>
                  <w:vAlign w:val="center"/>
                </w:tcPr>
                <w:p w14:paraId="283E1C56">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auto"/>
                      <w:spacing w:val="-4"/>
                      <w:lang w:val="en-US" w:eastAsia="zh-CN"/>
                    </w:rPr>
                  </w:pPr>
                  <w:r>
                    <w:rPr>
                      <w:rFonts w:hint="eastAsia" w:cs="Times New Roman"/>
                      <w:color w:val="auto"/>
                      <w:spacing w:val="-4"/>
                      <w:lang w:eastAsia="zh-CN"/>
                    </w:rPr>
                    <w:t>技改后分为洁净车间和非洁净车间。洁净车间建筑面积</w:t>
                  </w:r>
                  <w:r>
                    <w:rPr>
                      <w:rFonts w:hint="eastAsia" w:cs="Times New Roman"/>
                      <w:color w:val="auto"/>
                      <w:spacing w:val="-4"/>
                      <w:lang w:val="en-US" w:eastAsia="zh-CN"/>
                    </w:rPr>
                    <w:t>662.998m</w:t>
                  </w:r>
                  <w:r>
                    <w:rPr>
                      <w:rFonts w:hint="eastAsia" w:cs="Times New Roman"/>
                      <w:color w:val="auto"/>
                      <w:spacing w:val="-4"/>
                      <w:vertAlign w:val="superscript"/>
                      <w:lang w:val="en-US" w:eastAsia="zh-CN"/>
                    </w:rPr>
                    <w:t>2</w:t>
                  </w:r>
                  <w:r>
                    <w:rPr>
                      <w:rFonts w:hint="eastAsia" w:cs="Times New Roman"/>
                      <w:color w:val="auto"/>
                      <w:spacing w:val="-4"/>
                      <w:lang w:val="en-US" w:eastAsia="zh-CN"/>
                    </w:rPr>
                    <w:t>，非洁净车间建筑面积3237.002m</w:t>
                  </w:r>
                  <w:r>
                    <w:rPr>
                      <w:rFonts w:hint="eastAsia" w:cs="Times New Roman"/>
                      <w:color w:val="auto"/>
                      <w:spacing w:val="-4"/>
                      <w:vertAlign w:val="superscript"/>
                      <w:lang w:val="en-US" w:eastAsia="zh-CN"/>
                    </w:rPr>
                    <w:t>2</w:t>
                  </w:r>
                  <w:r>
                    <w:rPr>
                      <w:rFonts w:hint="eastAsia" w:cs="Times New Roman"/>
                      <w:color w:val="auto"/>
                      <w:spacing w:val="-4"/>
                      <w:lang w:val="en-US" w:eastAsia="zh-CN"/>
                    </w:rPr>
                    <w:t>。</w:t>
                  </w:r>
                </w:p>
              </w:tc>
            </w:tr>
            <w:tr w14:paraId="45CE41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350" w:type="pct"/>
                  <w:vMerge w:val="continue"/>
                  <w:noWrap w:val="0"/>
                  <w:tcMar>
                    <w:left w:w="57" w:type="dxa"/>
                    <w:right w:w="57" w:type="dxa"/>
                  </w:tcMar>
                  <w:vAlign w:val="center"/>
                </w:tcPr>
                <w:p w14:paraId="52011642">
                  <w:pPr>
                    <w:keepNext w:val="0"/>
                    <w:keepLines w:val="0"/>
                    <w:suppressLineNumbers w:val="0"/>
                    <w:spacing w:before="0" w:beforeAutospacing="0" w:after="0" w:afterAutospacing="0" w:line="240" w:lineRule="auto"/>
                    <w:ind w:left="0" w:right="0"/>
                    <w:rPr>
                      <w:rFonts w:hint="default" w:ascii="Times New Roman" w:hAnsi="Times New Roman" w:cs="Times New Roman"/>
                    </w:rPr>
                  </w:pPr>
                </w:p>
              </w:tc>
              <w:tc>
                <w:tcPr>
                  <w:tcW w:w="410" w:type="pct"/>
                  <w:noWrap w:val="0"/>
                  <w:tcMar>
                    <w:left w:w="57" w:type="dxa"/>
                    <w:right w:w="57" w:type="dxa"/>
                  </w:tcMar>
                  <w:vAlign w:val="center"/>
                </w:tcPr>
                <w:p w14:paraId="268B117E">
                  <w:pPr>
                    <w:pStyle w:val="121"/>
                    <w:keepNext w:val="0"/>
                    <w:keepLines w:val="0"/>
                    <w:widowControl w:val="0"/>
                    <w:suppressLineNumbers w:val="0"/>
                    <w:spacing w:before="0" w:beforeAutospacing="0" w:after="0" w:afterAutospacing="0" w:line="240" w:lineRule="auto"/>
                    <w:ind w:left="0" w:right="0"/>
                    <w:rPr>
                      <w:rFonts w:hint="default" w:ascii="Times New Roman" w:hAnsi="Times New Roman" w:eastAsia="宋体" w:cs="Times New Roman"/>
                      <w:szCs w:val="21"/>
                      <w:lang w:val="en-US" w:eastAsia="zh-CN"/>
                    </w:rPr>
                  </w:pPr>
                  <w:r>
                    <w:rPr>
                      <w:rFonts w:hint="eastAsia" w:ascii="Times New Roman" w:hAnsi="Times New Roman" w:cs="Times New Roman"/>
                      <w:bCs/>
                      <w:color w:val="auto"/>
                      <w:spacing w:val="-4"/>
                      <w:lang w:eastAsia="zh-CN"/>
                    </w:rPr>
                    <w:t>洁净车间</w:t>
                  </w:r>
                </w:p>
              </w:tc>
              <w:tc>
                <w:tcPr>
                  <w:tcW w:w="1059" w:type="pct"/>
                  <w:noWrap w:val="0"/>
                  <w:tcMar>
                    <w:left w:w="57" w:type="dxa"/>
                    <w:right w:w="57" w:type="dxa"/>
                  </w:tcMar>
                  <w:vAlign w:val="center"/>
                </w:tcPr>
                <w:p w14:paraId="430E2347">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w:t>
                  </w:r>
                </w:p>
              </w:tc>
              <w:tc>
                <w:tcPr>
                  <w:tcW w:w="1059" w:type="pct"/>
                  <w:noWrap w:val="0"/>
                  <w:tcMar>
                    <w:left w:w="57" w:type="dxa"/>
                    <w:right w:w="57" w:type="dxa"/>
                  </w:tcMar>
                  <w:vAlign w:val="center"/>
                </w:tcPr>
                <w:p w14:paraId="449387AC">
                  <w:pPr>
                    <w:keepNext w:val="0"/>
                    <w:keepLines w:val="0"/>
                    <w:suppressLineNumbers w:val="0"/>
                    <w:spacing w:before="0" w:beforeAutospacing="0" w:after="0" w:afterAutospacing="0" w:line="240" w:lineRule="auto"/>
                    <w:ind w:left="0" w:right="0"/>
                    <w:jc w:val="both"/>
                    <w:rPr>
                      <w:rFonts w:hint="eastAsia" w:ascii="Times New Roman" w:hAnsi="Times New Roman" w:eastAsia="宋体" w:cs="Times New Roman"/>
                      <w:szCs w:val="21"/>
                      <w:lang w:val="en-US" w:eastAsia="zh-CN"/>
                    </w:rPr>
                  </w:pPr>
                  <w:r>
                    <w:rPr>
                      <w:rFonts w:hint="eastAsia" w:cs="Times New Roman"/>
                      <w:color w:val="auto"/>
                      <w:spacing w:val="-4"/>
                      <w:lang w:eastAsia="zh-CN"/>
                    </w:rPr>
                    <w:t>依托改造，</w:t>
                  </w:r>
                  <w:r>
                    <w:rPr>
                      <w:rFonts w:hint="default" w:ascii="Times New Roman" w:hAnsi="Times New Roman" w:cs="Times New Roman"/>
                      <w:color w:val="auto"/>
                      <w:spacing w:val="-4"/>
                    </w:rPr>
                    <w:t>1座，钢结构，</w:t>
                  </w:r>
                  <w:r>
                    <w:rPr>
                      <w:rFonts w:hint="eastAsia" w:ascii="Times New Roman" w:hAnsi="Times New Roman" w:cs="Times New Roman"/>
                      <w:color w:val="auto"/>
                      <w:spacing w:val="-4"/>
                      <w:kern w:val="2"/>
                      <w:lang w:eastAsia="zh-CN"/>
                    </w:rPr>
                    <w:t>高</w:t>
                  </w:r>
                  <w:r>
                    <w:rPr>
                      <w:rFonts w:hint="eastAsia" w:ascii="Times New Roman" w:hAnsi="Times New Roman" w:cs="Times New Roman"/>
                      <w:color w:val="auto"/>
                      <w:spacing w:val="-4"/>
                      <w:kern w:val="2"/>
                      <w:lang w:val="en-US" w:eastAsia="zh-CN"/>
                    </w:rPr>
                    <w:t>9m，占地</w:t>
                  </w:r>
                  <w:r>
                    <w:rPr>
                      <w:rFonts w:hint="eastAsia" w:cs="Times New Roman"/>
                      <w:color w:val="auto"/>
                      <w:spacing w:val="-4"/>
                      <w:kern w:val="2"/>
                      <w:lang w:val="en-US" w:eastAsia="zh-CN"/>
                    </w:rPr>
                    <w:t>面积</w:t>
                  </w:r>
                  <w:r>
                    <w:rPr>
                      <w:rFonts w:hint="eastAsia" w:ascii="Times New Roman" w:hAnsi="Times New Roman" w:cs="Times New Roman"/>
                      <w:color w:val="auto"/>
                      <w:spacing w:val="-4"/>
                      <w:kern w:val="2"/>
                      <w:lang w:val="en-US" w:eastAsia="zh-CN"/>
                    </w:rPr>
                    <w:t>662.998m</w:t>
                  </w:r>
                  <w:r>
                    <w:rPr>
                      <w:rFonts w:hint="eastAsia" w:ascii="Times New Roman" w:hAnsi="Times New Roman" w:cs="Times New Roman"/>
                      <w:color w:val="auto"/>
                      <w:spacing w:val="-4"/>
                      <w:kern w:val="2"/>
                      <w:vertAlign w:val="superscript"/>
                      <w:lang w:val="en-US" w:eastAsia="zh-CN"/>
                    </w:rPr>
                    <w:t>2</w:t>
                  </w:r>
                  <w:r>
                    <w:rPr>
                      <w:rFonts w:hint="eastAsia" w:ascii="Times New Roman" w:hAnsi="Times New Roman" w:cs="Times New Roman"/>
                      <w:color w:val="auto"/>
                      <w:spacing w:val="-4"/>
                      <w:kern w:val="2"/>
                      <w:lang w:val="en-US" w:eastAsia="zh-CN"/>
                    </w:rPr>
                    <w:t>，</w:t>
                  </w:r>
                  <w:r>
                    <w:rPr>
                      <w:rFonts w:hint="default" w:ascii="Times New Roman" w:hAnsi="Times New Roman" w:cs="Times New Roman"/>
                      <w:color w:val="auto"/>
                      <w:spacing w:val="-4"/>
                    </w:rPr>
                    <w:t>建筑面积</w:t>
                  </w:r>
                  <w:r>
                    <w:rPr>
                      <w:rFonts w:hint="eastAsia" w:cs="Times New Roman"/>
                      <w:color w:val="auto"/>
                      <w:spacing w:val="-4"/>
                      <w:lang w:val="en-US" w:eastAsia="zh-CN"/>
                    </w:rPr>
                    <w:t>662.998</w:t>
                  </w:r>
                  <w:r>
                    <w:rPr>
                      <w:rFonts w:hint="default" w:ascii="Times New Roman" w:hAnsi="Times New Roman" w:cs="Times New Roman"/>
                      <w:color w:val="auto"/>
                      <w:spacing w:val="-4"/>
                    </w:rPr>
                    <w:t>m</w:t>
                  </w:r>
                  <w:r>
                    <w:rPr>
                      <w:rFonts w:hint="default" w:ascii="Times New Roman" w:hAnsi="Times New Roman" w:cs="Times New Roman"/>
                      <w:color w:val="auto"/>
                      <w:spacing w:val="-4"/>
                      <w:vertAlign w:val="superscript"/>
                    </w:rPr>
                    <w:t>2</w:t>
                  </w:r>
                  <w:r>
                    <w:rPr>
                      <w:rFonts w:hint="eastAsia" w:ascii="Times New Roman" w:hAnsi="Times New Roman" w:cs="Times New Roman"/>
                      <w:color w:val="auto"/>
                      <w:spacing w:val="-4"/>
                      <w:vertAlign w:val="baseline"/>
                      <w:lang w:eastAsia="zh-CN"/>
                    </w:rPr>
                    <w:t>，位于现有车间内东部，</w:t>
                  </w:r>
                  <w:r>
                    <w:rPr>
                      <w:rFonts w:hint="eastAsia" w:cs="Times New Roman"/>
                      <w:color w:val="auto"/>
                      <w:spacing w:val="-4"/>
                      <w:vertAlign w:val="baseline"/>
                      <w:lang w:eastAsia="zh-CN"/>
                    </w:rPr>
                    <w:t>洁净等级为十万级，</w:t>
                  </w:r>
                  <w:r>
                    <w:rPr>
                      <w:rFonts w:hint="eastAsia" w:ascii="Times New Roman" w:hAnsi="Times New Roman" w:cs="Times New Roman"/>
                      <w:color w:val="auto"/>
                      <w:spacing w:val="-4"/>
                      <w:vertAlign w:val="baseline"/>
                      <w:lang w:eastAsia="zh-CN"/>
                    </w:rPr>
                    <w:t>主要用于产品生产。</w:t>
                  </w:r>
                </w:p>
              </w:tc>
              <w:tc>
                <w:tcPr>
                  <w:tcW w:w="1059" w:type="pct"/>
                  <w:noWrap w:val="0"/>
                  <w:tcMar>
                    <w:left w:w="57" w:type="dxa"/>
                    <w:right w:w="57" w:type="dxa"/>
                  </w:tcMar>
                  <w:vAlign w:val="center"/>
                </w:tcPr>
                <w:p w14:paraId="5B0672B1">
                  <w:pPr>
                    <w:keepNext w:val="0"/>
                    <w:keepLines w:val="0"/>
                    <w:suppressLineNumbers w:val="0"/>
                    <w:spacing w:before="0" w:beforeAutospacing="0" w:after="0" w:afterAutospacing="0" w:line="240" w:lineRule="auto"/>
                    <w:ind w:left="0" w:right="0"/>
                    <w:rPr>
                      <w:rFonts w:hint="default" w:ascii="Times New Roman" w:hAnsi="Times New Roman" w:cs="Times New Roman"/>
                      <w:szCs w:val="21"/>
                      <w:lang w:val="en-US"/>
                    </w:rPr>
                  </w:pPr>
                  <w:r>
                    <w:rPr>
                      <w:rFonts w:hint="default" w:ascii="Times New Roman" w:hAnsi="Times New Roman" w:cs="Times New Roman"/>
                      <w:color w:val="auto"/>
                      <w:spacing w:val="-4"/>
                    </w:rPr>
                    <w:t>1座，钢结构，</w:t>
                  </w:r>
                  <w:r>
                    <w:rPr>
                      <w:rFonts w:hint="eastAsia" w:ascii="Times New Roman" w:hAnsi="Times New Roman" w:cs="Times New Roman"/>
                      <w:color w:val="auto"/>
                      <w:spacing w:val="-4"/>
                      <w:kern w:val="2"/>
                      <w:lang w:eastAsia="zh-CN"/>
                    </w:rPr>
                    <w:t>高</w:t>
                  </w:r>
                  <w:r>
                    <w:rPr>
                      <w:rFonts w:hint="eastAsia" w:ascii="Times New Roman" w:hAnsi="Times New Roman" w:cs="Times New Roman"/>
                      <w:color w:val="auto"/>
                      <w:spacing w:val="-4"/>
                      <w:kern w:val="2"/>
                      <w:lang w:val="en-US" w:eastAsia="zh-CN"/>
                    </w:rPr>
                    <w:t>9m，占地</w:t>
                  </w:r>
                  <w:r>
                    <w:rPr>
                      <w:rFonts w:hint="eastAsia" w:cs="Times New Roman"/>
                      <w:color w:val="auto"/>
                      <w:spacing w:val="-4"/>
                      <w:kern w:val="2"/>
                      <w:lang w:val="en-US" w:eastAsia="zh-CN"/>
                    </w:rPr>
                    <w:t>面积</w:t>
                  </w:r>
                  <w:r>
                    <w:rPr>
                      <w:rFonts w:hint="eastAsia" w:ascii="Times New Roman" w:hAnsi="Times New Roman" w:cs="Times New Roman"/>
                      <w:color w:val="auto"/>
                      <w:spacing w:val="-4"/>
                      <w:kern w:val="2"/>
                      <w:lang w:val="en-US" w:eastAsia="zh-CN"/>
                    </w:rPr>
                    <w:t>662.998m</w:t>
                  </w:r>
                  <w:r>
                    <w:rPr>
                      <w:rFonts w:hint="eastAsia" w:ascii="Times New Roman" w:hAnsi="Times New Roman" w:cs="Times New Roman"/>
                      <w:color w:val="auto"/>
                      <w:spacing w:val="-4"/>
                      <w:kern w:val="2"/>
                      <w:vertAlign w:val="superscript"/>
                      <w:lang w:val="en-US" w:eastAsia="zh-CN"/>
                    </w:rPr>
                    <w:t>2</w:t>
                  </w:r>
                  <w:r>
                    <w:rPr>
                      <w:rFonts w:hint="eastAsia" w:ascii="Times New Roman" w:hAnsi="Times New Roman" w:cs="Times New Roman"/>
                      <w:color w:val="auto"/>
                      <w:spacing w:val="-4"/>
                      <w:kern w:val="2"/>
                      <w:lang w:val="en-US" w:eastAsia="zh-CN"/>
                    </w:rPr>
                    <w:t>，</w:t>
                  </w:r>
                  <w:r>
                    <w:rPr>
                      <w:rFonts w:hint="default" w:ascii="Times New Roman" w:hAnsi="Times New Roman" w:cs="Times New Roman"/>
                      <w:color w:val="auto"/>
                      <w:spacing w:val="-4"/>
                    </w:rPr>
                    <w:t>建筑面积</w:t>
                  </w:r>
                  <w:r>
                    <w:rPr>
                      <w:rFonts w:hint="eastAsia" w:cs="Times New Roman"/>
                      <w:color w:val="auto"/>
                      <w:spacing w:val="-4"/>
                      <w:lang w:val="en-US" w:eastAsia="zh-CN"/>
                    </w:rPr>
                    <w:t>662.998</w:t>
                  </w:r>
                  <w:r>
                    <w:rPr>
                      <w:rFonts w:hint="default" w:ascii="Times New Roman" w:hAnsi="Times New Roman" w:cs="Times New Roman"/>
                      <w:color w:val="auto"/>
                      <w:spacing w:val="-4"/>
                    </w:rPr>
                    <w:t>m</w:t>
                  </w:r>
                  <w:r>
                    <w:rPr>
                      <w:rFonts w:hint="default" w:ascii="Times New Roman" w:hAnsi="Times New Roman" w:cs="Times New Roman"/>
                      <w:color w:val="auto"/>
                      <w:spacing w:val="-4"/>
                      <w:vertAlign w:val="superscript"/>
                    </w:rPr>
                    <w:t>2</w:t>
                  </w:r>
                  <w:r>
                    <w:rPr>
                      <w:rFonts w:hint="eastAsia" w:ascii="Times New Roman" w:hAnsi="Times New Roman" w:cs="Times New Roman"/>
                      <w:color w:val="auto"/>
                      <w:spacing w:val="-4"/>
                      <w:vertAlign w:val="baseline"/>
                      <w:lang w:eastAsia="zh-CN"/>
                    </w:rPr>
                    <w:t>，位于现有车间内东部，</w:t>
                  </w:r>
                  <w:r>
                    <w:rPr>
                      <w:rFonts w:hint="eastAsia" w:cs="Times New Roman"/>
                      <w:color w:val="auto"/>
                      <w:spacing w:val="-4"/>
                      <w:vertAlign w:val="baseline"/>
                      <w:lang w:eastAsia="zh-CN"/>
                    </w:rPr>
                    <w:t>洁净等级为十万级，</w:t>
                  </w:r>
                  <w:r>
                    <w:rPr>
                      <w:rFonts w:hint="eastAsia" w:ascii="Times New Roman" w:hAnsi="Times New Roman" w:cs="Times New Roman"/>
                      <w:color w:val="auto"/>
                      <w:spacing w:val="-4"/>
                      <w:vertAlign w:val="baseline"/>
                      <w:lang w:eastAsia="zh-CN"/>
                    </w:rPr>
                    <w:t>主要用于产品生产。</w:t>
                  </w:r>
                </w:p>
              </w:tc>
              <w:tc>
                <w:tcPr>
                  <w:tcW w:w="1059" w:type="pct"/>
                  <w:noWrap w:val="0"/>
                  <w:tcMar>
                    <w:left w:w="57" w:type="dxa"/>
                    <w:right w:w="57" w:type="dxa"/>
                  </w:tcMar>
                  <w:vAlign w:val="center"/>
                </w:tcPr>
                <w:p w14:paraId="2D92C9BA">
                  <w:pPr>
                    <w:keepNext w:val="0"/>
                    <w:keepLines w:val="0"/>
                    <w:suppressLineNumbers w:val="0"/>
                    <w:spacing w:before="0" w:beforeAutospacing="0" w:after="0" w:afterAutospacing="0" w:line="240" w:lineRule="auto"/>
                    <w:ind w:left="0" w:right="0"/>
                    <w:rPr>
                      <w:rFonts w:hint="eastAsia" w:ascii="Times New Roman" w:hAnsi="Times New Roman" w:eastAsia="宋体" w:cs="Times New Roman"/>
                      <w:color w:val="auto"/>
                      <w:spacing w:val="-4"/>
                      <w:lang w:eastAsia="zh-CN"/>
                    </w:rPr>
                  </w:pPr>
                  <w:r>
                    <w:rPr>
                      <w:rFonts w:hint="default" w:ascii="Times New Roman" w:hAnsi="Times New Roman" w:cs="Times New Roman"/>
                      <w:color w:val="auto"/>
                      <w:spacing w:val="-4"/>
                    </w:rPr>
                    <w:t>1座，钢结构，</w:t>
                  </w:r>
                  <w:r>
                    <w:rPr>
                      <w:rFonts w:hint="eastAsia" w:ascii="Times New Roman" w:hAnsi="Times New Roman" w:cs="Times New Roman"/>
                      <w:color w:val="auto"/>
                      <w:spacing w:val="-4"/>
                      <w:kern w:val="2"/>
                      <w:lang w:eastAsia="zh-CN"/>
                    </w:rPr>
                    <w:t>高</w:t>
                  </w:r>
                  <w:r>
                    <w:rPr>
                      <w:rFonts w:hint="eastAsia" w:ascii="Times New Roman" w:hAnsi="Times New Roman" w:cs="Times New Roman"/>
                      <w:color w:val="auto"/>
                      <w:spacing w:val="-4"/>
                      <w:kern w:val="2"/>
                      <w:lang w:val="en-US" w:eastAsia="zh-CN"/>
                    </w:rPr>
                    <w:t>9m，占地</w:t>
                  </w:r>
                  <w:r>
                    <w:rPr>
                      <w:rFonts w:hint="eastAsia" w:cs="Times New Roman"/>
                      <w:color w:val="auto"/>
                      <w:spacing w:val="-4"/>
                      <w:kern w:val="2"/>
                      <w:lang w:val="en-US" w:eastAsia="zh-CN"/>
                    </w:rPr>
                    <w:t>面积</w:t>
                  </w:r>
                  <w:r>
                    <w:rPr>
                      <w:rFonts w:hint="eastAsia" w:ascii="Times New Roman" w:hAnsi="Times New Roman" w:cs="Times New Roman"/>
                      <w:color w:val="auto"/>
                      <w:spacing w:val="-4"/>
                      <w:kern w:val="2"/>
                      <w:lang w:val="en-US" w:eastAsia="zh-CN"/>
                    </w:rPr>
                    <w:t>662.998m</w:t>
                  </w:r>
                  <w:r>
                    <w:rPr>
                      <w:rFonts w:hint="eastAsia" w:ascii="Times New Roman" w:hAnsi="Times New Roman" w:cs="Times New Roman"/>
                      <w:color w:val="auto"/>
                      <w:spacing w:val="-4"/>
                      <w:kern w:val="2"/>
                      <w:vertAlign w:val="superscript"/>
                      <w:lang w:val="en-US" w:eastAsia="zh-CN"/>
                    </w:rPr>
                    <w:t>2</w:t>
                  </w:r>
                  <w:r>
                    <w:rPr>
                      <w:rFonts w:hint="eastAsia" w:ascii="Times New Roman" w:hAnsi="Times New Roman" w:cs="Times New Roman"/>
                      <w:color w:val="auto"/>
                      <w:spacing w:val="-4"/>
                      <w:kern w:val="2"/>
                      <w:lang w:val="en-US" w:eastAsia="zh-CN"/>
                    </w:rPr>
                    <w:t>，</w:t>
                  </w:r>
                  <w:r>
                    <w:rPr>
                      <w:rFonts w:hint="default" w:ascii="Times New Roman" w:hAnsi="Times New Roman" w:cs="Times New Roman"/>
                      <w:color w:val="auto"/>
                      <w:spacing w:val="-4"/>
                    </w:rPr>
                    <w:t>建筑面积</w:t>
                  </w:r>
                  <w:r>
                    <w:rPr>
                      <w:rFonts w:hint="eastAsia" w:cs="Times New Roman"/>
                      <w:color w:val="auto"/>
                      <w:spacing w:val="-4"/>
                      <w:lang w:val="en-US" w:eastAsia="zh-CN"/>
                    </w:rPr>
                    <w:t>662.998</w:t>
                  </w:r>
                  <w:r>
                    <w:rPr>
                      <w:rFonts w:hint="default" w:ascii="Times New Roman" w:hAnsi="Times New Roman" w:cs="Times New Roman"/>
                      <w:color w:val="auto"/>
                      <w:spacing w:val="-4"/>
                    </w:rPr>
                    <w:t>m</w:t>
                  </w:r>
                  <w:r>
                    <w:rPr>
                      <w:rFonts w:hint="default" w:ascii="Times New Roman" w:hAnsi="Times New Roman" w:cs="Times New Roman"/>
                      <w:color w:val="auto"/>
                      <w:spacing w:val="-4"/>
                      <w:vertAlign w:val="superscript"/>
                    </w:rPr>
                    <w:t>2</w:t>
                  </w:r>
                  <w:r>
                    <w:rPr>
                      <w:rFonts w:hint="eastAsia" w:ascii="Times New Roman" w:hAnsi="Times New Roman" w:cs="Times New Roman"/>
                      <w:color w:val="auto"/>
                      <w:spacing w:val="-4"/>
                      <w:vertAlign w:val="baseline"/>
                      <w:lang w:eastAsia="zh-CN"/>
                    </w:rPr>
                    <w:t>，位于现有车间内东部，</w:t>
                  </w:r>
                  <w:r>
                    <w:rPr>
                      <w:rFonts w:hint="eastAsia" w:cs="Times New Roman"/>
                      <w:color w:val="auto"/>
                      <w:spacing w:val="-4"/>
                      <w:vertAlign w:val="baseline"/>
                      <w:lang w:eastAsia="zh-CN"/>
                    </w:rPr>
                    <w:t>洁净等级为十万级，</w:t>
                  </w:r>
                  <w:r>
                    <w:rPr>
                      <w:rFonts w:hint="eastAsia" w:ascii="Times New Roman" w:hAnsi="Times New Roman" w:cs="Times New Roman"/>
                      <w:color w:val="auto"/>
                      <w:spacing w:val="-4"/>
                      <w:vertAlign w:val="baseline"/>
                      <w:lang w:eastAsia="zh-CN"/>
                    </w:rPr>
                    <w:t>主要用于产品生产。</w:t>
                  </w:r>
                </w:p>
              </w:tc>
            </w:tr>
            <w:tr w14:paraId="781A1F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350" w:type="pct"/>
                  <w:vMerge w:val="restart"/>
                  <w:noWrap w:val="0"/>
                  <w:tcMar>
                    <w:left w:w="57" w:type="dxa"/>
                    <w:right w:w="57" w:type="dxa"/>
                  </w:tcMar>
                  <w:vAlign w:val="center"/>
                </w:tcPr>
                <w:p w14:paraId="49093C75">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辅助</w:t>
                  </w:r>
                </w:p>
                <w:p w14:paraId="1545DAEA">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工程</w:t>
                  </w:r>
                </w:p>
              </w:tc>
              <w:tc>
                <w:tcPr>
                  <w:tcW w:w="410" w:type="pct"/>
                  <w:noWrap w:val="0"/>
                  <w:tcMar>
                    <w:left w:w="57" w:type="dxa"/>
                    <w:right w:w="57" w:type="dxa"/>
                  </w:tcMar>
                  <w:vAlign w:val="center"/>
                </w:tcPr>
                <w:p w14:paraId="48BF1F01">
                  <w:pPr>
                    <w:pStyle w:val="121"/>
                    <w:keepNext w:val="0"/>
                    <w:keepLines w:val="0"/>
                    <w:widowControl w:val="0"/>
                    <w:suppressLineNumbers w:val="0"/>
                    <w:spacing w:before="0" w:beforeAutospacing="0" w:after="0" w:afterAutospacing="0" w:line="240" w:lineRule="auto"/>
                    <w:ind w:left="0" w:right="0"/>
                    <w:rPr>
                      <w:rFonts w:hint="eastAsia" w:ascii="Times New Roman" w:hAnsi="Times New Roman" w:cs="Times New Roman"/>
                      <w:color w:val="auto"/>
                      <w:spacing w:val="-4"/>
                      <w:lang w:eastAsia="zh-CN"/>
                    </w:rPr>
                  </w:pPr>
                  <w:r>
                    <w:rPr>
                      <w:rFonts w:hint="eastAsia" w:ascii="Times New Roman" w:hAnsi="Times New Roman" w:cs="Times New Roman"/>
                      <w:color w:val="auto"/>
                      <w:spacing w:val="-4"/>
                      <w:lang w:eastAsia="zh-CN"/>
                    </w:rPr>
                    <w:t>门卫</w:t>
                  </w:r>
                </w:p>
              </w:tc>
              <w:tc>
                <w:tcPr>
                  <w:tcW w:w="1059" w:type="pct"/>
                  <w:noWrap w:val="0"/>
                  <w:tcMar>
                    <w:left w:w="57" w:type="dxa"/>
                    <w:right w:w="57" w:type="dxa"/>
                  </w:tcMar>
                  <w:vAlign w:val="center"/>
                </w:tcPr>
                <w:p w14:paraId="25ED8FF5">
                  <w:pPr>
                    <w:pStyle w:val="121"/>
                    <w:keepNext w:val="0"/>
                    <w:keepLines w:val="0"/>
                    <w:widowControl/>
                    <w:suppressLineNumbers w:val="0"/>
                    <w:spacing w:before="0" w:beforeAutospacing="0" w:after="0" w:afterAutospacing="0" w:line="240" w:lineRule="auto"/>
                    <w:ind w:left="0" w:right="0"/>
                    <w:jc w:val="left"/>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1座，砖混，占地面积10</w:t>
                  </w:r>
                  <w:r>
                    <w:rPr>
                      <w:rFonts w:hint="default" w:ascii="Times New Roman" w:hAnsi="Times New Roman" w:eastAsia="宋体" w:cs="Times New Roman"/>
                      <w:color w:val="auto"/>
                      <w:sz w:val="21"/>
                      <w:szCs w:val="21"/>
                      <w:highlight w:val="none"/>
                      <w:lang w:val="en-US" w:eastAsia="zh-CN"/>
                    </w:rPr>
                    <w:t>m</w:t>
                  </w:r>
                  <w:r>
                    <w:rPr>
                      <w:rFonts w:hint="default" w:ascii="Times New Roman" w:hAnsi="Times New Roman" w:eastAsia="宋体" w:cs="Times New Roman"/>
                      <w:color w:val="auto"/>
                      <w:sz w:val="21"/>
                      <w:szCs w:val="21"/>
                      <w:highlight w:val="none"/>
                      <w:vertAlign w:val="superscript"/>
                      <w:lang w:val="en-US" w:eastAsia="zh-CN"/>
                    </w:rPr>
                    <w:t>2</w:t>
                  </w:r>
                  <w:r>
                    <w:rPr>
                      <w:rFonts w:hint="eastAsia" w:ascii="Times New Roman" w:hAnsi="Times New Roman" w:eastAsia="宋体" w:cs="Times New Roman"/>
                      <w:color w:val="auto"/>
                      <w:sz w:val="21"/>
                      <w:szCs w:val="21"/>
                      <w:highlight w:val="none"/>
                      <w:lang w:val="en-US" w:eastAsia="zh-CN"/>
                    </w:rPr>
                    <w:t>。</w:t>
                  </w:r>
                </w:p>
              </w:tc>
              <w:tc>
                <w:tcPr>
                  <w:tcW w:w="1059" w:type="pct"/>
                  <w:noWrap w:val="0"/>
                  <w:tcMar>
                    <w:left w:w="57" w:type="dxa"/>
                    <w:right w:w="57" w:type="dxa"/>
                  </w:tcMar>
                  <w:vAlign w:val="center"/>
                </w:tcPr>
                <w:p w14:paraId="091AD7BB">
                  <w:pPr>
                    <w:keepNext w:val="0"/>
                    <w:keepLines w:val="0"/>
                    <w:suppressLineNumbers w:val="0"/>
                    <w:spacing w:before="0" w:beforeAutospacing="0" w:after="0" w:afterAutospacing="0" w:line="240" w:lineRule="auto"/>
                    <w:ind w:left="0" w:right="0"/>
                    <w:jc w:val="center"/>
                    <w:rPr>
                      <w:rFonts w:hint="default" w:ascii="Times New Roman" w:hAnsi="Times New Roman" w:cs="Times New Roman"/>
                      <w:kern w:val="2"/>
                      <w:sz w:val="21"/>
                      <w:szCs w:val="24"/>
                      <w:lang w:val="en-US" w:eastAsia="zh-CN" w:bidi="ar-SA"/>
                    </w:rPr>
                  </w:pPr>
                  <w:r>
                    <w:rPr>
                      <w:rFonts w:hint="default" w:ascii="Times New Roman" w:hAnsi="Times New Roman" w:cs="Times New Roman"/>
                      <w:kern w:val="2"/>
                      <w:sz w:val="21"/>
                      <w:szCs w:val="24"/>
                      <w:lang w:val="en-US" w:eastAsia="zh-CN" w:bidi="ar-SA"/>
                    </w:rPr>
                    <w:t>依托</w:t>
                  </w:r>
                </w:p>
              </w:tc>
              <w:tc>
                <w:tcPr>
                  <w:tcW w:w="1059" w:type="pct"/>
                  <w:noWrap w:val="0"/>
                  <w:tcMar>
                    <w:left w:w="57" w:type="dxa"/>
                    <w:right w:w="57" w:type="dxa"/>
                  </w:tcMar>
                  <w:vAlign w:val="center"/>
                </w:tcPr>
                <w:p w14:paraId="5897EA57">
                  <w:pPr>
                    <w:pStyle w:val="121"/>
                    <w:keepNext w:val="0"/>
                    <w:keepLines w:val="0"/>
                    <w:widowControl/>
                    <w:suppressLineNumbers w:val="0"/>
                    <w:spacing w:before="0" w:beforeAutospacing="0" w:after="0" w:afterAutospacing="0" w:line="240" w:lineRule="auto"/>
                    <w:ind w:left="0" w:right="0"/>
                    <w:jc w:val="left"/>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1座，砖混，占地面积10</w:t>
                  </w:r>
                  <w:r>
                    <w:rPr>
                      <w:rFonts w:hint="default" w:ascii="Times New Roman" w:hAnsi="Times New Roman" w:eastAsia="宋体" w:cs="Times New Roman"/>
                      <w:color w:val="auto"/>
                      <w:sz w:val="21"/>
                      <w:szCs w:val="21"/>
                      <w:highlight w:val="none"/>
                      <w:lang w:val="en-US" w:eastAsia="zh-CN"/>
                    </w:rPr>
                    <w:t>m</w:t>
                  </w:r>
                  <w:r>
                    <w:rPr>
                      <w:rFonts w:hint="default" w:ascii="Times New Roman" w:hAnsi="Times New Roman" w:eastAsia="宋体" w:cs="Times New Roman"/>
                      <w:color w:val="auto"/>
                      <w:sz w:val="21"/>
                      <w:szCs w:val="21"/>
                      <w:highlight w:val="none"/>
                      <w:vertAlign w:val="superscript"/>
                      <w:lang w:val="en-US" w:eastAsia="zh-CN"/>
                    </w:rPr>
                    <w:t>2</w:t>
                  </w:r>
                  <w:r>
                    <w:rPr>
                      <w:rFonts w:hint="eastAsia" w:ascii="Times New Roman" w:hAnsi="Times New Roman" w:eastAsia="宋体" w:cs="Times New Roman"/>
                      <w:color w:val="auto"/>
                      <w:sz w:val="21"/>
                      <w:szCs w:val="21"/>
                      <w:highlight w:val="none"/>
                      <w:lang w:val="en-US" w:eastAsia="zh-CN"/>
                    </w:rPr>
                    <w:t>。</w:t>
                  </w:r>
                </w:p>
              </w:tc>
              <w:tc>
                <w:tcPr>
                  <w:tcW w:w="1059" w:type="pct"/>
                  <w:noWrap w:val="0"/>
                  <w:tcMar>
                    <w:left w:w="57" w:type="dxa"/>
                    <w:right w:w="57" w:type="dxa"/>
                  </w:tcMar>
                  <w:vAlign w:val="center"/>
                </w:tcPr>
                <w:p w14:paraId="50720C11">
                  <w:pPr>
                    <w:pStyle w:val="121"/>
                    <w:keepNext w:val="0"/>
                    <w:keepLines w:val="0"/>
                    <w:widowControl/>
                    <w:suppressLineNumbers w:val="0"/>
                    <w:spacing w:before="0" w:beforeAutospacing="0" w:after="0" w:afterAutospacing="0" w:line="240" w:lineRule="auto"/>
                    <w:ind w:left="0" w:right="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不变</w:t>
                  </w:r>
                </w:p>
              </w:tc>
            </w:tr>
            <w:tr w14:paraId="0147FE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350" w:type="pct"/>
                  <w:vMerge w:val="continue"/>
                  <w:noWrap w:val="0"/>
                  <w:tcMar>
                    <w:left w:w="57" w:type="dxa"/>
                    <w:right w:w="57" w:type="dxa"/>
                  </w:tcMar>
                  <w:vAlign w:val="center"/>
                </w:tcPr>
                <w:p w14:paraId="18DF2199">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p>
              </w:tc>
              <w:tc>
                <w:tcPr>
                  <w:tcW w:w="410" w:type="pct"/>
                  <w:noWrap w:val="0"/>
                  <w:tcMar>
                    <w:left w:w="57" w:type="dxa"/>
                    <w:right w:w="57" w:type="dxa"/>
                  </w:tcMar>
                  <w:vAlign w:val="center"/>
                </w:tcPr>
                <w:p w14:paraId="34B4F760">
                  <w:pPr>
                    <w:pStyle w:val="121"/>
                    <w:keepNext w:val="0"/>
                    <w:keepLines w:val="0"/>
                    <w:widowControl w:val="0"/>
                    <w:suppressLineNumbers w:val="0"/>
                    <w:spacing w:before="0" w:beforeAutospacing="0" w:after="0" w:afterAutospacing="0" w:line="240" w:lineRule="auto"/>
                    <w:ind w:left="0" w:right="0"/>
                    <w:rPr>
                      <w:rFonts w:hint="eastAsia" w:ascii="Times New Roman" w:hAnsi="Times New Roman" w:eastAsia="宋体" w:cs="Times New Roman"/>
                      <w:kern w:val="2"/>
                      <w:sz w:val="21"/>
                      <w:szCs w:val="21"/>
                      <w:lang w:val="en-US" w:eastAsia="zh-CN" w:bidi="ar-SA"/>
                    </w:rPr>
                  </w:pPr>
                  <w:r>
                    <w:rPr>
                      <w:rFonts w:hint="eastAsia" w:ascii="Times New Roman" w:hAnsi="Times New Roman" w:cs="Times New Roman"/>
                      <w:color w:val="auto"/>
                      <w:spacing w:val="-4"/>
                      <w:lang w:eastAsia="zh-CN"/>
                    </w:rPr>
                    <w:t>倒班楼</w:t>
                  </w:r>
                </w:p>
              </w:tc>
              <w:tc>
                <w:tcPr>
                  <w:tcW w:w="1059" w:type="pct"/>
                  <w:noWrap w:val="0"/>
                  <w:tcMar>
                    <w:left w:w="57" w:type="dxa"/>
                    <w:right w:w="57" w:type="dxa"/>
                  </w:tcMar>
                  <w:vAlign w:val="center"/>
                </w:tcPr>
                <w:p w14:paraId="312E50B4">
                  <w:pPr>
                    <w:pStyle w:val="121"/>
                    <w:keepNext w:val="0"/>
                    <w:keepLines w:val="0"/>
                    <w:widowControl/>
                    <w:suppressLineNumbers w:val="0"/>
                    <w:spacing w:before="0" w:beforeAutospacing="0" w:after="0" w:afterAutospacing="0" w:line="240" w:lineRule="auto"/>
                    <w:ind w:left="0" w:right="0"/>
                    <w:jc w:val="left"/>
                    <w:rPr>
                      <w:rFonts w:hint="default" w:ascii="Times New Roman" w:hAnsi="Times New Roman" w:cs="Times New Roman"/>
                      <w:kern w:val="2"/>
                      <w:sz w:val="21"/>
                      <w:szCs w:val="24"/>
                      <w:lang w:val="en-US" w:eastAsia="zh-CN" w:bidi="ar-SA"/>
                    </w:rPr>
                  </w:pPr>
                  <w:r>
                    <w:rPr>
                      <w:rFonts w:hint="eastAsia" w:ascii="Times New Roman" w:hAnsi="Times New Roman" w:eastAsia="宋体" w:cs="Times New Roman"/>
                      <w:color w:val="auto"/>
                      <w:sz w:val="21"/>
                      <w:szCs w:val="21"/>
                      <w:highlight w:val="none"/>
                      <w:lang w:val="en-US" w:eastAsia="zh-CN"/>
                    </w:rPr>
                    <w:t>1座，砖混，占地面积680</w:t>
                  </w:r>
                  <w:r>
                    <w:rPr>
                      <w:rFonts w:hint="default" w:ascii="Times New Roman" w:hAnsi="Times New Roman" w:eastAsia="宋体" w:cs="Times New Roman"/>
                      <w:color w:val="auto"/>
                      <w:sz w:val="21"/>
                      <w:szCs w:val="21"/>
                      <w:highlight w:val="none"/>
                      <w:lang w:val="en-US" w:eastAsia="zh-CN"/>
                    </w:rPr>
                    <w:t>m</w:t>
                  </w:r>
                  <w:r>
                    <w:rPr>
                      <w:rFonts w:hint="default" w:ascii="Times New Roman" w:hAnsi="Times New Roman" w:eastAsia="宋体" w:cs="Times New Roman"/>
                      <w:color w:val="auto"/>
                      <w:sz w:val="21"/>
                      <w:szCs w:val="21"/>
                      <w:highlight w:val="none"/>
                      <w:vertAlign w:val="superscript"/>
                      <w:lang w:val="en-US" w:eastAsia="zh-CN"/>
                    </w:rPr>
                    <w:t>2</w:t>
                  </w:r>
                  <w:r>
                    <w:rPr>
                      <w:rFonts w:hint="eastAsia" w:ascii="Times New Roman" w:hAnsi="Times New Roman" w:eastAsia="宋体"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val="en-US" w:eastAsia="zh-CN"/>
                    </w:rPr>
                    <w:t>建筑面积</w:t>
                  </w:r>
                  <w:r>
                    <w:rPr>
                      <w:rFonts w:hint="eastAsia" w:ascii="Times New Roman" w:hAnsi="Times New Roman" w:eastAsia="宋体" w:cs="Times New Roman"/>
                      <w:color w:val="auto"/>
                      <w:sz w:val="21"/>
                      <w:szCs w:val="21"/>
                      <w:highlight w:val="none"/>
                      <w:lang w:val="en-US" w:eastAsia="zh-CN"/>
                    </w:rPr>
                    <w:t>1360</w:t>
                  </w:r>
                  <w:r>
                    <w:rPr>
                      <w:rFonts w:hint="default" w:ascii="Times New Roman" w:hAnsi="Times New Roman" w:eastAsia="宋体" w:cs="Times New Roman"/>
                      <w:color w:val="auto"/>
                      <w:sz w:val="21"/>
                      <w:szCs w:val="21"/>
                      <w:highlight w:val="none"/>
                      <w:lang w:val="en-US" w:eastAsia="zh-CN"/>
                    </w:rPr>
                    <w:t>m</w:t>
                  </w:r>
                  <w:r>
                    <w:rPr>
                      <w:rFonts w:hint="default" w:ascii="Times New Roman" w:hAnsi="Times New Roman" w:eastAsia="宋体" w:cs="Times New Roman"/>
                      <w:color w:val="auto"/>
                      <w:sz w:val="21"/>
                      <w:szCs w:val="21"/>
                      <w:highlight w:val="none"/>
                      <w:vertAlign w:val="superscript"/>
                      <w:lang w:val="en-US" w:eastAsia="zh-CN"/>
                    </w:rPr>
                    <w:t>2</w:t>
                  </w:r>
                  <w:r>
                    <w:rPr>
                      <w:rFonts w:hint="eastAsia" w:ascii="Times New Roman" w:hAnsi="Times New Roman" w:eastAsia="宋体" w:cs="Times New Roman"/>
                      <w:color w:val="auto"/>
                      <w:sz w:val="21"/>
                      <w:szCs w:val="21"/>
                      <w:highlight w:val="none"/>
                      <w:vertAlign w:val="baseline"/>
                      <w:lang w:val="en-US" w:eastAsia="zh-CN"/>
                    </w:rPr>
                    <w:t>，用于办公。</w:t>
                  </w:r>
                </w:p>
              </w:tc>
              <w:tc>
                <w:tcPr>
                  <w:tcW w:w="1059" w:type="pct"/>
                  <w:noWrap w:val="0"/>
                  <w:tcMar>
                    <w:left w:w="57" w:type="dxa"/>
                    <w:right w:w="57" w:type="dxa"/>
                  </w:tcMar>
                  <w:vAlign w:val="center"/>
                </w:tcPr>
                <w:p w14:paraId="46D7EB4F">
                  <w:pPr>
                    <w:keepNext w:val="0"/>
                    <w:keepLines w:val="0"/>
                    <w:suppressLineNumbers w:val="0"/>
                    <w:spacing w:before="0" w:beforeAutospacing="0" w:after="0" w:afterAutospacing="0" w:line="240" w:lineRule="auto"/>
                    <w:ind w:left="0" w:right="0"/>
                    <w:jc w:val="center"/>
                    <w:rPr>
                      <w:rFonts w:hint="default" w:ascii="Times New Roman" w:hAnsi="Times New Roman" w:cs="Times New Roman"/>
                      <w:kern w:val="2"/>
                      <w:sz w:val="21"/>
                      <w:szCs w:val="24"/>
                      <w:lang w:val="en-US" w:eastAsia="zh-CN" w:bidi="ar-SA"/>
                    </w:rPr>
                  </w:pPr>
                  <w:r>
                    <w:rPr>
                      <w:rFonts w:hint="default" w:ascii="Times New Roman" w:hAnsi="Times New Roman" w:cs="Times New Roman"/>
                      <w:kern w:val="2"/>
                      <w:sz w:val="21"/>
                      <w:szCs w:val="24"/>
                      <w:lang w:val="en-US" w:eastAsia="zh-CN" w:bidi="ar-SA"/>
                    </w:rPr>
                    <w:t>依托</w:t>
                  </w:r>
                </w:p>
              </w:tc>
              <w:tc>
                <w:tcPr>
                  <w:tcW w:w="1059" w:type="pct"/>
                  <w:noWrap w:val="0"/>
                  <w:tcMar>
                    <w:left w:w="57" w:type="dxa"/>
                    <w:right w:w="57" w:type="dxa"/>
                  </w:tcMar>
                  <w:vAlign w:val="center"/>
                </w:tcPr>
                <w:p w14:paraId="10D1356B">
                  <w:pPr>
                    <w:pStyle w:val="121"/>
                    <w:keepNext w:val="0"/>
                    <w:keepLines w:val="0"/>
                    <w:widowControl/>
                    <w:suppressLineNumbers w:val="0"/>
                    <w:spacing w:before="0" w:beforeAutospacing="0" w:after="0" w:afterAutospacing="0" w:line="240" w:lineRule="auto"/>
                    <w:ind w:left="0" w:right="0"/>
                    <w:jc w:val="left"/>
                    <w:rPr>
                      <w:rFonts w:hint="default" w:ascii="Times New Roman" w:hAnsi="Times New Roman" w:cs="Times New Roman"/>
                      <w:kern w:val="2"/>
                      <w:sz w:val="21"/>
                      <w:szCs w:val="24"/>
                      <w:lang w:val="en-US" w:eastAsia="zh-CN" w:bidi="ar-SA"/>
                    </w:rPr>
                  </w:pPr>
                  <w:r>
                    <w:rPr>
                      <w:rFonts w:hint="eastAsia" w:ascii="Times New Roman" w:hAnsi="Times New Roman" w:eastAsia="宋体" w:cs="Times New Roman"/>
                      <w:color w:val="auto"/>
                      <w:sz w:val="21"/>
                      <w:szCs w:val="21"/>
                      <w:highlight w:val="none"/>
                      <w:lang w:val="en-US" w:eastAsia="zh-CN"/>
                    </w:rPr>
                    <w:t>1座，砖混，占地面积</w:t>
                  </w:r>
                  <w:r>
                    <w:rPr>
                      <w:rFonts w:hint="eastAsia" w:ascii="Times New Roman" w:hAnsi="Times New Roman" w:cs="Times New Roman"/>
                      <w:color w:val="auto"/>
                      <w:sz w:val="21"/>
                      <w:szCs w:val="21"/>
                      <w:highlight w:val="none"/>
                      <w:lang w:val="en-US" w:eastAsia="zh-CN"/>
                    </w:rPr>
                    <w:t>680</w:t>
                  </w:r>
                  <w:r>
                    <w:rPr>
                      <w:rFonts w:hint="default" w:ascii="Times New Roman" w:hAnsi="Times New Roman" w:eastAsia="宋体" w:cs="Times New Roman"/>
                      <w:color w:val="auto"/>
                      <w:sz w:val="21"/>
                      <w:szCs w:val="21"/>
                      <w:highlight w:val="none"/>
                      <w:lang w:val="en-US" w:eastAsia="zh-CN"/>
                    </w:rPr>
                    <w:t>m</w:t>
                  </w:r>
                  <w:r>
                    <w:rPr>
                      <w:rFonts w:hint="default" w:ascii="Times New Roman" w:hAnsi="Times New Roman" w:eastAsia="宋体" w:cs="Times New Roman"/>
                      <w:color w:val="auto"/>
                      <w:sz w:val="21"/>
                      <w:szCs w:val="21"/>
                      <w:highlight w:val="none"/>
                      <w:vertAlign w:val="superscript"/>
                      <w:lang w:val="en-US" w:eastAsia="zh-CN"/>
                    </w:rPr>
                    <w:t>2</w:t>
                  </w:r>
                  <w:r>
                    <w:rPr>
                      <w:rFonts w:hint="eastAsia" w:ascii="Times New Roman" w:hAnsi="Times New Roman" w:eastAsia="宋体"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val="en-US" w:eastAsia="zh-CN"/>
                    </w:rPr>
                    <w:t>建筑面积</w:t>
                  </w:r>
                  <w:r>
                    <w:rPr>
                      <w:rFonts w:hint="eastAsia" w:ascii="Times New Roman" w:hAnsi="Times New Roman" w:cs="Times New Roman"/>
                      <w:color w:val="auto"/>
                      <w:sz w:val="21"/>
                      <w:szCs w:val="21"/>
                      <w:highlight w:val="none"/>
                      <w:lang w:val="en-US" w:eastAsia="zh-CN"/>
                    </w:rPr>
                    <w:t>1360</w:t>
                  </w:r>
                  <w:r>
                    <w:rPr>
                      <w:rFonts w:hint="default" w:ascii="Times New Roman" w:hAnsi="Times New Roman" w:eastAsia="宋体" w:cs="Times New Roman"/>
                      <w:color w:val="auto"/>
                      <w:sz w:val="21"/>
                      <w:szCs w:val="21"/>
                      <w:highlight w:val="none"/>
                      <w:lang w:val="en-US" w:eastAsia="zh-CN"/>
                    </w:rPr>
                    <w:t>m</w:t>
                  </w:r>
                  <w:r>
                    <w:rPr>
                      <w:rFonts w:hint="default" w:ascii="Times New Roman" w:hAnsi="Times New Roman" w:eastAsia="宋体" w:cs="Times New Roman"/>
                      <w:color w:val="auto"/>
                      <w:sz w:val="21"/>
                      <w:szCs w:val="21"/>
                      <w:highlight w:val="none"/>
                      <w:vertAlign w:val="superscript"/>
                      <w:lang w:val="en-US" w:eastAsia="zh-CN"/>
                    </w:rPr>
                    <w:t>2</w:t>
                  </w:r>
                  <w:r>
                    <w:rPr>
                      <w:rFonts w:hint="eastAsia" w:ascii="Times New Roman" w:hAnsi="Times New Roman" w:eastAsia="宋体" w:cs="Times New Roman"/>
                      <w:color w:val="auto"/>
                      <w:sz w:val="21"/>
                      <w:szCs w:val="21"/>
                      <w:highlight w:val="none"/>
                      <w:vertAlign w:val="baseline"/>
                      <w:lang w:val="en-US" w:eastAsia="zh-CN"/>
                    </w:rPr>
                    <w:t>，用于办公。</w:t>
                  </w:r>
                </w:p>
              </w:tc>
              <w:tc>
                <w:tcPr>
                  <w:tcW w:w="1059" w:type="pct"/>
                  <w:noWrap w:val="0"/>
                  <w:tcMar>
                    <w:left w:w="57" w:type="dxa"/>
                    <w:right w:w="57" w:type="dxa"/>
                  </w:tcMar>
                  <w:vAlign w:val="center"/>
                </w:tcPr>
                <w:p w14:paraId="6FF1839E">
                  <w:pPr>
                    <w:pStyle w:val="121"/>
                    <w:keepNext w:val="0"/>
                    <w:keepLines w:val="0"/>
                    <w:widowControl/>
                    <w:suppressLineNumbers w:val="0"/>
                    <w:spacing w:before="0" w:beforeAutospacing="0" w:after="0" w:afterAutospacing="0" w:line="240" w:lineRule="auto"/>
                    <w:ind w:left="0" w:right="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不变</w:t>
                  </w:r>
                </w:p>
              </w:tc>
            </w:tr>
            <w:tr w14:paraId="6A280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350" w:type="pct"/>
                  <w:vMerge w:val="restart"/>
                  <w:noWrap w:val="0"/>
                  <w:tcMar>
                    <w:left w:w="57" w:type="dxa"/>
                    <w:right w:w="57" w:type="dxa"/>
                  </w:tcMar>
                  <w:vAlign w:val="center"/>
                </w:tcPr>
                <w:p w14:paraId="72DE700C">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szCs w:val="21"/>
                      <w:lang w:eastAsia="zh-CN"/>
                    </w:rPr>
                  </w:pPr>
                  <w:r>
                    <w:rPr>
                      <w:rFonts w:hint="eastAsia" w:ascii="Times New Roman" w:hAnsi="Times New Roman" w:cs="Times New Roman"/>
                      <w:szCs w:val="21"/>
                      <w:lang w:eastAsia="zh-CN"/>
                    </w:rPr>
                    <w:t>储运工程</w:t>
                  </w:r>
                </w:p>
              </w:tc>
              <w:tc>
                <w:tcPr>
                  <w:tcW w:w="410" w:type="pct"/>
                  <w:noWrap w:val="0"/>
                  <w:tcMar>
                    <w:left w:w="57" w:type="dxa"/>
                    <w:right w:w="57" w:type="dxa"/>
                  </w:tcMar>
                  <w:vAlign w:val="center"/>
                </w:tcPr>
                <w:p w14:paraId="2EFD3D25">
                  <w:pPr>
                    <w:pStyle w:val="121"/>
                    <w:keepNext w:val="0"/>
                    <w:keepLines w:val="0"/>
                    <w:widowControl w:val="0"/>
                    <w:suppressLineNumbers w:val="0"/>
                    <w:spacing w:before="0" w:beforeAutospacing="0" w:after="0" w:afterAutospacing="0" w:line="240" w:lineRule="auto"/>
                    <w:ind w:left="0" w:right="0"/>
                    <w:rPr>
                      <w:rFonts w:hint="eastAsia" w:ascii="Times New Roman" w:hAnsi="Times New Roman" w:eastAsia="宋体" w:cs="Times New Roman"/>
                      <w:color w:val="auto"/>
                      <w:spacing w:val="-4"/>
                      <w:lang w:eastAsia="zh-CN"/>
                    </w:rPr>
                  </w:pPr>
                  <w:r>
                    <w:rPr>
                      <w:rFonts w:hint="eastAsia" w:ascii="Times New Roman" w:hAnsi="Times New Roman" w:cs="Times New Roman"/>
                      <w:color w:val="auto"/>
                      <w:spacing w:val="-4"/>
                      <w:lang w:eastAsia="zh-CN"/>
                    </w:rPr>
                    <w:t>原料区</w:t>
                  </w:r>
                </w:p>
              </w:tc>
              <w:tc>
                <w:tcPr>
                  <w:tcW w:w="1059" w:type="pct"/>
                  <w:noWrap w:val="0"/>
                  <w:tcMar>
                    <w:left w:w="57" w:type="dxa"/>
                    <w:right w:w="57" w:type="dxa"/>
                  </w:tcMar>
                  <w:vAlign w:val="center"/>
                </w:tcPr>
                <w:p w14:paraId="2000C20D">
                  <w:pPr>
                    <w:pStyle w:val="121"/>
                    <w:keepNext w:val="0"/>
                    <w:keepLines w:val="0"/>
                    <w:widowControl/>
                    <w:suppressLineNumbers w:val="0"/>
                    <w:spacing w:before="0" w:beforeAutospacing="0" w:after="0" w:afterAutospacing="0" w:line="240" w:lineRule="auto"/>
                    <w:ind w:left="0" w:right="0"/>
                    <w:jc w:val="left"/>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pacing w:val="-4"/>
                      <w:kern w:val="2"/>
                      <w:lang w:val="en-US" w:eastAsia="zh-CN"/>
                    </w:rPr>
                    <w:t>占地面积858</w:t>
                  </w:r>
                  <w:r>
                    <w:rPr>
                      <w:rFonts w:hint="default" w:ascii="Times New Roman" w:hAnsi="Times New Roman" w:eastAsia="宋体" w:cs="Times New Roman"/>
                      <w:color w:val="auto"/>
                      <w:sz w:val="21"/>
                      <w:szCs w:val="21"/>
                      <w:highlight w:val="none"/>
                      <w:lang w:val="en-US" w:eastAsia="zh-CN"/>
                    </w:rPr>
                    <w:t>m</w:t>
                  </w:r>
                  <w:r>
                    <w:rPr>
                      <w:rFonts w:hint="default" w:ascii="Times New Roman" w:hAnsi="Times New Roman" w:eastAsia="宋体" w:cs="Times New Roman"/>
                      <w:color w:val="auto"/>
                      <w:sz w:val="21"/>
                      <w:szCs w:val="21"/>
                      <w:highlight w:val="none"/>
                      <w:vertAlign w:val="superscript"/>
                      <w:lang w:val="en-US" w:eastAsia="zh-CN"/>
                    </w:rPr>
                    <w:t>2</w:t>
                  </w:r>
                  <w:r>
                    <w:rPr>
                      <w:rFonts w:hint="eastAsia" w:ascii="Times New Roman" w:hAnsi="Times New Roman" w:cs="Times New Roman"/>
                      <w:color w:val="auto"/>
                      <w:spacing w:val="-4"/>
                      <w:kern w:val="2"/>
                      <w:lang w:val="en-US" w:eastAsia="zh-CN"/>
                    </w:rPr>
                    <w:t>，位于生产车间内东北部，</w:t>
                  </w:r>
                  <w:r>
                    <w:rPr>
                      <w:rFonts w:hint="eastAsia" w:ascii="Times New Roman" w:hAnsi="Times New Roman" w:cs="Times New Roman"/>
                      <w:color w:val="auto"/>
                      <w:spacing w:val="-4"/>
                      <w:vertAlign w:val="baseline"/>
                      <w:lang w:eastAsia="zh-CN"/>
                    </w:rPr>
                    <w:t>主要用于存放原辅料。</w:t>
                  </w:r>
                </w:p>
              </w:tc>
              <w:tc>
                <w:tcPr>
                  <w:tcW w:w="1059" w:type="pct"/>
                  <w:noWrap w:val="0"/>
                  <w:tcMar>
                    <w:left w:w="57" w:type="dxa"/>
                    <w:right w:w="57" w:type="dxa"/>
                  </w:tcMar>
                  <w:vAlign w:val="center"/>
                </w:tcPr>
                <w:p w14:paraId="1B296FD8">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kern w:val="2"/>
                      <w:sz w:val="21"/>
                      <w:szCs w:val="24"/>
                      <w:lang w:val="en-US" w:eastAsia="zh-CN" w:bidi="ar-SA"/>
                    </w:rPr>
                  </w:pPr>
                  <w:r>
                    <w:rPr>
                      <w:rFonts w:hint="eastAsia" w:ascii="Times New Roman" w:hAnsi="Times New Roman" w:cs="Times New Roman"/>
                      <w:color w:val="auto"/>
                      <w:kern w:val="2"/>
                      <w:sz w:val="21"/>
                      <w:szCs w:val="24"/>
                      <w:lang w:val="en-US" w:eastAsia="zh-CN" w:bidi="ar-SA"/>
                    </w:rPr>
                    <w:t>依托</w:t>
                  </w:r>
                </w:p>
              </w:tc>
              <w:tc>
                <w:tcPr>
                  <w:tcW w:w="1059" w:type="pct"/>
                  <w:noWrap w:val="0"/>
                  <w:tcMar>
                    <w:left w:w="57" w:type="dxa"/>
                    <w:right w:w="57" w:type="dxa"/>
                  </w:tcMar>
                  <w:vAlign w:val="center"/>
                </w:tcPr>
                <w:p w14:paraId="70B6663E">
                  <w:pPr>
                    <w:pStyle w:val="121"/>
                    <w:keepNext w:val="0"/>
                    <w:keepLines w:val="0"/>
                    <w:widowControl/>
                    <w:suppressLineNumbers w:val="0"/>
                    <w:spacing w:before="0" w:beforeAutospacing="0" w:after="0" w:afterAutospacing="0" w:line="240" w:lineRule="auto"/>
                    <w:ind w:left="0" w:right="0"/>
                    <w:jc w:val="left"/>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pacing w:val="-4"/>
                      <w:kern w:val="2"/>
                      <w:lang w:val="en-US" w:eastAsia="zh-CN"/>
                    </w:rPr>
                    <w:t>占地面积858</w:t>
                  </w:r>
                  <w:r>
                    <w:rPr>
                      <w:rFonts w:hint="default" w:ascii="Times New Roman" w:hAnsi="Times New Roman" w:eastAsia="宋体" w:cs="Times New Roman"/>
                      <w:color w:val="auto"/>
                      <w:sz w:val="21"/>
                      <w:szCs w:val="21"/>
                      <w:highlight w:val="none"/>
                      <w:lang w:val="en-US" w:eastAsia="zh-CN"/>
                    </w:rPr>
                    <w:t>m</w:t>
                  </w:r>
                  <w:r>
                    <w:rPr>
                      <w:rFonts w:hint="default" w:ascii="Times New Roman" w:hAnsi="Times New Roman" w:eastAsia="宋体" w:cs="Times New Roman"/>
                      <w:color w:val="auto"/>
                      <w:sz w:val="21"/>
                      <w:szCs w:val="21"/>
                      <w:highlight w:val="none"/>
                      <w:vertAlign w:val="superscript"/>
                      <w:lang w:val="en-US" w:eastAsia="zh-CN"/>
                    </w:rPr>
                    <w:t>2</w:t>
                  </w:r>
                  <w:r>
                    <w:rPr>
                      <w:rFonts w:hint="eastAsia" w:ascii="Times New Roman" w:hAnsi="Times New Roman" w:cs="Times New Roman"/>
                      <w:color w:val="auto"/>
                      <w:spacing w:val="-4"/>
                      <w:kern w:val="2"/>
                      <w:lang w:val="en-US" w:eastAsia="zh-CN"/>
                    </w:rPr>
                    <w:t>，位于生产车间内东北部，</w:t>
                  </w:r>
                  <w:r>
                    <w:rPr>
                      <w:rFonts w:hint="eastAsia" w:ascii="Times New Roman" w:hAnsi="Times New Roman" w:cs="Times New Roman"/>
                      <w:color w:val="auto"/>
                      <w:spacing w:val="-4"/>
                      <w:vertAlign w:val="baseline"/>
                      <w:lang w:eastAsia="zh-CN"/>
                    </w:rPr>
                    <w:t>主要用于存放原辅料。</w:t>
                  </w:r>
                </w:p>
              </w:tc>
              <w:tc>
                <w:tcPr>
                  <w:tcW w:w="1059" w:type="pct"/>
                  <w:noWrap w:val="0"/>
                  <w:tcMar>
                    <w:left w:w="57" w:type="dxa"/>
                    <w:right w:w="57" w:type="dxa"/>
                  </w:tcMar>
                  <w:vAlign w:val="center"/>
                </w:tcPr>
                <w:p w14:paraId="6A7F3A17">
                  <w:pPr>
                    <w:pStyle w:val="121"/>
                    <w:keepNext w:val="0"/>
                    <w:keepLines w:val="0"/>
                    <w:widowControl/>
                    <w:suppressLineNumbers w:val="0"/>
                    <w:spacing w:before="0" w:beforeAutospacing="0" w:after="0" w:afterAutospacing="0" w:line="240" w:lineRule="auto"/>
                    <w:ind w:left="0" w:right="0"/>
                    <w:jc w:val="center"/>
                    <w:rPr>
                      <w:rFonts w:hint="eastAsia" w:ascii="Times New Roman" w:hAnsi="Times New Roman" w:cs="Times New Roman"/>
                      <w:color w:val="auto"/>
                      <w:spacing w:val="-4"/>
                      <w:kern w:val="2"/>
                      <w:lang w:val="en-US" w:eastAsia="zh-CN"/>
                    </w:rPr>
                  </w:pPr>
                  <w:r>
                    <w:rPr>
                      <w:rFonts w:hint="eastAsia" w:ascii="Times New Roman" w:hAnsi="Times New Roman" w:cs="Times New Roman"/>
                      <w:color w:val="auto"/>
                      <w:spacing w:val="-4"/>
                      <w:kern w:val="2"/>
                      <w:lang w:val="en-US" w:eastAsia="zh-CN"/>
                    </w:rPr>
                    <w:t>不变</w:t>
                  </w:r>
                </w:p>
              </w:tc>
            </w:tr>
            <w:tr w14:paraId="2844A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350" w:type="pct"/>
                  <w:vMerge w:val="continue"/>
                  <w:noWrap w:val="0"/>
                  <w:tcMar>
                    <w:left w:w="57" w:type="dxa"/>
                    <w:right w:w="57" w:type="dxa"/>
                  </w:tcMar>
                  <w:vAlign w:val="center"/>
                </w:tcPr>
                <w:p w14:paraId="6448DFF3">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szCs w:val="21"/>
                      <w:lang w:eastAsia="zh-CN"/>
                    </w:rPr>
                  </w:pPr>
                </w:p>
              </w:tc>
              <w:tc>
                <w:tcPr>
                  <w:tcW w:w="410" w:type="pct"/>
                  <w:noWrap w:val="0"/>
                  <w:tcMar>
                    <w:left w:w="57" w:type="dxa"/>
                    <w:right w:w="57" w:type="dxa"/>
                  </w:tcMar>
                  <w:vAlign w:val="center"/>
                </w:tcPr>
                <w:p w14:paraId="148BC7F4">
                  <w:pPr>
                    <w:pStyle w:val="121"/>
                    <w:keepNext w:val="0"/>
                    <w:keepLines w:val="0"/>
                    <w:widowControl w:val="0"/>
                    <w:suppressLineNumbers w:val="0"/>
                    <w:spacing w:before="0" w:beforeAutospacing="0" w:after="0" w:afterAutospacing="0" w:line="240" w:lineRule="auto"/>
                    <w:ind w:left="0" w:right="0"/>
                    <w:rPr>
                      <w:rFonts w:hint="eastAsia" w:ascii="Times New Roman" w:hAnsi="Times New Roman" w:eastAsia="宋体" w:cs="Times New Roman"/>
                      <w:szCs w:val="21"/>
                      <w:lang w:val="en-US" w:eastAsia="zh-CN"/>
                    </w:rPr>
                  </w:pPr>
                  <w:r>
                    <w:rPr>
                      <w:rFonts w:hint="eastAsia" w:ascii="Times New Roman" w:hAnsi="Times New Roman" w:cs="Times New Roman"/>
                      <w:color w:val="auto"/>
                      <w:spacing w:val="-4"/>
                      <w:lang w:eastAsia="zh-CN"/>
                    </w:rPr>
                    <w:t>危废间</w:t>
                  </w:r>
                </w:p>
              </w:tc>
              <w:tc>
                <w:tcPr>
                  <w:tcW w:w="1059" w:type="pct"/>
                  <w:noWrap w:val="0"/>
                  <w:tcMar>
                    <w:left w:w="57" w:type="dxa"/>
                    <w:right w:w="57" w:type="dxa"/>
                  </w:tcMar>
                  <w:vAlign w:val="center"/>
                </w:tcPr>
                <w:p w14:paraId="096D0463">
                  <w:pPr>
                    <w:pStyle w:val="121"/>
                    <w:keepNext w:val="0"/>
                    <w:keepLines w:val="0"/>
                    <w:widowControl w:val="0"/>
                    <w:suppressLineNumbers w:val="0"/>
                    <w:spacing w:before="0" w:beforeAutospacing="0" w:after="0" w:afterAutospacing="0" w:line="240" w:lineRule="auto"/>
                    <w:ind w:left="0" w:right="0"/>
                    <w:jc w:val="left"/>
                    <w:rPr>
                      <w:rFonts w:hint="eastAsia" w:ascii="Times New Roman" w:hAnsi="Times New Roman" w:eastAsia="宋体" w:cs="Times New Roman"/>
                      <w:lang w:val="en-US" w:eastAsia="zh-CN"/>
                    </w:rPr>
                  </w:pPr>
                  <w:r>
                    <w:rPr>
                      <w:rFonts w:hint="default" w:ascii="Times New Roman" w:hAnsi="Times New Roman" w:cs="Times New Roman"/>
                      <w:color w:val="auto"/>
                      <w:spacing w:val="-4"/>
                      <w:kern w:val="2"/>
                    </w:rPr>
                    <w:t>1座，建筑面积</w:t>
                  </w:r>
                  <w:r>
                    <w:rPr>
                      <w:rFonts w:hint="eastAsia" w:ascii="Times New Roman" w:hAnsi="Times New Roman" w:cs="Times New Roman"/>
                      <w:color w:val="auto"/>
                      <w:spacing w:val="-4"/>
                      <w:kern w:val="2"/>
                      <w:lang w:val="en-US" w:eastAsia="zh-CN"/>
                    </w:rPr>
                    <w:t>30</w:t>
                  </w:r>
                  <w:r>
                    <w:rPr>
                      <w:rFonts w:hint="default" w:ascii="Times New Roman" w:hAnsi="Times New Roman" w:cs="Times New Roman"/>
                      <w:color w:val="auto"/>
                      <w:spacing w:val="-4"/>
                      <w:kern w:val="2"/>
                    </w:rPr>
                    <w:t>m</w:t>
                  </w:r>
                  <w:r>
                    <w:rPr>
                      <w:rFonts w:hint="default" w:ascii="Times New Roman" w:hAnsi="Times New Roman" w:cs="Times New Roman"/>
                      <w:color w:val="auto"/>
                      <w:spacing w:val="-4"/>
                      <w:kern w:val="2"/>
                      <w:vertAlign w:val="superscript"/>
                    </w:rPr>
                    <w:t>2</w:t>
                  </w:r>
                  <w:r>
                    <w:rPr>
                      <w:rFonts w:hint="default" w:ascii="Times New Roman" w:hAnsi="Times New Roman" w:cs="Times New Roman"/>
                      <w:color w:val="auto"/>
                      <w:spacing w:val="-4"/>
                      <w:kern w:val="2"/>
                    </w:rPr>
                    <w:t>，</w:t>
                  </w:r>
                  <w:r>
                    <w:rPr>
                      <w:rFonts w:hint="eastAsia" w:ascii="Times New Roman" w:hAnsi="Times New Roman" w:cs="Times New Roman"/>
                      <w:color w:val="auto"/>
                      <w:spacing w:val="-4"/>
                      <w:kern w:val="2"/>
                      <w:lang w:eastAsia="zh-CN"/>
                    </w:rPr>
                    <w:t>位于现有生产车间外西南侧，用于危险废物暂存。</w:t>
                  </w:r>
                </w:p>
              </w:tc>
              <w:tc>
                <w:tcPr>
                  <w:tcW w:w="1059" w:type="pct"/>
                  <w:noWrap w:val="0"/>
                  <w:tcMar>
                    <w:left w:w="57" w:type="dxa"/>
                    <w:right w:w="57" w:type="dxa"/>
                  </w:tcMar>
                  <w:vAlign w:val="center"/>
                </w:tcPr>
                <w:p w14:paraId="433BD2F0">
                  <w:pPr>
                    <w:keepNext w:val="0"/>
                    <w:keepLines w:val="0"/>
                    <w:suppressLineNumbers w:val="0"/>
                    <w:spacing w:before="0" w:beforeAutospacing="0" w:after="0" w:afterAutospacing="0" w:line="240" w:lineRule="auto"/>
                    <w:ind w:left="0" w:right="0"/>
                    <w:jc w:val="center"/>
                    <w:rPr>
                      <w:rFonts w:hint="default" w:ascii="Times New Roman" w:hAnsi="Times New Roman" w:cs="Times New Roman"/>
                      <w:kern w:val="2"/>
                      <w:sz w:val="21"/>
                      <w:szCs w:val="24"/>
                      <w:lang w:val="en-US" w:eastAsia="zh-CN" w:bidi="ar-SA"/>
                    </w:rPr>
                  </w:pPr>
                  <w:r>
                    <w:rPr>
                      <w:rFonts w:hint="default" w:ascii="Times New Roman" w:hAnsi="Times New Roman" w:cs="Times New Roman"/>
                      <w:kern w:val="2"/>
                      <w:sz w:val="21"/>
                      <w:szCs w:val="24"/>
                      <w:lang w:val="en-US" w:eastAsia="zh-CN" w:bidi="ar-SA"/>
                    </w:rPr>
                    <w:t>依托</w:t>
                  </w:r>
                </w:p>
              </w:tc>
              <w:tc>
                <w:tcPr>
                  <w:tcW w:w="1059" w:type="pct"/>
                  <w:noWrap w:val="0"/>
                  <w:tcMar>
                    <w:left w:w="57" w:type="dxa"/>
                    <w:right w:w="57" w:type="dxa"/>
                  </w:tcMar>
                  <w:vAlign w:val="center"/>
                </w:tcPr>
                <w:p w14:paraId="419119E8">
                  <w:pPr>
                    <w:pStyle w:val="121"/>
                    <w:keepNext w:val="0"/>
                    <w:keepLines w:val="0"/>
                    <w:widowControl w:val="0"/>
                    <w:suppressLineNumbers w:val="0"/>
                    <w:spacing w:before="0" w:beforeAutospacing="0" w:after="0" w:afterAutospacing="0" w:line="240" w:lineRule="auto"/>
                    <w:ind w:left="0" w:right="0"/>
                    <w:jc w:val="left"/>
                    <w:rPr>
                      <w:rFonts w:hint="default" w:ascii="Times New Roman" w:hAnsi="Times New Roman" w:cs="Times New Roman"/>
                      <w:lang w:val="en-US" w:eastAsia="zh-CN"/>
                    </w:rPr>
                  </w:pPr>
                  <w:r>
                    <w:rPr>
                      <w:rFonts w:hint="default" w:ascii="Times New Roman" w:hAnsi="Times New Roman" w:cs="Times New Roman"/>
                      <w:color w:val="auto"/>
                      <w:spacing w:val="-4"/>
                      <w:kern w:val="2"/>
                    </w:rPr>
                    <w:t>1座，建筑面积</w:t>
                  </w:r>
                  <w:r>
                    <w:rPr>
                      <w:rFonts w:hint="eastAsia" w:ascii="Times New Roman" w:hAnsi="Times New Roman" w:cs="Times New Roman"/>
                      <w:color w:val="auto"/>
                      <w:spacing w:val="-4"/>
                      <w:kern w:val="2"/>
                      <w:lang w:val="en-US" w:eastAsia="zh-CN"/>
                    </w:rPr>
                    <w:t>30</w:t>
                  </w:r>
                  <w:r>
                    <w:rPr>
                      <w:rFonts w:hint="default" w:ascii="Times New Roman" w:hAnsi="Times New Roman" w:cs="Times New Roman"/>
                      <w:color w:val="auto"/>
                      <w:spacing w:val="-4"/>
                      <w:kern w:val="2"/>
                    </w:rPr>
                    <w:t>m</w:t>
                  </w:r>
                  <w:r>
                    <w:rPr>
                      <w:rFonts w:hint="default" w:ascii="Times New Roman" w:hAnsi="Times New Roman" w:cs="Times New Roman"/>
                      <w:color w:val="auto"/>
                      <w:spacing w:val="-4"/>
                      <w:kern w:val="2"/>
                      <w:vertAlign w:val="superscript"/>
                    </w:rPr>
                    <w:t>2</w:t>
                  </w:r>
                  <w:r>
                    <w:rPr>
                      <w:rFonts w:hint="default" w:ascii="Times New Roman" w:hAnsi="Times New Roman" w:cs="Times New Roman"/>
                      <w:color w:val="auto"/>
                      <w:spacing w:val="-4"/>
                      <w:kern w:val="2"/>
                    </w:rPr>
                    <w:t>，</w:t>
                  </w:r>
                  <w:r>
                    <w:rPr>
                      <w:rFonts w:hint="eastAsia" w:ascii="Times New Roman" w:hAnsi="Times New Roman" w:cs="Times New Roman"/>
                      <w:color w:val="auto"/>
                      <w:spacing w:val="-4"/>
                      <w:kern w:val="2"/>
                      <w:lang w:eastAsia="zh-CN"/>
                    </w:rPr>
                    <w:t>位于现有生产车间外西南侧，用于危险废物暂存。</w:t>
                  </w:r>
                </w:p>
              </w:tc>
              <w:tc>
                <w:tcPr>
                  <w:tcW w:w="1059" w:type="pct"/>
                  <w:noWrap w:val="0"/>
                  <w:tcMar>
                    <w:left w:w="57" w:type="dxa"/>
                    <w:right w:w="57" w:type="dxa"/>
                  </w:tcMar>
                  <w:vAlign w:val="center"/>
                </w:tcPr>
                <w:p w14:paraId="2DA12EA0">
                  <w:pPr>
                    <w:pStyle w:val="121"/>
                    <w:keepNext w:val="0"/>
                    <w:keepLines w:val="0"/>
                    <w:widowControl w:val="0"/>
                    <w:suppressLineNumbers w:val="0"/>
                    <w:spacing w:before="0" w:beforeAutospacing="0" w:after="0" w:afterAutospacing="0" w:line="240" w:lineRule="auto"/>
                    <w:ind w:left="0" w:right="0"/>
                    <w:jc w:val="center"/>
                    <w:rPr>
                      <w:rFonts w:hint="eastAsia" w:ascii="Times New Roman" w:hAnsi="Times New Roman" w:eastAsia="宋体" w:cs="Times New Roman"/>
                      <w:color w:val="auto"/>
                      <w:spacing w:val="-4"/>
                      <w:kern w:val="2"/>
                      <w:lang w:eastAsia="zh-CN"/>
                    </w:rPr>
                  </w:pPr>
                  <w:r>
                    <w:rPr>
                      <w:rFonts w:hint="eastAsia" w:ascii="Times New Roman" w:hAnsi="Times New Roman" w:cs="Times New Roman"/>
                      <w:color w:val="auto"/>
                      <w:spacing w:val="-4"/>
                      <w:kern w:val="2"/>
                      <w:lang w:eastAsia="zh-CN"/>
                    </w:rPr>
                    <w:t>不变</w:t>
                  </w:r>
                </w:p>
              </w:tc>
            </w:tr>
            <w:tr w14:paraId="12032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350" w:type="pct"/>
                  <w:vMerge w:val="continue"/>
                  <w:noWrap w:val="0"/>
                  <w:tcMar>
                    <w:left w:w="57" w:type="dxa"/>
                    <w:right w:w="57" w:type="dxa"/>
                  </w:tcMar>
                  <w:vAlign w:val="center"/>
                </w:tcPr>
                <w:p w14:paraId="7523B582">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p>
              </w:tc>
              <w:tc>
                <w:tcPr>
                  <w:tcW w:w="410" w:type="pct"/>
                  <w:noWrap w:val="0"/>
                  <w:tcMar>
                    <w:left w:w="57" w:type="dxa"/>
                    <w:right w:w="57" w:type="dxa"/>
                  </w:tcMar>
                  <w:vAlign w:val="center"/>
                </w:tcPr>
                <w:p w14:paraId="4673BC9F">
                  <w:pPr>
                    <w:pStyle w:val="121"/>
                    <w:keepNext w:val="0"/>
                    <w:keepLines w:val="0"/>
                    <w:widowControl w:val="0"/>
                    <w:suppressLineNumbers w:val="0"/>
                    <w:spacing w:before="0" w:beforeAutospacing="0" w:after="0" w:afterAutospacing="0" w:line="240" w:lineRule="auto"/>
                    <w:ind w:left="0" w:right="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color w:val="auto"/>
                      <w:szCs w:val="21"/>
                      <w:lang w:eastAsia="zh-CN"/>
                    </w:rPr>
                    <w:t>一般固废间</w:t>
                  </w:r>
                </w:p>
              </w:tc>
              <w:tc>
                <w:tcPr>
                  <w:tcW w:w="1059" w:type="pct"/>
                  <w:noWrap w:val="0"/>
                  <w:tcMar>
                    <w:left w:w="57" w:type="dxa"/>
                    <w:right w:w="57" w:type="dxa"/>
                  </w:tcMar>
                  <w:vAlign w:val="center"/>
                </w:tcPr>
                <w:p w14:paraId="7AB1CC2D">
                  <w:pPr>
                    <w:pStyle w:val="121"/>
                    <w:keepNext w:val="0"/>
                    <w:keepLines w:val="0"/>
                    <w:widowControl w:val="0"/>
                    <w:suppressLineNumbers w:val="0"/>
                    <w:spacing w:before="0" w:beforeAutospacing="0" w:after="0" w:afterAutospacing="0" w:line="240" w:lineRule="auto"/>
                    <w:ind w:left="0" w:right="0"/>
                    <w:jc w:val="left"/>
                    <w:rPr>
                      <w:rFonts w:hint="default" w:ascii="Times New Roman" w:hAnsi="Times New Roman" w:cs="Times New Roman"/>
                      <w:kern w:val="2"/>
                      <w:sz w:val="21"/>
                      <w:szCs w:val="24"/>
                      <w:lang w:val="en-US" w:eastAsia="zh-CN" w:bidi="ar-SA"/>
                    </w:rPr>
                  </w:pPr>
                  <w:r>
                    <w:rPr>
                      <w:rFonts w:hint="default" w:ascii="Times New Roman" w:hAnsi="Times New Roman" w:cs="Times New Roman"/>
                      <w:color w:val="auto"/>
                    </w:rPr>
                    <w:t>1座，建筑面积</w:t>
                  </w:r>
                  <w:r>
                    <w:rPr>
                      <w:rFonts w:hint="eastAsia" w:ascii="Times New Roman" w:hAnsi="Times New Roman" w:cs="Times New Roman"/>
                      <w:color w:val="auto"/>
                      <w:lang w:val="en-US" w:eastAsia="zh-CN"/>
                    </w:rPr>
                    <w:t>40</w:t>
                  </w:r>
                  <w:r>
                    <w:rPr>
                      <w:rFonts w:hint="default" w:ascii="Times New Roman" w:hAnsi="Times New Roman" w:cs="Times New Roman"/>
                      <w:color w:val="auto"/>
                    </w:rPr>
                    <w:t>m</w:t>
                  </w:r>
                  <w:r>
                    <w:rPr>
                      <w:rFonts w:hint="default" w:ascii="Times New Roman" w:hAnsi="Times New Roman" w:cs="Times New Roman"/>
                      <w:color w:val="auto"/>
                      <w:vertAlign w:val="superscript"/>
                    </w:rPr>
                    <w:t>2</w:t>
                  </w:r>
                  <w:r>
                    <w:rPr>
                      <w:rFonts w:hint="default" w:ascii="Times New Roman" w:hAnsi="Times New Roman" w:cs="Times New Roman"/>
                      <w:color w:val="auto"/>
                    </w:rPr>
                    <w:t>，</w:t>
                  </w:r>
                  <w:r>
                    <w:rPr>
                      <w:rFonts w:hint="eastAsia" w:ascii="Times New Roman" w:hAnsi="Times New Roman" w:cs="Times New Roman"/>
                      <w:color w:val="auto"/>
                      <w:lang w:eastAsia="zh-CN"/>
                    </w:rPr>
                    <w:t>位于现有生产车间外南侧，</w:t>
                  </w:r>
                  <w:r>
                    <w:rPr>
                      <w:rFonts w:hint="default" w:ascii="Times New Roman" w:hAnsi="Times New Roman" w:cs="Times New Roman"/>
                      <w:color w:val="auto"/>
                    </w:rPr>
                    <w:t>用于</w:t>
                  </w:r>
                  <w:r>
                    <w:rPr>
                      <w:rFonts w:hint="eastAsia" w:ascii="Times New Roman" w:hAnsi="Times New Roman" w:cs="Times New Roman"/>
                      <w:color w:val="auto"/>
                      <w:lang w:eastAsia="zh-CN"/>
                    </w:rPr>
                    <w:t>一般固体废物暂存。</w:t>
                  </w:r>
                </w:p>
              </w:tc>
              <w:tc>
                <w:tcPr>
                  <w:tcW w:w="1059" w:type="pct"/>
                  <w:noWrap w:val="0"/>
                  <w:tcMar>
                    <w:left w:w="57" w:type="dxa"/>
                    <w:right w:w="57" w:type="dxa"/>
                  </w:tcMar>
                  <w:vAlign w:val="center"/>
                </w:tcPr>
                <w:p w14:paraId="1813AE3C">
                  <w:pPr>
                    <w:keepNext w:val="0"/>
                    <w:keepLines w:val="0"/>
                    <w:suppressLineNumbers w:val="0"/>
                    <w:spacing w:before="0" w:beforeAutospacing="0" w:after="0" w:afterAutospacing="0" w:line="240" w:lineRule="auto"/>
                    <w:ind w:left="0" w:right="0"/>
                    <w:jc w:val="center"/>
                    <w:rPr>
                      <w:rFonts w:hint="default" w:ascii="Times New Roman" w:hAnsi="Times New Roman" w:cs="Times New Roman"/>
                      <w:kern w:val="2"/>
                      <w:sz w:val="21"/>
                      <w:szCs w:val="24"/>
                      <w:lang w:val="en-US" w:eastAsia="zh-CN" w:bidi="ar-SA"/>
                    </w:rPr>
                  </w:pPr>
                  <w:r>
                    <w:rPr>
                      <w:rFonts w:hint="default" w:ascii="Times New Roman" w:hAnsi="Times New Roman" w:cs="Times New Roman"/>
                      <w:kern w:val="2"/>
                      <w:sz w:val="21"/>
                      <w:szCs w:val="24"/>
                      <w:lang w:val="en-US" w:eastAsia="zh-CN" w:bidi="ar-SA"/>
                    </w:rPr>
                    <w:t>依托</w:t>
                  </w:r>
                </w:p>
              </w:tc>
              <w:tc>
                <w:tcPr>
                  <w:tcW w:w="1059" w:type="pct"/>
                  <w:noWrap w:val="0"/>
                  <w:tcMar>
                    <w:left w:w="57" w:type="dxa"/>
                    <w:right w:w="57" w:type="dxa"/>
                  </w:tcMar>
                  <w:vAlign w:val="center"/>
                </w:tcPr>
                <w:p w14:paraId="06655902">
                  <w:pPr>
                    <w:pStyle w:val="121"/>
                    <w:keepNext w:val="0"/>
                    <w:keepLines w:val="0"/>
                    <w:widowControl w:val="0"/>
                    <w:suppressLineNumbers w:val="0"/>
                    <w:spacing w:before="0" w:beforeAutospacing="0" w:after="0" w:afterAutospacing="0" w:line="240" w:lineRule="auto"/>
                    <w:ind w:left="0" w:right="0"/>
                    <w:jc w:val="left"/>
                    <w:rPr>
                      <w:rFonts w:hint="default" w:ascii="Times New Roman" w:hAnsi="Times New Roman" w:cs="Times New Roman"/>
                      <w:kern w:val="2"/>
                      <w:sz w:val="21"/>
                      <w:szCs w:val="24"/>
                      <w:lang w:val="en-US" w:eastAsia="zh-CN" w:bidi="ar-SA"/>
                    </w:rPr>
                  </w:pPr>
                  <w:r>
                    <w:rPr>
                      <w:rFonts w:hint="default" w:ascii="Times New Roman" w:hAnsi="Times New Roman" w:cs="Times New Roman"/>
                      <w:color w:val="auto"/>
                    </w:rPr>
                    <w:t>1座，建筑面积</w:t>
                  </w:r>
                  <w:r>
                    <w:rPr>
                      <w:rFonts w:hint="eastAsia" w:ascii="Times New Roman" w:hAnsi="Times New Roman" w:cs="Times New Roman"/>
                      <w:color w:val="auto"/>
                      <w:lang w:val="en-US" w:eastAsia="zh-CN"/>
                    </w:rPr>
                    <w:t>40</w:t>
                  </w:r>
                  <w:r>
                    <w:rPr>
                      <w:rFonts w:hint="default" w:ascii="Times New Roman" w:hAnsi="Times New Roman" w:cs="Times New Roman"/>
                      <w:color w:val="auto"/>
                    </w:rPr>
                    <w:t>m</w:t>
                  </w:r>
                  <w:r>
                    <w:rPr>
                      <w:rFonts w:hint="default" w:ascii="Times New Roman" w:hAnsi="Times New Roman" w:cs="Times New Roman"/>
                      <w:color w:val="auto"/>
                      <w:vertAlign w:val="superscript"/>
                    </w:rPr>
                    <w:t>2</w:t>
                  </w:r>
                  <w:r>
                    <w:rPr>
                      <w:rFonts w:hint="default" w:ascii="Times New Roman" w:hAnsi="Times New Roman" w:cs="Times New Roman"/>
                      <w:color w:val="auto"/>
                    </w:rPr>
                    <w:t>，</w:t>
                  </w:r>
                  <w:r>
                    <w:rPr>
                      <w:rFonts w:hint="eastAsia" w:ascii="Times New Roman" w:hAnsi="Times New Roman" w:cs="Times New Roman"/>
                      <w:color w:val="auto"/>
                      <w:lang w:eastAsia="zh-CN"/>
                    </w:rPr>
                    <w:t>位于现有生产车间外南侧，</w:t>
                  </w:r>
                  <w:r>
                    <w:rPr>
                      <w:rFonts w:hint="default" w:ascii="Times New Roman" w:hAnsi="Times New Roman" w:cs="Times New Roman"/>
                      <w:color w:val="auto"/>
                    </w:rPr>
                    <w:t>用于</w:t>
                  </w:r>
                  <w:r>
                    <w:rPr>
                      <w:rFonts w:hint="eastAsia" w:ascii="Times New Roman" w:hAnsi="Times New Roman" w:cs="Times New Roman"/>
                      <w:color w:val="auto"/>
                      <w:lang w:eastAsia="zh-CN"/>
                    </w:rPr>
                    <w:t>一般固体废物暂存。</w:t>
                  </w:r>
                </w:p>
              </w:tc>
              <w:tc>
                <w:tcPr>
                  <w:tcW w:w="1059" w:type="pct"/>
                  <w:noWrap w:val="0"/>
                  <w:tcMar>
                    <w:left w:w="57" w:type="dxa"/>
                    <w:right w:w="57" w:type="dxa"/>
                  </w:tcMar>
                  <w:vAlign w:val="center"/>
                </w:tcPr>
                <w:p w14:paraId="5FB4CD11">
                  <w:pPr>
                    <w:pStyle w:val="121"/>
                    <w:keepNext w:val="0"/>
                    <w:keepLines w:val="0"/>
                    <w:widowControl w:val="0"/>
                    <w:suppressLineNumbers w:val="0"/>
                    <w:spacing w:before="0" w:beforeAutospacing="0" w:after="0" w:afterAutospacing="0" w:line="240" w:lineRule="auto"/>
                    <w:ind w:left="0" w:right="0"/>
                    <w:jc w:val="center"/>
                    <w:rPr>
                      <w:rFonts w:hint="eastAsia" w:ascii="Times New Roman" w:hAnsi="Times New Roman" w:eastAsia="宋体" w:cs="Times New Roman"/>
                      <w:color w:val="auto"/>
                      <w:lang w:eastAsia="zh-CN"/>
                    </w:rPr>
                  </w:pPr>
                  <w:r>
                    <w:rPr>
                      <w:rFonts w:hint="eastAsia" w:ascii="Times New Roman" w:hAnsi="Times New Roman" w:cs="Times New Roman"/>
                      <w:color w:val="auto"/>
                      <w:lang w:eastAsia="zh-CN"/>
                    </w:rPr>
                    <w:t>不变</w:t>
                  </w:r>
                </w:p>
              </w:tc>
            </w:tr>
            <w:tr w14:paraId="4E6F3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50" w:type="pct"/>
                  <w:vMerge w:val="restart"/>
                  <w:noWrap w:val="0"/>
                  <w:tcMar>
                    <w:left w:w="57" w:type="dxa"/>
                    <w:right w:w="57" w:type="dxa"/>
                  </w:tcMar>
                  <w:vAlign w:val="center"/>
                </w:tcPr>
                <w:p w14:paraId="078E9099">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公用</w:t>
                  </w:r>
                </w:p>
                <w:p w14:paraId="242F0654">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工程</w:t>
                  </w:r>
                </w:p>
              </w:tc>
              <w:tc>
                <w:tcPr>
                  <w:tcW w:w="410" w:type="pct"/>
                  <w:noWrap w:val="0"/>
                  <w:tcMar>
                    <w:left w:w="57" w:type="dxa"/>
                    <w:right w:w="57" w:type="dxa"/>
                  </w:tcMar>
                  <w:vAlign w:val="center"/>
                </w:tcPr>
                <w:p w14:paraId="15D4500D">
                  <w:pPr>
                    <w:keepNext w:val="0"/>
                    <w:keepLines w:val="0"/>
                    <w:suppressLineNumbers w:val="0"/>
                    <w:tabs>
                      <w:tab w:val="left" w:pos="3052"/>
                    </w:tabs>
                    <w:adjustRightInd w:val="0"/>
                    <w:snapToGrid w:val="0"/>
                    <w:spacing w:before="0" w:beforeAutospacing="0" w:after="0" w:afterAutospacing="0" w:line="240" w:lineRule="auto"/>
                    <w:ind w:left="0" w:right="0"/>
                    <w:jc w:val="center"/>
                    <w:textAlignment w:val="baseline"/>
                    <w:rPr>
                      <w:rFonts w:hint="default" w:ascii="Times New Roman" w:hAnsi="Times New Roman" w:cs="Times New Roman"/>
                      <w:szCs w:val="21"/>
                    </w:rPr>
                  </w:pPr>
                  <w:r>
                    <w:rPr>
                      <w:rFonts w:hint="default" w:ascii="Times New Roman" w:hAnsi="Times New Roman" w:cs="Times New Roman"/>
                      <w:snapToGrid w:val="0"/>
                      <w:szCs w:val="21"/>
                    </w:rPr>
                    <w:t>供水</w:t>
                  </w:r>
                </w:p>
              </w:tc>
              <w:tc>
                <w:tcPr>
                  <w:tcW w:w="1059" w:type="pct"/>
                  <w:noWrap w:val="0"/>
                  <w:tcMar>
                    <w:left w:w="57" w:type="dxa"/>
                    <w:right w:w="57" w:type="dxa"/>
                  </w:tcMar>
                  <w:vAlign w:val="center"/>
                </w:tcPr>
                <w:p w14:paraId="6E483884">
                  <w:pPr>
                    <w:keepNext w:val="0"/>
                    <w:keepLines w:val="0"/>
                    <w:suppressLineNumbers w:val="0"/>
                    <w:tabs>
                      <w:tab w:val="left" w:pos="3052"/>
                    </w:tabs>
                    <w:adjustRightInd w:val="0"/>
                    <w:snapToGrid w:val="0"/>
                    <w:spacing w:before="0" w:beforeAutospacing="0" w:after="0" w:afterAutospacing="0" w:line="240" w:lineRule="auto"/>
                    <w:ind w:left="0" w:right="0"/>
                    <w:textAlignment w:val="baseline"/>
                    <w:rPr>
                      <w:rFonts w:hint="default" w:ascii="Times New Roman" w:hAnsi="Times New Roman" w:cs="Times New Roman"/>
                      <w:szCs w:val="21"/>
                    </w:rPr>
                  </w:pPr>
                  <w:r>
                    <w:rPr>
                      <w:rFonts w:hint="eastAsia" w:cs="Times New Roman"/>
                      <w:snapToGrid w:val="0"/>
                      <w:szCs w:val="21"/>
                      <w:lang w:eastAsia="zh-CN"/>
                    </w:rPr>
                    <w:t>生活</w:t>
                  </w:r>
                  <w:r>
                    <w:rPr>
                      <w:rFonts w:hint="default" w:ascii="Times New Roman" w:hAnsi="Times New Roman" w:cs="Times New Roman"/>
                      <w:snapToGrid w:val="0"/>
                      <w:szCs w:val="21"/>
                    </w:rPr>
                    <w:t>用水由</w:t>
                  </w:r>
                  <w:r>
                    <w:rPr>
                      <w:rFonts w:hint="eastAsia" w:ascii="Times New Roman" w:hAnsi="Times New Roman" w:cs="Times New Roman"/>
                      <w:szCs w:val="21"/>
                      <w:lang w:eastAsia="zh-CN"/>
                    </w:rPr>
                    <w:t>沧州临港经济技术开发区西区</w:t>
                  </w:r>
                  <w:r>
                    <w:rPr>
                      <w:rFonts w:hint="default" w:ascii="Times New Roman" w:hAnsi="Times New Roman" w:cs="Times New Roman"/>
                      <w:szCs w:val="21"/>
                    </w:rPr>
                    <w:t>供水管网</w:t>
                  </w:r>
                  <w:r>
                    <w:rPr>
                      <w:rFonts w:hint="default" w:ascii="Times New Roman" w:hAnsi="Times New Roman" w:cs="Times New Roman"/>
                      <w:snapToGrid w:val="0"/>
                      <w:szCs w:val="21"/>
                    </w:rPr>
                    <w:t>提供</w:t>
                  </w:r>
                  <w:r>
                    <w:rPr>
                      <w:rFonts w:hint="eastAsia" w:cs="Times New Roman"/>
                      <w:snapToGrid w:val="0"/>
                      <w:szCs w:val="21"/>
                      <w:lang w:eastAsia="zh-CN"/>
                    </w:rPr>
                    <w:t>，纯水外购</w:t>
                  </w:r>
                  <w:r>
                    <w:rPr>
                      <w:rFonts w:hint="default" w:ascii="Times New Roman" w:hAnsi="Times New Roman" w:cs="Times New Roman"/>
                      <w:snapToGrid w:val="0"/>
                      <w:szCs w:val="21"/>
                    </w:rPr>
                    <w:t>。</w:t>
                  </w:r>
                </w:p>
              </w:tc>
              <w:tc>
                <w:tcPr>
                  <w:tcW w:w="1059" w:type="pct"/>
                  <w:noWrap w:val="0"/>
                  <w:tcMar>
                    <w:left w:w="57" w:type="dxa"/>
                    <w:right w:w="57" w:type="dxa"/>
                  </w:tcMar>
                  <w:vAlign w:val="center"/>
                </w:tcPr>
                <w:p w14:paraId="27D52681">
                  <w:pPr>
                    <w:keepNext w:val="0"/>
                    <w:keepLines w:val="0"/>
                    <w:suppressLineNumbers w:val="0"/>
                    <w:spacing w:before="0" w:beforeAutospacing="0" w:after="0" w:afterAutospacing="0" w:line="240" w:lineRule="auto"/>
                    <w:ind w:left="0" w:right="0"/>
                    <w:jc w:val="both"/>
                    <w:rPr>
                      <w:rFonts w:hint="default" w:ascii="Times New Roman" w:hAnsi="Times New Roman" w:eastAsia="宋体" w:cs="Times New Roman"/>
                      <w:szCs w:val="21"/>
                      <w:lang w:val="en-US" w:eastAsia="zh-CN"/>
                    </w:rPr>
                  </w:pPr>
                  <w:r>
                    <w:rPr>
                      <w:rFonts w:hint="eastAsia"/>
                      <w:lang w:eastAsia="zh-CN"/>
                    </w:rPr>
                    <w:t>纯水外购，</w:t>
                  </w:r>
                  <w:r>
                    <w:rPr>
                      <w:rFonts w:hint="eastAsia" w:cs="Times New Roman"/>
                      <w:kern w:val="2"/>
                      <w:sz w:val="21"/>
                      <w:szCs w:val="24"/>
                      <w:lang w:val="en-US" w:eastAsia="zh-CN" w:bidi="ar-SA"/>
                    </w:rPr>
                    <w:t>不新增新鲜水用量。</w:t>
                  </w:r>
                </w:p>
              </w:tc>
              <w:tc>
                <w:tcPr>
                  <w:tcW w:w="1059" w:type="pct"/>
                  <w:noWrap w:val="0"/>
                  <w:tcMar>
                    <w:left w:w="57" w:type="dxa"/>
                    <w:right w:w="57" w:type="dxa"/>
                  </w:tcMar>
                  <w:vAlign w:val="center"/>
                </w:tcPr>
                <w:p w14:paraId="7DED77B2">
                  <w:pPr>
                    <w:keepNext w:val="0"/>
                    <w:keepLines w:val="0"/>
                    <w:suppressLineNumbers w:val="0"/>
                    <w:tabs>
                      <w:tab w:val="left" w:pos="3052"/>
                    </w:tabs>
                    <w:adjustRightInd w:val="0"/>
                    <w:snapToGrid w:val="0"/>
                    <w:spacing w:before="0" w:beforeAutospacing="0" w:after="0" w:afterAutospacing="0" w:line="240" w:lineRule="auto"/>
                    <w:ind w:left="0" w:right="0"/>
                    <w:textAlignment w:val="baseline"/>
                    <w:rPr>
                      <w:rFonts w:hint="default" w:ascii="Times New Roman" w:hAnsi="Times New Roman" w:cs="Times New Roman"/>
                      <w:szCs w:val="21"/>
                    </w:rPr>
                  </w:pPr>
                  <w:r>
                    <w:rPr>
                      <w:rFonts w:hint="eastAsia" w:cs="Times New Roman"/>
                      <w:snapToGrid w:val="0"/>
                      <w:szCs w:val="21"/>
                      <w:lang w:eastAsia="zh-CN"/>
                    </w:rPr>
                    <w:t>生活</w:t>
                  </w:r>
                  <w:r>
                    <w:rPr>
                      <w:rFonts w:hint="default" w:ascii="Times New Roman" w:hAnsi="Times New Roman" w:cs="Times New Roman"/>
                      <w:snapToGrid w:val="0"/>
                      <w:szCs w:val="21"/>
                    </w:rPr>
                    <w:t>用水由</w:t>
                  </w:r>
                  <w:r>
                    <w:rPr>
                      <w:rFonts w:hint="eastAsia" w:ascii="Times New Roman" w:hAnsi="Times New Roman" w:cs="Times New Roman"/>
                      <w:szCs w:val="21"/>
                      <w:lang w:eastAsia="zh-CN"/>
                    </w:rPr>
                    <w:t>沧州临港经济技术开发区西区</w:t>
                  </w:r>
                  <w:r>
                    <w:rPr>
                      <w:rFonts w:hint="default" w:ascii="Times New Roman" w:hAnsi="Times New Roman" w:cs="Times New Roman"/>
                      <w:szCs w:val="21"/>
                    </w:rPr>
                    <w:t>供水管网</w:t>
                  </w:r>
                  <w:r>
                    <w:rPr>
                      <w:rFonts w:hint="default" w:ascii="Times New Roman" w:hAnsi="Times New Roman" w:cs="Times New Roman"/>
                      <w:snapToGrid w:val="0"/>
                      <w:szCs w:val="21"/>
                    </w:rPr>
                    <w:t>提供</w:t>
                  </w:r>
                  <w:r>
                    <w:rPr>
                      <w:rFonts w:hint="eastAsia" w:cs="Times New Roman"/>
                      <w:snapToGrid w:val="0"/>
                      <w:szCs w:val="21"/>
                      <w:lang w:eastAsia="zh-CN"/>
                    </w:rPr>
                    <w:t>，纯水外购</w:t>
                  </w:r>
                  <w:r>
                    <w:rPr>
                      <w:rFonts w:hint="default" w:ascii="Times New Roman" w:hAnsi="Times New Roman" w:cs="Times New Roman"/>
                      <w:snapToGrid w:val="0"/>
                      <w:szCs w:val="21"/>
                    </w:rPr>
                    <w:t>。</w:t>
                  </w:r>
                </w:p>
              </w:tc>
              <w:tc>
                <w:tcPr>
                  <w:tcW w:w="1059" w:type="pct"/>
                  <w:noWrap w:val="0"/>
                  <w:tcMar>
                    <w:left w:w="57" w:type="dxa"/>
                    <w:right w:w="57" w:type="dxa"/>
                  </w:tcMar>
                  <w:vAlign w:val="center"/>
                </w:tcPr>
                <w:p w14:paraId="49C4C5C4">
                  <w:pPr>
                    <w:keepNext w:val="0"/>
                    <w:keepLines w:val="0"/>
                    <w:suppressLineNumbers w:val="0"/>
                    <w:tabs>
                      <w:tab w:val="left" w:pos="3052"/>
                    </w:tabs>
                    <w:adjustRightInd w:val="0"/>
                    <w:snapToGrid w:val="0"/>
                    <w:spacing w:before="0" w:beforeAutospacing="0" w:after="0" w:afterAutospacing="0" w:line="240" w:lineRule="auto"/>
                    <w:ind w:left="0" w:right="0"/>
                    <w:textAlignment w:val="baseline"/>
                    <w:rPr>
                      <w:rFonts w:hint="eastAsia" w:cs="Times New Roman"/>
                      <w:snapToGrid w:val="0"/>
                      <w:szCs w:val="21"/>
                      <w:lang w:eastAsia="zh-CN"/>
                    </w:rPr>
                  </w:pPr>
                  <w:r>
                    <w:rPr>
                      <w:rFonts w:hint="eastAsia" w:cs="Times New Roman"/>
                      <w:snapToGrid w:val="0"/>
                      <w:szCs w:val="21"/>
                      <w:lang w:eastAsia="zh-CN"/>
                    </w:rPr>
                    <w:t>纯水</w:t>
                  </w:r>
                  <w:r>
                    <w:rPr>
                      <w:rFonts w:hint="eastAsia"/>
                      <w:lang w:eastAsia="zh-CN"/>
                    </w:rPr>
                    <w:t>外购，</w:t>
                  </w:r>
                  <w:r>
                    <w:rPr>
                      <w:rFonts w:hint="eastAsia" w:cs="Times New Roman"/>
                      <w:kern w:val="2"/>
                      <w:sz w:val="21"/>
                      <w:szCs w:val="24"/>
                      <w:lang w:val="en-US" w:eastAsia="zh-CN" w:bidi="ar-SA"/>
                    </w:rPr>
                    <w:t>不新增新鲜水用量。</w:t>
                  </w:r>
                </w:p>
              </w:tc>
            </w:tr>
            <w:tr w14:paraId="1144A8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50" w:type="pct"/>
                  <w:vMerge w:val="continue"/>
                  <w:noWrap w:val="0"/>
                  <w:tcMar>
                    <w:left w:w="57" w:type="dxa"/>
                    <w:right w:w="57" w:type="dxa"/>
                  </w:tcMar>
                  <w:vAlign w:val="center"/>
                </w:tcPr>
                <w:p w14:paraId="2B0FF8A4">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p>
              </w:tc>
              <w:tc>
                <w:tcPr>
                  <w:tcW w:w="410" w:type="pct"/>
                  <w:noWrap w:val="0"/>
                  <w:tcMar>
                    <w:left w:w="57" w:type="dxa"/>
                    <w:right w:w="57" w:type="dxa"/>
                  </w:tcMar>
                  <w:vAlign w:val="center"/>
                </w:tcPr>
                <w:p w14:paraId="5C6110A2">
                  <w:pPr>
                    <w:keepNext w:val="0"/>
                    <w:keepLines w:val="0"/>
                    <w:suppressLineNumbers w:val="0"/>
                    <w:tabs>
                      <w:tab w:val="left" w:pos="3052"/>
                    </w:tabs>
                    <w:adjustRightInd w:val="0"/>
                    <w:snapToGrid w:val="0"/>
                    <w:spacing w:before="0" w:beforeAutospacing="0" w:after="0" w:afterAutospacing="0" w:line="240" w:lineRule="auto"/>
                    <w:ind w:left="0" w:right="0"/>
                    <w:jc w:val="center"/>
                    <w:textAlignment w:val="baseline"/>
                    <w:rPr>
                      <w:rFonts w:hint="default" w:ascii="Times New Roman" w:hAnsi="Times New Roman" w:cs="Times New Roman"/>
                      <w:szCs w:val="21"/>
                    </w:rPr>
                  </w:pPr>
                  <w:r>
                    <w:rPr>
                      <w:rFonts w:hint="default" w:ascii="Times New Roman" w:hAnsi="Times New Roman" w:cs="Times New Roman"/>
                      <w:snapToGrid w:val="0"/>
                      <w:szCs w:val="21"/>
                    </w:rPr>
                    <w:t>供电</w:t>
                  </w:r>
                </w:p>
              </w:tc>
              <w:tc>
                <w:tcPr>
                  <w:tcW w:w="1059" w:type="pct"/>
                  <w:noWrap w:val="0"/>
                  <w:tcMar>
                    <w:left w:w="57" w:type="dxa"/>
                    <w:right w:w="57" w:type="dxa"/>
                  </w:tcMar>
                  <w:vAlign w:val="center"/>
                </w:tcPr>
                <w:p w14:paraId="15F9E266">
                  <w:pPr>
                    <w:keepNext w:val="0"/>
                    <w:keepLines w:val="0"/>
                    <w:suppressLineNumbers w:val="0"/>
                    <w:tabs>
                      <w:tab w:val="left" w:pos="3052"/>
                    </w:tabs>
                    <w:adjustRightInd w:val="0"/>
                    <w:snapToGrid w:val="0"/>
                    <w:spacing w:before="0" w:beforeAutospacing="0" w:after="0" w:afterAutospacing="0" w:line="240" w:lineRule="auto"/>
                    <w:ind w:left="0" w:right="0"/>
                    <w:textAlignment w:val="baseline"/>
                    <w:rPr>
                      <w:rFonts w:hint="default" w:ascii="Times New Roman" w:hAnsi="Times New Roman" w:eastAsia="宋体" w:cs="Times New Roman"/>
                      <w:szCs w:val="21"/>
                      <w:lang w:eastAsia="zh-CN"/>
                    </w:rPr>
                  </w:pPr>
                  <w:r>
                    <w:rPr>
                      <w:rFonts w:hint="default" w:ascii="Times New Roman" w:hAnsi="Times New Roman" w:cs="Times New Roman"/>
                      <w:snapToGrid w:val="0"/>
                      <w:szCs w:val="21"/>
                    </w:rPr>
                    <w:t>用电由</w:t>
                  </w:r>
                  <w:r>
                    <w:rPr>
                      <w:rFonts w:hint="eastAsia" w:ascii="Times New Roman" w:hAnsi="Times New Roman" w:cs="Times New Roman"/>
                      <w:szCs w:val="21"/>
                      <w:lang w:eastAsia="zh-CN"/>
                    </w:rPr>
                    <w:t>沧州临港经济技术开发区西区</w:t>
                  </w:r>
                  <w:r>
                    <w:rPr>
                      <w:rFonts w:hint="default" w:ascii="Times New Roman" w:hAnsi="Times New Roman" w:cs="Times New Roman"/>
                      <w:szCs w:val="21"/>
                    </w:rPr>
                    <w:t>电网提供</w:t>
                  </w:r>
                  <w:r>
                    <w:rPr>
                      <w:rFonts w:hint="default" w:ascii="Times New Roman" w:hAnsi="Times New Roman" w:cs="Times New Roman"/>
                      <w:snapToGrid w:val="0"/>
                      <w:szCs w:val="21"/>
                    </w:rPr>
                    <w:t>。</w:t>
                  </w:r>
                </w:p>
              </w:tc>
              <w:tc>
                <w:tcPr>
                  <w:tcW w:w="1059" w:type="pct"/>
                  <w:noWrap w:val="0"/>
                  <w:tcMar>
                    <w:left w:w="57" w:type="dxa"/>
                    <w:right w:w="57" w:type="dxa"/>
                  </w:tcMar>
                  <w:vAlign w:val="center"/>
                </w:tcPr>
                <w:p w14:paraId="2B064506">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Cs w:val="21"/>
                      <w:lang w:val="en-US" w:eastAsia="zh-CN"/>
                    </w:rPr>
                  </w:pPr>
                  <w:r>
                    <w:rPr>
                      <w:rFonts w:hint="default" w:ascii="Times New Roman" w:hAnsi="Times New Roman" w:cs="Times New Roman"/>
                      <w:kern w:val="2"/>
                      <w:sz w:val="21"/>
                      <w:szCs w:val="24"/>
                      <w:lang w:val="en-US" w:eastAsia="zh-CN" w:bidi="ar-SA"/>
                    </w:rPr>
                    <w:t>依托</w:t>
                  </w:r>
                </w:p>
              </w:tc>
              <w:tc>
                <w:tcPr>
                  <w:tcW w:w="1059" w:type="pct"/>
                  <w:noWrap w:val="0"/>
                  <w:tcMar>
                    <w:left w:w="57" w:type="dxa"/>
                    <w:right w:w="57" w:type="dxa"/>
                  </w:tcMar>
                  <w:vAlign w:val="center"/>
                </w:tcPr>
                <w:p w14:paraId="4787BBBD">
                  <w:pPr>
                    <w:keepNext w:val="0"/>
                    <w:keepLines w:val="0"/>
                    <w:suppressLineNumbers w:val="0"/>
                    <w:tabs>
                      <w:tab w:val="left" w:pos="3052"/>
                    </w:tabs>
                    <w:adjustRightInd w:val="0"/>
                    <w:snapToGrid w:val="0"/>
                    <w:spacing w:before="0" w:beforeAutospacing="0" w:after="0" w:afterAutospacing="0" w:line="240" w:lineRule="auto"/>
                    <w:ind w:left="0" w:right="0"/>
                    <w:textAlignment w:val="baseline"/>
                    <w:rPr>
                      <w:rFonts w:hint="default" w:ascii="Times New Roman" w:hAnsi="Times New Roman" w:cs="Times New Roman"/>
                      <w:szCs w:val="21"/>
                    </w:rPr>
                  </w:pPr>
                  <w:r>
                    <w:rPr>
                      <w:rFonts w:hint="default" w:ascii="Times New Roman" w:hAnsi="Times New Roman" w:cs="Times New Roman"/>
                      <w:snapToGrid w:val="0"/>
                      <w:szCs w:val="21"/>
                    </w:rPr>
                    <w:t>用电由</w:t>
                  </w:r>
                  <w:r>
                    <w:rPr>
                      <w:rFonts w:hint="eastAsia" w:ascii="Times New Roman" w:hAnsi="Times New Roman" w:cs="Times New Roman"/>
                      <w:szCs w:val="21"/>
                      <w:lang w:eastAsia="zh-CN"/>
                    </w:rPr>
                    <w:t>沧州临港经济技术开发区西区</w:t>
                  </w:r>
                  <w:r>
                    <w:rPr>
                      <w:rFonts w:hint="default" w:ascii="Times New Roman" w:hAnsi="Times New Roman" w:cs="Times New Roman"/>
                      <w:szCs w:val="21"/>
                    </w:rPr>
                    <w:t>电网提供</w:t>
                  </w:r>
                  <w:r>
                    <w:rPr>
                      <w:rFonts w:hint="default" w:ascii="Times New Roman" w:hAnsi="Times New Roman" w:cs="Times New Roman"/>
                      <w:snapToGrid w:val="0"/>
                      <w:szCs w:val="21"/>
                    </w:rPr>
                    <w:t>。</w:t>
                  </w:r>
                </w:p>
              </w:tc>
              <w:tc>
                <w:tcPr>
                  <w:tcW w:w="1059" w:type="pct"/>
                  <w:noWrap w:val="0"/>
                  <w:tcMar>
                    <w:left w:w="57" w:type="dxa"/>
                    <w:right w:w="57" w:type="dxa"/>
                  </w:tcMar>
                  <w:vAlign w:val="center"/>
                </w:tcPr>
                <w:p w14:paraId="74696276">
                  <w:pPr>
                    <w:keepNext w:val="0"/>
                    <w:keepLines w:val="0"/>
                    <w:suppressLineNumbers w:val="0"/>
                    <w:adjustRightInd/>
                    <w:snapToGrid/>
                    <w:spacing w:before="0" w:beforeAutospacing="0" w:after="0" w:afterAutospacing="0" w:line="240" w:lineRule="auto"/>
                    <w:ind w:left="0" w:right="0"/>
                    <w:jc w:val="both"/>
                    <w:textAlignment w:val="auto"/>
                    <w:rPr>
                      <w:rFonts w:hint="default" w:ascii="Times New Roman" w:hAnsi="Times New Roman" w:cs="Times New Roman"/>
                      <w:snapToGrid w:val="0"/>
                      <w:szCs w:val="21"/>
                    </w:rPr>
                  </w:pPr>
                  <w:r>
                    <w:rPr>
                      <w:rFonts w:hint="eastAsia" w:cs="Times New Roman"/>
                      <w:color w:val="auto"/>
                      <w:sz w:val="21"/>
                      <w:szCs w:val="21"/>
                      <w:highlight w:val="none"/>
                      <w:lang w:val="en-US" w:eastAsia="zh-CN"/>
                    </w:rPr>
                    <w:t>新增用电</w:t>
                  </w:r>
                  <w:r>
                    <w:rPr>
                      <w:rFonts w:hint="eastAsia" w:ascii="Times New Roman" w:hAnsi="Times New Roman" w:eastAsia="宋体" w:cs="Times New Roman"/>
                      <w:color w:val="auto"/>
                      <w:sz w:val="21"/>
                      <w:szCs w:val="21"/>
                      <w:highlight w:val="none"/>
                      <w:lang w:val="en-US" w:eastAsia="zh-CN"/>
                    </w:rPr>
                    <w:t>300万</w:t>
                  </w:r>
                  <w:r>
                    <w:rPr>
                      <w:rFonts w:hint="default" w:ascii="Times New Roman" w:hAnsi="Times New Roman" w:eastAsia="宋体" w:cs="Times New Roman"/>
                      <w:color w:val="auto"/>
                      <w:sz w:val="21"/>
                      <w:szCs w:val="21"/>
                      <w:highlight w:val="none"/>
                      <w:lang w:val="en-US" w:eastAsia="zh-CN"/>
                    </w:rPr>
                    <w:t>kW·h/a</w:t>
                  </w:r>
                  <w:r>
                    <w:rPr>
                      <w:rFonts w:hint="eastAsia" w:cs="Times New Roman"/>
                      <w:color w:val="auto"/>
                      <w:sz w:val="21"/>
                      <w:szCs w:val="21"/>
                      <w:highlight w:val="none"/>
                      <w:lang w:val="en-US" w:eastAsia="zh-CN"/>
                    </w:rPr>
                    <w:t>。</w:t>
                  </w:r>
                </w:p>
              </w:tc>
            </w:tr>
            <w:tr w14:paraId="6361D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50" w:type="pct"/>
                  <w:vMerge w:val="continue"/>
                  <w:noWrap w:val="0"/>
                  <w:tcMar>
                    <w:left w:w="57" w:type="dxa"/>
                    <w:right w:w="57" w:type="dxa"/>
                  </w:tcMar>
                  <w:vAlign w:val="center"/>
                </w:tcPr>
                <w:p w14:paraId="7639BF78">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p>
              </w:tc>
              <w:tc>
                <w:tcPr>
                  <w:tcW w:w="410" w:type="pct"/>
                  <w:noWrap w:val="0"/>
                  <w:tcMar>
                    <w:left w:w="57" w:type="dxa"/>
                    <w:right w:w="57" w:type="dxa"/>
                  </w:tcMar>
                  <w:vAlign w:val="center"/>
                </w:tcPr>
                <w:p w14:paraId="24C871CB">
                  <w:pPr>
                    <w:keepNext w:val="0"/>
                    <w:keepLines w:val="0"/>
                    <w:suppressLineNumbers w:val="0"/>
                    <w:tabs>
                      <w:tab w:val="left" w:pos="3052"/>
                    </w:tabs>
                    <w:adjustRightInd w:val="0"/>
                    <w:snapToGrid w:val="0"/>
                    <w:spacing w:before="0" w:beforeAutospacing="0" w:after="0" w:afterAutospacing="0" w:line="240" w:lineRule="auto"/>
                    <w:ind w:left="0" w:right="0"/>
                    <w:jc w:val="center"/>
                    <w:textAlignment w:val="baseline"/>
                    <w:rPr>
                      <w:rFonts w:hint="default" w:ascii="Times New Roman" w:hAnsi="Times New Roman" w:cs="Times New Roman"/>
                      <w:szCs w:val="21"/>
                    </w:rPr>
                  </w:pPr>
                  <w:r>
                    <w:rPr>
                      <w:rFonts w:hint="default" w:ascii="Times New Roman" w:hAnsi="Times New Roman" w:cs="Times New Roman"/>
                      <w:snapToGrid w:val="0"/>
                      <w:szCs w:val="21"/>
                    </w:rPr>
                    <w:t>供热</w:t>
                  </w:r>
                </w:p>
              </w:tc>
              <w:tc>
                <w:tcPr>
                  <w:tcW w:w="1059" w:type="pct"/>
                  <w:noWrap w:val="0"/>
                  <w:tcMar>
                    <w:left w:w="57" w:type="dxa"/>
                    <w:right w:w="57" w:type="dxa"/>
                  </w:tcMar>
                  <w:vAlign w:val="center"/>
                </w:tcPr>
                <w:p w14:paraId="2B310CA3">
                  <w:pPr>
                    <w:keepNext w:val="0"/>
                    <w:keepLines w:val="0"/>
                    <w:suppressLineNumbers w:val="0"/>
                    <w:tabs>
                      <w:tab w:val="left" w:pos="3052"/>
                    </w:tabs>
                    <w:adjustRightInd w:val="0"/>
                    <w:snapToGrid w:val="0"/>
                    <w:spacing w:before="0" w:beforeAutospacing="0" w:after="0" w:afterAutospacing="0" w:line="240" w:lineRule="auto"/>
                    <w:ind w:left="0" w:right="0"/>
                    <w:textAlignment w:val="baseline"/>
                    <w:rPr>
                      <w:rFonts w:hint="default" w:ascii="Times New Roman" w:hAnsi="Times New Roman" w:eastAsia="宋体" w:cs="Times New Roman"/>
                      <w:szCs w:val="21"/>
                      <w:lang w:val="en-US" w:eastAsia="zh-CN"/>
                    </w:rPr>
                  </w:pPr>
                  <w:r>
                    <w:rPr>
                      <w:rFonts w:hint="default" w:ascii="Times New Roman" w:hAnsi="Times New Roman" w:eastAsia="宋体" w:cs="Times New Roman"/>
                      <w:color w:val="auto"/>
                      <w:sz w:val="21"/>
                      <w:szCs w:val="21"/>
                      <w:highlight w:val="none"/>
                      <w:lang w:val="en-US" w:eastAsia="zh-CN"/>
                    </w:rPr>
                    <w:t>项目</w:t>
                  </w:r>
                  <w:r>
                    <w:rPr>
                      <w:rFonts w:hint="eastAsia" w:ascii="Times New Roman" w:hAnsi="Times New Roman" w:eastAsia="宋体" w:cs="Times New Roman"/>
                      <w:color w:val="auto"/>
                      <w:sz w:val="21"/>
                      <w:szCs w:val="21"/>
                      <w:highlight w:val="none"/>
                      <w:lang w:val="en-US" w:eastAsia="zh-CN"/>
                    </w:rPr>
                    <w:t>生产用热采用电</w:t>
                  </w:r>
                  <w:r>
                    <w:rPr>
                      <w:rFonts w:hint="default" w:ascii="Times New Roman" w:hAnsi="Times New Roman" w:eastAsia="宋体" w:cs="Times New Roman"/>
                      <w:color w:val="auto"/>
                      <w:sz w:val="21"/>
                      <w:szCs w:val="21"/>
                      <w:highlight w:val="none"/>
                      <w:lang w:val="en-US" w:eastAsia="zh-CN"/>
                    </w:rPr>
                    <w:t>，办公室冬季</w:t>
                  </w:r>
                  <w:r>
                    <w:rPr>
                      <w:rFonts w:hint="eastAsia" w:ascii="Times New Roman" w:hAnsi="Times New Roman" w:eastAsia="宋体" w:cs="Times New Roman"/>
                      <w:color w:val="auto"/>
                      <w:sz w:val="21"/>
                      <w:szCs w:val="21"/>
                      <w:highlight w:val="none"/>
                      <w:lang w:val="en-US" w:eastAsia="zh-CN"/>
                    </w:rPr>
                    <w:t>采暖采用</w:t>
                  </w:r>
                  <w:r>
                    <w:rPr>
                      <w:rFonts w:hint="default" w:ascii="Times New Roman" w:hAnsi="Times New Roman" w:eastAsia="宋体" w:cs="Times New Roman"/>
                      <w:color w:val="auto"/>
                      <w:sz w:val="21"/>
                      <w:szCs w:val="21"/>
                      <w:highlight w:val="none"/>
                      <w:lang w:val="en-US" w:eastAsia="zh-CN"/>
                    </w:rPr>
                    <w:t>空调供暖</w:t>
                  </w:r>
                </w:p>
              </w:tc>
              <w:tc>
                <w:tcPr>
                  <w:tcW w:w="1059" w:type="pct"/>
                  <w:noWrap w:val="0"/>
                  <w:tcMar>
                    <w:left w:w="57" w:type="dxa"/>
                    <w:right w:w="57" w:type="dxa"/>
                  </w:tcMar>
                  <w:vAlign w:val="center"/>
                </w:tcPr>
                <w:p w14:paraId="59DD4F93">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kern w:val="2"/>
                      <w:sz w:val="21"/>
                      <w:szCs w:val="24"/>
                      <w:lang w:val="en-US" w:eastAsia="zh-CN" w:bidi="ar-SA"/>
                    </w:rPr>
                    <w:t>依托</w:t>
                  </w:r>
                </w:p>
              </w:tc>
              <w:tc>
                <w:tcPr>
                  <w:tcW w:w="1059" w:type="pct"/>
                  <w:noWrap w:val="0"/>
                  <w:tcMar>
                    <w:left w:w="57" w:type="dxa"/>
                    <w:right w:w="57" w:type="dxa"/>
                  </w:tcMar>
                  <w:vAlign w:val="center"/>
                </w:tcPr>
                <w:p w14:paraId="2B107B27">
                  <w:pPr>
                    <w:keepNext w:val="0"/>
                    <w:keepLines w:val="0"/>
                    <w:suppressLineNumbers w:val="0"/>
                    <w:tabs>
                      <w:tab w:val="left" w:pos="3052"/>
                    </w:tabs>
                    <w:adjustRightInd w:val="0"/>
                    <w:snapToGrid w:val="0"/>
                    <w:spacing w:before="0" w:beforeAutospacing="0" w:after="0" w:afterAutospacing="0" w:line="240" w:lineRule="auto"/>
                    <w:ind w:left="0" w:right="0"/>
                    <w:textAlignment w:val="baseline"/>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color w:val="auto"/>
                      <w:sz w:val="21"/>
                      <w:szCs w:val="21"/>
                      <w:highlight w:val="none"/>
                      <w:lang w:val="en-US" w:eastAsia="zh-CN"/>
                    </w:rPr>
                    <w:t>项目</w:t>
                  </w:r>
                  <w:r>
                    <w:rPr>
                      <w:rFonts w:hint="eastAsia" w:cs="Times New Roman"/>
                      <w:color w:val="auto"/>
                      <w:sz w:val="21"/>
                      <w:szCs w:val="21"/>
                      <w:highlight w:val="none"/>
                      <w:lang w:val="en-US" w:eastAsia="zh-CN"/>
                    </w:rPr>
                    <w:t>生产</w:t>
                  </w:r>
                  <w:r>
                    <w:rPr>
                      <w:rFonts w:hint="eastAsia" w:ascii="Times New Roman" w:hAnsi="Times New Roman" w:eastAsia="宋体" w:cs="Times New Roman"/>
                      <w:color w:val="auto"/>
                      <w:sz w:val="21"/>
                      <w:szCs w:val="21"/>
                      <w:highlight w:val="none"/>
                      <w:lang w:val="en-US" w:eastAsia="zh-CN"/>
                    </w:rPr>
                    <w:t>用热采用电</w:t>
                  </w:r>
                  <w:r>
                    <w:rPr>
                      <w:rFonts w:hint="default" w:ascii="Times New Roman" w:hAnsi="Times New Roman" w:eastAsia="宋体" w:cs="Times New Roman"/>
                      <w:color w:val="auto"/>
                      <w:sz w:val="21"/>
                      <w:szCs w:val="21"/>
                      <w:highlight w:val="none"/>
                      <w:lang w:val="en-US" w:eastAsia="zh-CN"/>
                    </w:rPr>
                    <w:t>，办公室冬季</w:t>
                  </w:r>
                  <w:r>
                    <w:rPr>
                      <w:rFonts w:hint="eastAsia" w:ascii="Times New Roman" w:hAnsi="Times New Roman" w:eastAsia="宋体" w:cs="Times New Roman"/>
                      <w:color w:val="auto"/>
                      <w:sz w:val="21"/>
                      <w:szCs w:val="21"/>
                      <w:highlight w:val="none"/>
                      <w:lang w:val="en-US" w:eastAsia="zh-CN"/>
                    </w:rPr>
                    <w:t>采暖采用</w:t>
                  </w:r>
                  <w:r>
                    <w:rPr>
                      <w:rFonts w:hint="default" w:ascii="Times New Roman" w:hAnsi="Times New Roman" w:eastAsia="宋体" w:cs="Times New Roman"/>
                      <w:color w:val="auto"/>
                      <w:sz w:val="21"/>
                      <w:szCs w:val="21"/>
                      <w:highlight w:val="none"/>
                      <w:lang w:val="en-US" w:eastAsia="zh-CN"/>
                    </w:rPr>
                    <w:t>空调供暖</w:t>
                  </w:r>
                </w:p>
              </w:tc>
              <w:tc>
                <w:tcPr>
                  <w:tcW w:w="1059" w:type="pct"/>
                  <w:noWrap w:val="0"/>
                  <w:tcMar>
                    <w:left w:w="57" w:type="dxa"/>
                    <w:right w:w="57" w:type="dxa"/>
                  </w:tcMar>
                  <w:vAlign w:val="center"/>
                </w:tcPr>
                <w:p w14:paraId="5AA54AB7">
                  <w:pPr>
                    <w:keepNext w:val="0"/>
                    <w:keepLines w:val="0"/>
                    <w:suppressLineNumbers w:val="0"/>
                    <w:tabs>
                      <w:tab w:val="left" w:pos="3052"/>
                    </w:tabs>
                    <w:adjustRightInd w:val="0"/>
                    <w:snapToGrid w:val="0"/>
                    <w:spacing w:before="0" w:beforeAutospacing="0" w:after="0" w:afterAutospacing="0" w:line="240" w:lineRule="auto"/>
                    <w:ind w:left="0" w:right="0"/>
                    <w:jc w:val="center"/>
                    <w:textAlignment w:val="baseline"/>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不变</w:t>
                  </w:r>
                </w:p>
              </w:tc>
            </w:tr>
            <w:tr w14:paraId="127A53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jc w:val="center"/>
              </w:trPr>
              <w:tc>
                <w:tcPr>
                  <w:tcW w:w="350" w:type="pct"/>
                  <w:vMerge w:val="restart"/>
                  <w:noWrap w:val="0"/>
                  <w:tcMar>
                    <w:left w:w="57" w:type="dxa"/>
                    <w:right w:w="57" w:type="dxa"/>
                  </w:tcMar>
                  <w:vAlign w:val="center"/>
                </w:tcPr>
                <w:p w14:paraId="0CA4A427">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环保</w:t>
                  </w:r>
                </w:p>
                <w:p w14:paraId="302267C7">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工程</w:t>
                  </w:r>
                </w:p>
              </w:tc>
              <w:tc>
                <w:tcPr>
                  <w:tcW w:w="410" w:type="pct"/>
                  <w:vMerge w:val="restart"/>
                  <w:noWrap w:val="0"/>
                  <w:tcMar>
                    <w:left w:w="57" w:type="dxa"/>
                    <w:right w:w="57" w:type="dxa"/>
                  </w:tcMar>
                  <w:vAlign w:val="center"/>
                </w:tcPr>
                <w:p w14:paraId="0488C9A8">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color w:val="auto"/>
                      <w:szCs w:val="21"/>
                    </w:rPr>
                    <w:t>废气</w:t>
                  </w:r>
                </w:p>
              </w:tc>
              <w:tc>
                <w:tcPr>
                  <w:tcW w:w="1059" w:type="pct"/>
                  <w:noWrap w:val="0"/>
                  <w:tcMar>
                    <w:left w:w="57" w:type="dxa"/>
                    <w:right w:w="57" w:type="dxa"/>
                  </w:tcMar>
                  <w:vAlign w:val="center"/>
                </w:tcPr>
                <w:p w14:paraId="5A6CA63F">
                  <w:pPr>
                    <w:keepNext w:val="0"/>
                    <w:keepLines w:val="0"/>
                    <w:suppressLineNumbers w:val="0"/>
                    <w:tabs>
                      <w:tab w:val="left" w:pos="3052"/>
                    </w:tabs>
                    <w:adjustRightInd w:val="0"/>
                    <w:snapToGrid w:val="0"/>
                    <w:spacing w:before="0" w:beforeAutospacing="0" w:after="0" w:afterAutospacing="0" w:line="240" w:lineRule="auto"/>
                    <w:ind w:left="0" w:right="0"/>
                    <w:textAlignment w:val="baseline"/>
                    <w:rPr>
                      <w:rFonts w:hint="default" w:ascii="Times New Roman" w:hAnsi="Times New Roman" w:cs="Times New Roman"/>
                      <w:szCs w:val="21"/>
                      <w:lang w:val="en-US" w:eastAsia="zh-CN"/>
                    </w:rPr>
                  </w:pPr>
                  <w:r>
                    <w:rPr>
                      <w:rFonts w:hint="eastAsia" w:ascii="Times New Roman" w:hAnsi="Times New Roman" w:eastAsia="宋体" w:cs="Times New Roman"/>
                      <w:color w:val="auto"/>
                      <w:sz w:val="21"/>
                      <w:szCs w:val="21"/>
                      <w:highlight w:val="none"/>
                      <w:lang w:val="en-US" w:eastAsia="zh-CN"/>
                    </w:rPr>
                    <w:t>生产车间废气（吹膜机ABC废气、配制间A废气、印刷机A废气、复合机AC废气）经集气装置收集通过1套二级活性炭吸附装置处理后由1根15m高排气筒排放(DA001)</w:t>
                  </w:r>
                </w:p>
              </w:tc>
              <w:tc>
                <w:tcPr>
                  <w:tcW w:w="1059" w:type="pct"/>
                  <w:noWrap w:val="0"/>
                  <w:tcMar>
                    <w:left w:w="57" w:type="dxa"/>
                    <w:right w:w="57" w:type="dxa"/>
                  </w:tcMar>
                  <w:vAlign w:val="center"/>
                </w:tcPr>
                <w:p w14:paraId="0D714721">
                  <w:pPr>
                    <w:keepNext w:val="0"/>
                    <w:keepLines w:val="0"/>
                    <w:suppressLineNumbers w:val="0"/>
                    <w:tabs>
                      <w:tab w:val="left" w:pos="3052"/>
                    </w:tabs>
                    <w:adjustRightInd w:val="0"/>
                    <w:snapToGrid w:val="0"/>
                    <w:spacing w:before="0" w:beforeAutospacing="0" w:after="0" w:afterAutospacing="0" w:line="240" w:lineRule="auto"/>
                    <w:ind w:left="0" w:right="0"/>
                    <w:jc w:val="both"/>
                    <w:textAlignment w:val="baseline"/>
                    <w:rPr>
                      <w:rFonts w:hint="eastAsia" w:ascii="Times New Roman" w:hAnsi="Times New Roman" w:eastAsia="宋体" w:cs="Times New Roman"/>
                      <w:szCs w:val="21"/>
                      <w:lang w:val="en-US" w:eastAsia="zh-CN"/>
                    </w:rPr>
                  </w:pPr>
                  <w:r>
                    <w:rPr>
                      <w:rFonts w:hint="eastAsia" w:cs="Times New Roman"/>
                      <w:color w:val="auto"/>
                      <w:sz w:val="21"/>
                      <w:szCs w:val="21"/>
                      <w:highlight w:val="none"/>
                      <w:lang w:val="en-US" w:eastAsia="zh-CN"/>
                    </w:rPr>
                    <w:t>非洁净</w:t>
                  </w:r>
                  <w:r>
                    <w:rPr>
                      <w:rFonts w:hint="eastAsia" w:ascii="Times New Roman" w:hAnsi="Times New Roman" w:eastAsia="宋体" w:cs="Times New Roman"/>
                      <w:color w:val="auto"/>
                      <w:sz w:val="21"/>
                      <w:szCs w:val="21"/>
                      <w:highlight w:val="none"/>
                      <w:lang w:val="en-US" w:eastAsia="zh-CN"/>
                    </w:rPr>
                    <w:t>车间废气（吹膜机ABC废气、配制间A废气、印刷机A废气、复合机AC废气）经集气装置收集通过1套二级活性炭吸附装置处理后由1根15m高排气筒排放(DA001</w:t>
                  </w:r>
                  <w:r>
                    <w:rPr>
                      <w:rFonts w:hint="eastAsia" w:cs="Times New Roman"/>
                      <w:color w:val="auto"/>
                      <w:sz w:val="21"/>
                      <w:szCs w:val="21"/>
                      <w:highlight w:val="none"/>
                      <w:lang w:val="en-US" w:eastAsia="zh-CN"/>
                    </w:rPr>
                    <w:t>依托</w:t>
                  </w:r>
                  <w:r>
                    <w:rPr>
                      <w:rFonts w:hint="eastAsia" w:ascii="Times New Roman" w:hAnsi="Times New Roman" w:eastAsia="宋体" w:cs="Times New Roman"/>
                      <w:color w:val="auto"/>
                      <w:sz w:val="21"/>
                      <w:szCs w:val="21"/>
                      <w:highlight w:val="none"/>
                      <w:lang w:val="en-US" w:eastAsia="zh-CN"/>
                    </w:rPr>
                    <w:t>)</w:t>
                  </w:r>
                </w:p>
              </w:tc>
              <w:tc>
                <w:tcPr>
                  <w:tcW w:w="1059" w:type="pct"/>
                  <w:noWrap w:val="0"/>
                  <w:tcMar>
                    <w:left w:w="57" w:type="dxa"/>
                    <w:right w:w="57" w:type="dxa"/>
                  </w:tcMar>
                  <w:vAlign w:val="center"/>
                </w:tcPr>
                <w:p w14:paraId="38B0EDE5">
                  <w:pPr>
                    <w:keepNext w:val="0"/>
                    <w:keepLines w:val="0"/>
                    <w:suppressLineNumbers w:val="0"/>
                    <w:tabs>
                      <w:tab w:val="left" w:pos="3052"/>
                    </w:tabs>
                    <w:adjustRightInd w:val="0"/>
                    <w:snapToGrid w:val="0"/>
                    <w:spacing w:before="0" w:beforeAutospacing="0" w:after="0" w:afterAutospacing="0" w:line="240" w:lineRule="auto"/>
                    <w:ind w:left="0" w:right="0"/>
                    <w:jc w:val="both"/>
                    <w:textAlignment w:val="baseline"/>
                    <w:rPr>
                      <w:rFonts w:hint="default" w:ascii="Times New Roman" w:hAnsi="Times New Roman" w:cs="Times New Roman"/>
                      <w:szCs w:val="21"/>
                      <w:lang w:val="en-US" w:eastAsia="zh-CN"/>
                    </w:rPr>
                  </w:pPr>
                  <w:r>
                    <w:rPr>
                      <w:rFonts w:hint="eastAsia" w:cs="Times New Roman"/>
                      <w:color w:val="auto"/>
                      <w:sz w:val="21"/>
                      <w:szCs w:val="21"/>
                      <w:highlight w:val="none"/>
                      <w:lang w:val="en-US" w:eastAsia="zh-CN"/>
                    </w:rPr>
                    <w:t>非洁净</w:t>
                  </w:r>
                  <w:r>
                    <w:rPr>
                      <w:rFonts w:hint="eastAsia" w:ascii="Times New Roman" w:hAnsi="Times New Roman" w:eastAsia="宋体" w:cs="Times New Roman"/>
                      <w:color w:val="auto"/>
                      <w:sz w:val="21"/>
                      <w:szCs w:val="21"/>
                      <w:highlight w:val="none"/>
                      <w:lang w:val="en-US" w:eastAsia="zh-CN"/>
                    </w:rPr>
                    <w:t>车间废气（吹膜机ABC废气、配制间A废气、印刷机A废气、复合机AC废气）经集气装置收集通过1套二级活性炭吸附装置处理后由1根15m高排气筒排放(DA001</w:t>
                  </w:r>
                  <w:r>
                    <w:rPr>
                      <w:rFonts w:hint="eastAsia" w:cs="Times New Roman"/>
                      <w:color w:val="auto"/>
                      <w:sz w:val="21"/>
                      <w:szCs w:val="21"/>
                      <w:highlight w:val="none"/>
                      <w:lang w:val="en-US" w:eastAsia="zh-CN"/>
                    </w:rPr>
                    <w:t>依托</w:t>
                  </w:r>
                  <w:r>
                    <w:rPr>
                      <w:rFonts w:hint="eastAsia" w:ascii="Times New Roman" w:hAnsi="Times New Roman" w:eastAsia="宋体" w:cs="Times New Roman"/>
                      <w:color w:val="auto"/>
                      <w:sz w:val="21"/>
                      <w:szCs w:val="21"/>
                      <w:highlight w:val="none"/>
                      <w:lang w:val="en-US" w:eastAsia="zh-CN"/>
                    </w:rPr>
                    <w:t>)</w:t>
                  </w:r>
                </w:p>
              </w:tc>
              <w:tc>
                <w:tcPr>
                  <w:tcW w:w="1059" w:type="pct"/>
                  <w:shd w:val="clear" w:color="auto" w:fill="auto"/>
                  <w:noWrap w:val="0"/>
                  <w:tcMar>
                    <w:left w:w="57" w:type="dxa"/>
                    <w:right w:w="57" w:type="dxa"/>
                  </w:tcMar>
                  <w:vAlign w:val="center"/>
                </w:tcPr>
                <w:p w14:paraId="28491D7A">
                  <w:pPr>
                    <w:keepNext w:val="0"/>
                    <w:keepLines w:val="0"/>
                    <w:suppressLineNumbers w:val="0"/>
                    <w:tabs>
                      <w:tab w:val="left" w:pos="3052"/>
                    </w:tabs>
                    <w:adjustRightInd w:val="0"/>
                    <w:snapToGrid w:val="0"/>
                    <w:spacing w:before="0" w:beforeAutospacing="0" w:after="0" w:afterAutospacing="0" w:line="240" w:lineRule="auto"/>
                    <w:ind w:left="0" w:leftChars="0" w:right="0" w:rightChars="0"/>
                    <w:jc w:val="center"/>
                    <w:textAlignment w:val="baseline"/>
                    <w:rPr>
                      <w:rFonts w:hint="eastAsia" w:ascii="Times New Roman" w:hAnsi="Times New Roman" w:eastAsia="宋体" w:cs="Times New Roman"/>
                      <w:kern w:val="2"/>
                      <w:sz w:val="21"/>
                      <w:szCs w:val="21"/>
                      <w:lang w:val="en-US" w:eastAsia="zh-CN" w:bidi="ar-SA"/>
                    </w:rPr>
                  </w:pPr>
                  <w:r>
                    <w:rPr>
                      <w:rFonts w:hint="eastAsia" w:cs="Times New Roman"/>
                      <w:color w:val="auto"/>
                      <w:sz w:val="21"/>
                      <w:szCs w:val="21"/>
                      <w:highlight w:val="none"/>
                      <w:lang w:val="en-US" w:eastAsia="zh-CN"/>
                    </w:rPr>
                    <w:t>不变</w:t>
                  </w:r>
                </w:p>
              </w:tc>
            </w:tr>
            <w:tr w14:paraId="2BCF16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jc w:val="center"/>
              </w:trPr>
              <w:tc>
                <w:tcPr>
                  <w:tcW w:w="350" w:type="pct"/>
                  <w:vMerge w:val="continue"/>
                  <w:noWrap w:val="0"/>
                  <w:tcMar>
                    <w:left w:w="57" w:type="dxa"/>
                    <w:right w:w="57" w:type="dxa"/>
                  </w:tcMar>
                  <w:vAlign w:val="center"/>
                </w:tcPr>
                <w:p w14:paraId="56AF124A">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p>
              </w:tc>
              <w:tc>
                <w:tcPr>
                  <w:tcW w:w="410" w:type="pct"/>
                  <w:vMerge w:val="continue"/>
                  <w:noWrap w:val="0"/>
                  <w:tcMar>
                    <w:left w:w="57" w:type="dxa"/>
                    <w:right w:w="57" w:type="dxa"/>
                  </w:tcMar>
                  <w:vAlign w:val="center"/>
                </w:tcPr>
                <w:p w14:paraId="2C165375">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p>
              </w:tc>
              <w:tc>
                <w:tcPr>
                  <w:tcW w:w="1059" w:type="pct"/>
                  <w:noWrap w:val="0"/>
                  <w:tcMar>
                    <w:left w:w="57" w:type="dxa"/>
                    <w:right w:w="57" w:type="dxa"/>
                  </w:tcMar>
                  <w:vAlign w:val="center"/>
                </w:tcPr>
                <w:p w14:paraId="0BBFD0BF">
                  <w:pPr>
                    <w:keepNext w:val="0"/>
                    <w:keepLines w:val="0"/>
                    <w:suppressLineNumbers w:val="0"/>
                    <w:tabs>
                      <w:tab w:val="left" w:pos="3052"/>
                    </w:tabs>
                    <w:adjustRightInd w:val="0"/>
                    <w:snapToGrid w:val="0"/>
                    <w:spacing w:before="0" w:beforeAutospacing="0" w:after="0" w:afterAutospacing="0" w:line="240" w:lineRule="auto"/>
                    <w:ind w:left="0" w:right="0"/>
                    <w:textAlignment w:val="baseline"/>
                    <w:rPr>
                      <w:rFonts w:hint="eastAsia" w:ascii="Times New Roman" w:hAnsi="Times New Roman" w:cs="Times New Roman"/>
                      <w:kern w:val="2"/>
                      <w:sz w:val="21"/>
                      <w:szCs w:val="21"/>
                      <w:lang w:val="en-US" w:eastAsia="zh-CN" w:bidi="ar-SA"/>
                    </w:rPr>
                  </w:pPr>
                  <w:r>
                    <w:rPr>
                      <w:rFonts w:hint="eastAsia" w:ascii="Times New Roman" w:hAnsi="Times New Roman" w:eastAsia="宋体" w:cs="Times New Roman"/>
                      <w:color w:val="auto"/>
                      <w:sz w:val="21"/>
                      <w:szCs w:val="21"/>
                      <w:highlight w:val="none"/>
                      <w:lang w:val="en-US" w:eastAsia="zh-CN"/>
                    </w:rPr>
                    <w:t>生产车间废气（配制间B废气、印刷机BC废气、复合机B废气、固化室A-K废气）经集气装置收集通过1套二级活性炭吸附装置处理后由1根15m高排气筒排放(DA002)</w:t>
                  </w:r>
                </w:p>
              </w:tc>
              <w:tc>
                <w:tcPr>
                  <w:tcW w:w="1059" w:type="pct"/>
                  <w:noWrap w:val="0"/>
                  <w:tcMar>
                    <w:left w:w="57" w:type="dxa"/>
                    <w:right w:w="57" w:type="dxa"/>
                  </w:tcMar>
                  <w:vAlign w:val="center"/>
                </w:tcPr>
                <w:p w14:paraId="3FDEC528">
                  <w:pPr>
                    <w:keepNext w:val="0"/>
                    <w:keepLines w:val="0"/>
                    <w:suppressLineNumbers w:val="0"/>
                    <w:tabs>
                      <w:tab w:val="left" w:pos="3052"/>
                    </w:tabs>
                    <w:adjustRightInd w:val="0"/>
                    <w:snapToGrid w:val="0"/>
                    <w:spacing w:before="0" w:beforeAutospacing="0" w:after="0" w:afterAutospacing="0" w:line="240" w:lineRule="auto"/>
                    <w:ind w:left="0" w:right="0"/>
                    <w:jc w:val="both"/>
                    <w:textAlignment w:val="baseline"/>
                    <w:rPr>
                      <w:rFonts w:hint="eastAsia" w:ascii="Times New Roman" w:hAnsi="Times New Roman" w:eastAsia="宋体" w:cs="Times New Roman"/>
                      <w:kern w:val="2"/>
                      <w:sz w:val="21"/>
                      <w:szCs w:val="21"/>
                      <w:lang w:val="en-US" w:eastAsia="zh-CN" w:bidi="ar-SA"/>
                    </w:rPr>
                  </w:pPr>
                  <w:r>
                    <w:rPr>
                      <w:rFonts w:hint="eastAsia" w:cs="Times New Roman"/>
                      <w:color w:val="auto"/>
                      <w:sz w:val="21"/>
                      <w:szCs w:val="21"/>
                      <w:highlight w:val="none"/>
                      <w:lang w:val="en-US" w:eastAsia="zh-CN"/>
                    </w:rPr>
                    <w:t>非洁净车间</w:t>
                  </w:r>
                  <w:r>
                    <w:rPr>
                      <w:rFonts w:hint="eastAsia" w:ascii="Times New Roman" w:hAnsi="Times New Roman" w:eastAsia="宋体" w:cs="Times New Roman"/>
                      <w:color w:val="auto"/>
                      <w:sz w:val="21"/>
                      <w:szCs w:val="21"/>
                      <w:highlight w:val="none"/>
                      <w:lang w:val="en-US" w:eastAsia="zh-CN"/>
                    </w:rPr>
                    <w:t>废气（配制间B废气、印刷机BC废气、复合机B废气、固化室A-K废气）</w:t>
                  </w:r>
                  <w:r>
                    <w:rPr>
                      <w:rFonts w:hint="eastAsia" w:cs="Times New Roman"/>
                      <w:color w:val="auto"/>
                      <w:sz w:val="21"/>
                      <w:szCs w:val="21"/>
                      <w:highlight w:val="none"/>
                      <w:lang w:val="en-US" w:eastAsia="zh-CN"/>
                    </w:rPr>
                    <w:t>、洁净车间水性油墨配制、擦拭废气</w:t>
                  </w:r>
                  <w:r>
                    <w:rPr>
                      <w:rFonts w:hint="eastAsia" w:ascii="Times New Roman" w:hAnsi="Times New Roman" w:eastAsia="宋体" w:cs="Times New Roman"/>
                      <w:color w:val="auto"/>
                      <w:sz w:val="21"/>
                      <w:szCs w:val="21"/>
                      <w:highlight w:val="none"/>
                      <w:lang w:val="en-US" w:eastAsia="zh-CN"/>
                    </w:rPr>
                    <w:t>经集气装置收集通过1套二级活性炭吸附装置处理后由1根15m高排气筒排放(DA002</w:t>
                  </w:r>
                  <w:r>
                    <w:rPr>
                      <w:rFonts w:hint="eastAsia" w:cs="Times New Roman"/>
                      <w:color w:val="auto"/>
                      <w:sz w:val="21"/>
                      <w:szCs w:val="21"/>
                      <w:highlight w:val="none"/>
                      <w:lang w:val="en-US" w:eastAsia="zh-CN"/>
                    </w:rPr>
                    <w:t>依托</w:t>
                  </w:r>
                  <w:r>
                    <w:rPr>
                      <w:rFonts w:hint="eastAsia" w:ascii="Times New Roman" w:hAnsi="Times New Roman" w:eastAsia="宋体" w:cs="Times New Roman"/>
                      <w:color w:val="auto"/>
                      <w:sz w:val="21"/>
                      <w:szCs w:val="21"/>
                      <w:highlight w:val="none"/>
                      <w:lang w:val="en-US" w:eastAsia="zh-CN"/>
                    </w:rPr>
                    <w:t>)</w:t>
                  </w:r>
                </w:p>
              </w:tc>
              <w:tc>
                <w:tcPr>
                  <w:tcW w:w="1059" w:type="pct"/>
                  <w:noWrap w:val="0"/>
                  <w:tcMar>
                    <w:left w:w="57" w:type="dxa"/>
                    <w:right w:w="57" w:type="dxa"/>
                  </w:tcMar>
                  <w:vAlign w:val="center"/>
                </w:tcPr>
                <w:p w14:paraId="502FB200">
                  <w:pPr>
                    <w:keepNext w:val="0"/>
                    <w:keepLines w:val="0"/>
                    <w:suppressLineNumbers w:val="0"/>
                    <w:tabs>
                      <w:tab w:val="left" w:pos="3052"/>
                    </w:tabs>
                    <w:adjustRightInd w:val="0"/>
                    <w:snapToGrid w:val="0"/>
                    <w:spacing w:before="0" w:beforeAutospacing="0" w:after="0" w:afterAutospacing="0" w:line="240" w:lineRule="auto"/>
                    <w:ind w:left="0" w:right="0"/>
                    <w:textAlignment w:val="baseline"/>
                    <w:rPr>
                      <w:rFonts w:hint="eastAsia" w:ascii="Times New Roman" w:hAnsi="Times New Roman" w:cs="Times New Roman"/>
                      <w:kern w:val="2"/>
                      <w:sz w:val="21"/>
                      <w:szCs w:val="21"/>
                      <w:lang w:val="en-US" w:eastAsia="zh-CN" w:bidi="ar-SA"/>
                    </w:rPr>
                  </w:pPr>
                  <w:r>
                    <w:rPr>
                      <w:rFonts w:hint="eastAsia" w:cs="Times New Roman"/>
                      <w:color w:val="auto"/>
                      <w:sz w:val="21"/>
                      <w:szCs w:val="21"/>
                      <w:highlight w:val="none"/>
                      <w:lang w:val="en-US" w:eastAsia="zh-CN"/>
                    </w:rPr>
                    <w:t>非洁净车间</w:t>
                  </w:r>
                  <w:r>
                    <w:rPr>
                      <w:rFonts w:hint="eastAsia" w:ascii="Times New Roman" w:hAnsi="Times New Roman" w:eastAsia="宋体" w:cs="Times New Roman"/>
                      <w:color w:val="auto"/>
                      <w:sz w:val="21"/>
                      <w:szCs w:val="21"/>
                      <w:highlight w:val="none"/>
                      <w:lang w:val="en-US" w:eastAsia="zh-CN"/>
                    </w:rPr>
                    <w:t>废气（配制间B废气、印刷机BC废气、复合机B废气、固化室A-K废气）</w:t>
                  </w:r>
                  <w:r>
                    <w:rPr>
                      <w:rFonts w:hint="eastAsia" w:cs="Times New Roman"/>
                      <w:color w:val="auto"/>
                      <w:sz w:val="21"/>
                      <w:szCs w:val="21"/>
                      <w:highlight w:val="none"/>
                      <w:lang w:val="en-US" w:eastAsia="zh-CN"/>
                    </w:rPr>
                    <w:t>、洁净车间水性油墨配制、擦拭废气</w:t>
                  </w:r>
                  <w:r>
                    <w:rPr>
                      <w:rFonts w:hint="eastAsia" w:ascii="Times New Roman" w:hAnsi="Times New Roman" w:eastAsia="宋体" w:cs="Times New Roman"/>
                      <w:color w:val="auto"/>
                      <w:sz w:val="21"/>
                      <w:szCs w:val="21"/>
                      <w:highlight w:val="none"/>
                      <w:lang w:val="en-US" w:eastAsia="zh-CN"/>
                    </w:rPr>
                    <w:t>经集气装置收集通过1套二级活性炭吸附装置处理后由1根15m高排气筒排放(DA002</w:t>
                  </w:r>
                  <w:r>
                    <w:rPr>
                      <w:rFonts w:hint="eastAsia" w:cs="Times New Roman"/>
                      <w:color w:val="auto"/>
                      <w:sz w:val="21"/>
                      <w:szCs w:val="21"/>
                      <w:highlight w:val="none"/>
                      <w:lang w:val="en-US" w:eastAsia="zh-CN"/>
                    </w:rPr>
                    <w:t>依托</w:t>
                  </w:r>
                  <w:r>
                    <w:rPr>
                      <w:rFonts w:hint="eastAsia" w:ascii="Times New Roman" w:hAnsi="Times New Roman" w:eastAsia="宋体" w:cs="Times New Roman"/>
                      <w:color w:val="auto"/>
                      <w:sz w:val="21"/>
                      <w:szCs w:val="21"/>
                      <w:highlight w:val="none"/>
                      <w:lang w:val="en-US" w:eastAsia="zh-CN"/>
                    </w:rPr>
                    <w:t>)</w:t>
                  </w:r>
                </w:p>
              </w:tc>
              <w:tc>
                <w:tcPr>
                  <w:tcW w:w="1059" w:type="pct"/>
                  <w:shd w:val="clear" w:color="auto" w:fill="auto"/>
                  <w:noWrap w:val="0"/>
                  <w:tcMar>
                    <w:left w:w="57" w:type="dxa"/>
                    <w:right w:w="57" w:type="dxa"/>
                  </w:tcMar>
                  <w:vAlign w:val="center"/>
                </w:tcPr>
                <w:p w14:paraId="0311F742">
                  <w:pPr>
                    <w:keepNext w:val="0"/>
                    <w:keepLines w:val="0"/>
                    <w:suppressLineNumbers w:val="0"/>
                    <w:tabs>
                      <w:tab w:val="left" w:pos="3052"/>
                    </w:tabs>
                    <w:adjustRightInd w:val="0"/>
                    <w:snapToGrid w:val="0"/>
                    <w:spacing w:before="0" w:beforeAutospacing="0" w:after="0" w:afterAutospacing="0" w:line="240" w:lineRule="auto"/>
                    <w:ind w:left="0" w:leftChars="0" w:right="0" w:rightChars="0"/>
                    <w:textAlignment w:val="baseline"/>
                    <w:rPr>
                      <w:rFonts w:hint="eastAsia" w:ascii="Times New Roman" w:hAnsi="Times New Roman" w:eastAsia="宋体" w:cs="Times New Roman"/>
                      <w:kern w:val="2"/>
                      <w:sz w:val="21"/>
                      <w:szCs w:val="21"/>
                      <w:lang w:val="en-US" w:eastAsia="zh-CN" w:bidi="ar-SA"/>
                    </w:rPr>
                  </w:pPr>
                  <w:r>
                    <w:rPr>
                      <w:rFonts w:hint="eastAsia" w:cs="Times New Roman"/>
                      <w:color w:val="auto"/>
                      <w:sz w:val="21"/>
                      <w:szCs w:val="21"/>
                      <w:highlight w:val="none"/>
                      <w:lang w:val="en-US" w:eastAsia="zh-CN"/>
                    </w:rPr>
                    <w:t>非洁净车间</w:t>
                  </w:r>
                  <w:r>
                    <w:rPr>
                      <w:rFonts w:hint="eastAsia" w:ascii="Times New Roman" w:hAnsi="Times New Roman" w:eastAsia="宋体" w:cs="Times New Roman"/>
                      <w:color w:val="auto"/>
                      <w:sz w:val="21"/>
                      <w:szCs w:val="21"/>
                      <w:highlight w:val="none"/>
                      <w:lang w:val="en-US" w:eastAsia="zh-CN"/>
                    </w:rPr>
                    <w:t>废气（配制间B废气、印刷机BC废气、复合机B废气、固化室A-K废气）</w:t>
                  </w:r>
                  <w:r>
                    <w:rPr>
                      <w:rFonts w:hint="eastAsia" w:cs="Times New Roman"/>
                      <w:color w:val="auto"/>
                      <w:sz w:val="21"/>
                      <w:szCs w:val="21"/>
                      <w:highlight w:val="none"/>
                      <w:lang w:val="en-US" w:eastAsia="zh-CN"/>
                    </w:rPr>
                    <w:t>、洁净车间水性油墨配制、擦拭废气</w:t>
                  </w:r>
                  <w:r>
                    <w:rPr>
                      <w:rFonts w:hint="eastAsia" w:ascii="Times New Roman" w:hAnsi="Times New Roman" w:eastAsia="宋体" w:cs="Times New Roman"/>
                      <w:color w:val="auto"/>
                      <w:sz w:val="21"/>
                      <w:szCs w:val="21"/>
                      <w:highlight w:val="none"/>
                      <w:lang w:val="en-US" w:eastAsia="zh-CN"/>
                    </w:rPr>
                    <w:t>经集气装置收集通过1套二级活性炭吸附装置处理后由1根15m高排气筒排放(DA002</w:t>
                  </w:r>
                  <w:r>
                    <w:rPr>
                      <w:rFonts w:hint="eastAsia" w:cs="Times New Roman"/>
                      <w:color w:val="auto"/>
                      <w:sz w:val="21"/>
                      <w:szCs w:val="21"/>
                      <w:highlight w:val="none"/>
                      <w:lang w:val="en-US" w:eastAsia="zh-CN"/>
                    </w:rPr>
                    <w:t>依托</w:t>
                  </w:r>
                  <w:r>
                    <w:rPr>
                      <w:rFonts w:hint="eastAsia" w:ascii="Times New Roman" w:hAnsi="Times New Roman" w:eastAsia="宋体" w:cs="Times New Roman"/>
                      <w:color w:val="auto"/>
                      <w:sz w:val="21"/>
                      <w:szCs w:val="21"/>
                      <w:highlight w:val="none"/>
                      <w:lang w:val="en-US" w:eastAsia="zh-CN"/>
                    </w:rPr>
                    <w:t>)</w:t>
                  </w:r>
                </w:p>
              </w:tc>
            </w:tr>
            <w:tr w14:paraId="1CE53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jc w:val="center"/>
              </w:trPr>
              <w:tc>
                <w:tcPr>
                  <w:tcW w:w="350" w:type="pct"/>
                  <w:vMerge w:val="continue"/>
                  <w:noWrap w:val="0"/>
                  <w:tcMar>
                    <w:left w:w="57" w:type="dxa"/>
                    <w:right w:w="57" w:type="dxa"/>
                  </w:tcMar>
                  <w:vAlign w:val="center"/>
                </w:tcPr>
                <w:p w14:paraId="54E259FE">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p>
              </w:tc>
              <w:tc>
                <w:tcPr>
                  <w:tcW w:w="410" w:type="pct"/>
                  <w:vMerge w:val="continue"/>
                  <w:noWrap w:val="0"/>
                  <w:tcMar>
                    <w:left w:w="57" w:type="dxa"/>
                    <w:right w:w="57" w:type="dxa"/>
                  </w:tcMar>
                  <w:vAlign w:val="center"/>
                </w:tcPr>
                <w:p w14:paraId="1A0388F3">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p>
              </w:tc>
              <w:tc>
                <w:tcPr>
                  <w:tcW w:w="1059" w:type="pct"/>
                  <w:noWrap w:val="0"/>
                  <w:tcMar>
                    <w:left w:w="57" w:type="dxa"/>
                    <w:right w:w="57" w:type="dxa"/>
                  </w:tcMar>
                  <w:vAlign w:val="center"/>
                </w:tcPr>
                <w:p w14:paraId="15CA0922">
                  <w:pPr>
                    <w:keepNext w:val="0"/>
                    <w:keepLines w:val="0"/>
                    <w:suppressLineNumbers w:val="0"/>
                    <w:tabs>
                      <w:tab w:val="left" w:pos="3052"/>
                    </w:tabs>
                    <w:adjustRightInd w:val="0"/>
                    <w:snapToGrid w:val="0"/>
                    <w:spacing w:before="0" w:beforeAutospacing="0" w:after="0" w:afterAutospacing="0" w:line="240" w:lineRule="auto"/>
                    <w:ind w:left="0" w:right="0"/>
                    <w:jc w:val="center"/>
                    <w:textAlignment w:val="baseline"/>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w:t>
                  </w:r>
                </w:p>
              </w:tc>
              <w:tc>
                <w:tcPr>
                  <w:tcW w:w="1059" w:type="pct"/>
                  <w:noWrap w:val="0"/>
                  <w:tcMar>
                    <w:left w:w="57" w:type="dxa"/>
                    <w:right w:w="57" w:type="dxa"/>
                  </w:tcMar>
                  <w:vAlign w:val="center"/>
                </w:tcPr>
                <w:p w14:paraId="1D99104F">
                  <w:pPr>
                    <w:keepNext w:val="0"/>
                    <w:keepLines w:val="0"/>
                    <w:suppressLineNumbers w:val="0"/>
                    <w:tabs>
                      <w:tab w:val="left" w:pos="3052"/>
                    </w:tabs>
                    <w:adjustRightInd w:val="0"/>
                    <w:snapToGrid w:val="0"/>
                    <w:spacing w:before="0" w:beforeAutospacing="0" w:after="0" w:afterAutospacing="0" w:line="240" w:lineRule="auto"/>
                    <w:ind w:left="0" w:right="0"/>
                    <w:jc w:val="both"/>
                    <w:textAlignment w:val="baseline"/>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洁净车间废气（印刷机D废气、复合机D废气、固化室L-N废气）经集气装置收集通过1套二级活性炭吸附装置处理后由1根15m高排气筒排放(DA003</w:t>
                  </w:r>
                  <w:r>
                    <w:rPr>
                      <w:rFonts w:hint="eastAsia" w:cs="Times New Roman"/>
                      <w:color w:val="auto"/>
                      <w:sz w:val="21"/>
                      <w:szCs w:val="21"/>
                      <w:highlight w:val="none"/>
                      <w:lang w:val="en-US" w:eastAsia="zh-CN"/>
                    </w:rPr>
                    <w:t>新增</w:t>
                  </w:r>
                  <w:r>
                    <w:rPr>
                      <w:rFonts w:hint="eastAsia" w:ascii="Times New Roman" w:hAnsi="Times New Roman" w:eastAsia="宋体" w:cs="Times New Roman"/>
                      <w:color w:val="auto"/>
                      <w:sz w:val="21"/>
                      <w:szCs w:val="21"/>
                      <w:highlight w:val="none"/>
                      <w:lang w:val="en-US" w:eastAsia="zh-CN"/>
                    </w:rPr>
                    <w:t>)</w:t>
                  </w:r>
                  <w:r>
                    <w:rPr>
                      <w:rFonts w:hint="eastAsia" w:cs="Times New Roman"/>
                      <w:color w:val="auto"/>
                      <w:sz w:val="21"/>
                      <w:szCs w:val="21"/>
                      <w:highlight w:val="none"/>
                      <w:lang w:val="en-US" w:eastAsia="zh-CN"/>
                    </w:rPr>
                    <w:t>，洁净车间空气经高效空气过滤器净化后在车间内循环</w:t>
                  </w:r>
                </w:p>
              </w:tc>
              <w:tc>
                <w:tcPr>
                  <w:tcW w:w="1059" w:type="pct"/>
                  <w:noWrap w:val="0"/>
                  <w:tcMar>
                    <w:left w:w="57" w:type="dxa"/>
                    <w:right w:w="57" w:type="dxa"/>
                  </w:tcMar>
                  <w:vAlign w:val="center"/>
                </w:tcPr>
                <w:p w14:paraId="19BB902E">
                  <w:pPr>
                    <w:keepNext w:val="0"/>
                    <w:keepLines w:val="0"/>
                    <w:suppressLineNumbers w:val="0"/>
                    <w:tabs>
                      <w:tab w:val="left" w:pos="3052"/>
                    </w:tabs>
                    <w:adjustRightInd w:val="0"/>
                    <w:snapToGrid w:val="0"/>
                    <w:spacing w:before="0" w:beforeAutospacing="0" w:after="0" w:afterAutospacing="0" w:line="240" w:lineRule="auto"/>
                    <w:ind w:left="0" w:right="0"/>
                    <w:textAlignment w:val="baseline"/>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洁净车间废气（印刷机D废气、复合机D废气、固化室L-N废气）经集气装置收集通过1套二级活性炭吸附装置处理后由1根15m高排气筒排放(DA003</w:t>
                  </w:r>
                  <w:r>
                    <w:rPr>
                      <w:rFonts w:hint="eastAsia" w:cs="Times New Roman"/>
                      <w:color w:val="auto"/>
                      <w:sz w:val="21"/>
                      <w:szCs w:val="21"/>
                      <w:highlight w:val="none"/>
                      <w:lang w:val="en-US" w:eastAsia="zh-CN"/>
                    </w:rPr>
                    <w:t>新增</w:t>
                  </w:r>
                  <w:r>
                    <w:rPr>
                      <w:rFonts w:hint="eastAsia" w:ascii="Times New Roman" w:hAnsi="Times New Roman" w:eastAsia="宋体" w:cs="Times New Roman"/>
                      <w:color w:val="auto"/>
                      <w:sz w:val="21"/>
                      <w:szCs w:val="21"/>
                      <w:highlight w:val="none"/>
                      <w:lang w:val="en-US" w:eastAsia="zh-CN"/>
                    </w:rPr>
                    <w:t>)</w:t>
                  </w:r>
                  <w:r>
                    <w:rPr>
                      <w:rFonts w:hint="eastAsia" w:cs="Times New Roman"/>
                      <w:color w:val="auto"/>
                      <w:sz w:val="21"/>
                      <w:szCs w:val="21"/>
                      <w:highlight w:val="none"/>
                      <w:lang w:val="en-US" w:eastAsia="zh-CN"/>
                    </w:rPr>
                    <w:t>，洁净车间空气经高效空气过滤器净化后在车间内循环</w:t>
                  </w:r>
                </w:p>
              </w:tc>
              <w:tc>
                <w:tcPr>
                  <w:tcW w:w="1059" w:type="pct"/>
                  <w:shd w:val="clear" w:color="auto" w:fill="auto"/>
                  <w:noWrap w:val="0"/>
                  <w:tcMar>
                    <w:left w:w="57" w:type="dxa"/>
                    <w:right w:w="57" w:type="dxa"/>
                  </w:tcMar>
                  <w:vAlign w:val="center"/>
                </w:tcPr>
                <w:p w14:paraId="7AC0A6FC">
                  <w:pPr>
                    <w:keepNext w:val="0"/>
                    <w:keepLines w:val="0"/>
                    <w:suppressLineNumbers w:val="0"/>
                    <w:tabs>
                      <w:tab w:val="left" w:pos="3052"/>
                    </w:tabs>
                    <w:adjustRightInd w:val="0"/>
                    <w:snapToGrid w:val="0"/>
                    <w:spacing w:before="0" w:beforeAutospacing="0" w:after="0" w:afterAutospacing="0" w:line="240" w:lineRule="auto"/>
                    <w:ind w:left="0" w:leftChars="0" w:right="0" w:rightChars="0"/>
                    <w:jc w:val="center"/>
                    <w:textAlignment w:val="baseline"/>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新增</w:t>
                  </w:r>
                </w:p>
              </w:tc>
            </w:tr>
            <w:tr w14:paraId="218609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50" w:type="pct"/>
                  <w:vMerge w:val="continue"/>
                  <w:noWrap w:val="0"/>
                  <w:tcMar>
                    <w:left w:w="57" w:type="dxa"/>
                    <w:right w:w="57" w:type="dxa"/>
                  </w:tcMar>
                  <w:vAlign w:val="center"/>
                </w:tcPr>
                <w:p w14:paraId="07206C41">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p>
              </w:tc>
              <w:tc>
                <w:tcPr>
                  <w:tcW w:w="410" w:type="pct"/>
                  <w:noWrap w:val="0"/>
                  <w:tcMar>
                    <w:left w:w="57" w:type="dxa"/>
                    <w:right w:w="57" w:type="dxa"/>
                  </w:tcMar>
                  <w:vAlign w:val="center"/>
                </w:tcPr>
                <w:p w14:paraId="7E281320">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废水</w:t>
                  </w:r>
                </w:p>
              </w:tc>
              <w:tc>
                <w:tcPr>
                  <w:tcW w:w="1059" w:type="pct"/>
                  <w:noWrap w:val="0"/>
                  <w:tcMar>
                    <w:left w:w="57" w:type="dxa"/>
                    <w:right w:w="57" w:type="dxa"/>
                  </w:tcMar>
                  <w:vAlign w:val="center"/>
                </w:tcPr>
                <w:p w14:paraId="4E0B3017">
                  <w:pPr>
                    <w:keepNext w:val="0"/>
                    <w:keepLines w:val="0"/>
                    <w:suppressLineNumbers w:val="0"/>
                    <w:spacing w:before="0" w:beforeAutospacing="0" w:after="0" w:afterAutospacing="0" w:line="240" w:lineRule="auto"/>
                    <w:ind w:left="0" w:right="0"/>
                    <w:rPr>
                      <w:rFonts w:hint="default" w:ascii="Times New Roman" w:hAnsi="Times New Roman" w:cs="Times New Roman"/>
                      <w:bCs/>
                      <w:szCs w:val="21"/>
                    </w:rPr>
                  </w:pPr>
                  <w:r>
                    <w:rPr>
                      <w:rFonts w:hint="eastAsia" w:ascii="Times New Roman" w:hAnsi="Times New Roman" w:eastAsia="宋体" w:cs="Times New Roman"/>
                      <w:color w:val="auto"/>
                      <w:sz w:val="21"/>
                      <w:szCs w:val="21"/>
                      <w:highlight w:val="none"/>
                      <w:lang w:val="en-US" w:eastAsia="zh-CN"/>
                    </w:rPr>
                    <w:t>无生产废水</w:t>
                  </w:r>
                  <w:r>
                    <w:rPr>
                      <w:rFonts w:hint="default" w:ascii="Times New Roman" w:hAnsi="Times New Roman" w:eastAsia="宋体" w:cs="Times New Roman"/>
                      <w:color w:val="auto"/>
                      <w:sz w:val="21"/>
                      <w:szCs w:val="21"/>
                      <w:highlight w:val="none"/>
                      <w:lang w:val="en-US" w:eastAsia="zh-CN"/>
                    </w:rPr>
                    <w:t>；生活</w:t>
                  </w:r>
                  <w:r>
                    <w:rPr>
                      <w:rFonts w:hint="eastAsia" w:ascii="Times New Roman" w:hAnsi="Times New Roman" w:eastAsia="宋体" w:cs="Times New Roman"/>
                      <w:color w:val="auto"/>
                      <w:sz w:val="21"/>
                      <w:szCs w:val="21"/>
                      <w:highlight w:val="none"/>
                      <w:lang w:val="en-US" w:eastAsia="zh-CN"/>
                    </w:rPr>
                    <w:t>废水经厂区化粪池处理后排入园区污水处理厂集中处理</w:t>
                  </w:r>
                </w:p>
              </w:tc>
              <w:tc>
                <w:tcPr>
                  <w:tcW w:w="1059" w:type="pct"/>
                  <w:noWrap w:val="0"/>
                  <w:tcMar>
                    <w:left w:w="57" w:type="dxa"/>
                    <w:right w:w="57" w:type="dxa"/>
                  </w:tcMar>
                  <w:vAlign w:val="center"/>
                </w:tcPr>
                <w:p w14:paraId="32639040">
                  <w:pPr>
                    <w:keepNext w:val="0"/>
                    <w:keepLines w:val="0"/>
                    <w:suppressLineNumbers w:val="0"/>
                    <w:spacing w:before="0" w:beforeAutospacing="0" w:after="0" w:afterAutospacing="0" w:line="240" w:lineRule="auto"/>
                    <w:ind w:left="0" w:right="0"/>
                    <w:jc w:val="both"/>
                    <w:rPr>
                      <w:rFonts w:hint="eastAsia" w:ascii="Times New Roman" w:hAnsi="Times New Roman" w:eastAsia="宋体" w:cs="Times New Roman"/>
                      <w:szCs w:val="21"/>
                      <w:lang w:val="en-US" w:eastAsia="zh-CN"/>
                    </w:rPr>
                  </w:pPr>
                  <w:r>
                    <w:rPr>
                      <w:rFonts w:hint="eastAsia" w:cs="Times New Roman"/>
                      <w:color w:val="auto"/>
                      <w:sz w:val="21"/>
                      <w:szCs w:val="21"/>
                      <w:highlight w:val="none"/>
                      <w:lang w:val="en-US" w:eastAsia="zh-CN"/>
                    </w:rPr>
                    <w:t>无生产废水；</w:t>
                  </w:r>
                  <w:r>
                    <w:rPr>
                      <w:rFonts w:hint="eastAsia" w:ascii="Times New Roman" w:hAnsi="Times New Roman" w:eastAsia="宋体" w:cs="Times New Roman"/>
                      <w:color w:val="auto"/>
                      <w:sz w:val="21"/>
                      <w:szCs w:val="21"/>
                      <w:highlight w:val="none"/>
                      <w:lang w:val="en-US" w:eastAsia="zh-CN"/>
                    </w:rPr>
                    <w:t>无新增劳动定员，无新增生活污水。</w:t>
                  </w:r>
                </w:p>
              </w:tc>
              <w:tc>
                <w:tcPr>
                  <w:tcW w:w="1059" w:type="pct"/>
                  <w:noWrap w:val="0"/>
                  <w:tcMar>
                    <w:left w:w="57" w:type="dxa"/>
                    <w:right w:w="57" w:type="dxa"/>
                  </w:tcMar>
                  <w:vAlign w:val="center"/>
                </w:tcPr>
                <w:p w14:paraId="0C8CCC2A">
                  <w:pPr>
                    <w:keepNext w:val="0"/>
                    <w:keepLines w:val="0"/>
                    <w:suppressLineNumbers w:val="0"/>
                    <w:spacing w:before="0" w:beforeAutospacing="0" w:after="0" w:afterAutospacing="0" w:line="240" w:lineRule="auto"/>
                    <w:ind w:left="0" w:right="0"/>
                    <w:rPr>
                      <w:rFonts w:hint="default" w:ascii="Times New Roman" w:hAnsi="Times New Roman" w:cs="Times New Roman"/>
                      <w:bCs/>
                      <w:szCs w:val="21"/>
                    </w:rPr>
                  </w:pPr>
                  <w:r>
                    <w:rPr>
                      <w:rFonts w:hint="eastAsia" w:cs="Times New Roman"/>
                      <w:color w:val="auto"/>
                      <w:sz w:val="21"/>
                      <w:szCs w:val="21"/>
                      <w:highlight w:val="none"/>
                      <w:lang w:val="en-US" w:eastAsia="zh-CN"/>
                    </w:rPr>
                    <w:t>无生产废水；</w:t>
                  </w:r>
                  <w:r>
                    <w:rPr>
                      <w:rFonts w:hint="default" w:ascii="Times New Roman" w:hAnsi="Times New Roman" w:eastAsia="宋体" w:cs="Times New Roman"/>
                      <w:color w:val="auto"/>
                      <w:sz w:val="21"/>
                      <w:szCs w:val="21"/>
                      <w:highlight w:val="none"/>
                      <w:lang w:val="en-US" w:eastAsia="zh-CN"/>
                    </w:rPr>
                    <w:t>生活</w:t>
                  </w:r>
                  <w:r>
                    <w:rPr>
                      <w:rFonts w:hint="eastAsia" w:ascii="Times New Roman" w:hAnsi="Times New Roman" w:eastAsia="宋体" w:cs="Times New Roman"/>
                      <w:color w:val="auto"/>
                      <w:sz w:val="21"/>
                      <w:szCs w:val="21"/>
                      <w:highlight w:val="none"/>
                      <w:lang w:val="en-US" w:eastAsia="zh-CN"/>
                    </w:rPr>
                    <w:t>废水经厂区化粪池处理后排入园区污水处理厂集中处理</w:t>
                  </w:r>
                </w:p>
              </w:tc>
              <w:tc>
                <w:tcPr>
                  <w:tcW w:w="1059" w:type="pct"/>
                  <w:noWrap w:val="0"/>
                  <w:tcMar>
                    <w:left w:w="57" w:type="dxa"/>
                    <w:right w:w="57" w:type="dxa"/>
                  </w:tcMar>
                  <w:vAlign w:val="center"/>
                </w:tcPr>
                <w:p w14:paraId="0AF6C5EE">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不变</w:t>
                  </w:r>
                </w:p>
              </w:tc>
            </w:tr>
            <w:tr w14:paraId="29C426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0" w:hRule="atLeast"/>
                <w:jc w:val="center"/>
              </w:trPr>
              <w:tc>
                <w:tcPr>
                  <w:tcW w:w="350" w:type="pct"/>
                  <w:vMerge w:val="continue"/>
                  <w:noWrap w:val="0"/>
                  <w:tcMar>
                    <w:left w:w="57" w:type="dxa"/>
                    <w:right w:w="57" w:type="dxa"/>
                  </w:tcMar>
                  <w:vAlign w:val="center"/>
                </w:tcPr>
                <w:p w14:paraId="28183F0E">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p>
              </w:tc>
              <w:tc>
                <w:tcPr>
                  <w:tcW w:w="410" w:type="pct"/>
                  <w:noWrap w:val="0"/>
                  <w:tcMar>
                    <w:left w:w="57" w:type="dxa"/>
                    <w:right w:w="57" w:type="dxa"/>
                  </w:tcMar>
                  <w:vAlign w:val="center"/>
                </w:tcPr>
                <w:p w14:paraId="08584930">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噪声</w:t>
                  </w:r>
                </w:p>
              </w:tc>
              <w:tc>
                <w:tcPr>
                  <w:tcW w:w="1059" w:type="pct"/>
                  <w:noWrap w:val="0"/>
                  <w:tcMar>
                    <w:left w:w="57" w:type="dxa"/>
                    <w:right w:w="57" w:type="dxa"/>
                  </w:tcMar>
                  <w:vAlign w:val="center"/>
                </w:tcPr>
                <w:p w14:paraId="61063185">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Cs w:val="21"/>
                      <w:lang w:val="en-US" w:eastAsia="zh-CN"/>
                    </w:rPr>
                  </w:pPr>
                  <w:r>
                    <w:rPr>
                      <w:rFonts w:hint="default" w:ascii="Times New Roman" w:hAnsi="Times New Roman" w:eastAsia="宋体" w:cs="Times New Roman"/>
                      <w:color w:val="auto"/>
                      <w:sz w:val="21"/>
                      <w:szCs w:val="21"/>
                      <w:highlight w:val="none"/>
                      <w:lang w:val="en-US" w:eastAsia="zh-CN"/>
                    </w:rPr>
                    <w:t>选用低噪声设备，设备加减振装置等措施，布局合理，高噪声设备远离厂界</w:t>
                  </w:r>
                </w:p>
              </w:tc>
              <w:tc>
                <w:tcPr>
                  <w:tcW w:w="1059" w:type="pct"/>
                  <w:noWrap w:val="0"/>
                  <w:tcMar>
                    <w:left w:w="57" w:type="dxa"/>
                    <w:right w:w="57" w:type="dxa"/>
                  </w:tcMar>
                  <w:vAlign w:val="center"/>
                </w:tcPr>
                <w:p w14:paraId="7BFBCDE8">
                  <w:pPr>
                    <w:keepNext w:val="0"/>
                    <w:keepLines w:val="0"/>
                    <w:suppressLineNumbers w:val="0"/>
                    <w:spacing w:before="0" w:beforeAutospacing="0" w:after="0" w:afterAutospacing="0" w:line="240" w:lineRule="auto"/>
                    <w:ind w:left="0" w:right="0"/>
                    <w:rPr>
                      <w:rFonts w:hint="default" w:ascii="Times New Roman" w:hAnsi="Times New Roman" w:cs="Times New Roman"/>
                      <w:szCs w:val="21"/>
                      <w:lang w:val="en-US"/>
                    </w:rPr>
                  </w:pPr>
                  <w:r>
                    <w:rPr>
                      <w:rFonts w:hint="default" w:ascii="Times New Roman" w:hAnsi="Times New Roman" w:eastAsia="宋体" w:cs="Times New Roman"/>
                      <w:color w:val="auto"/>
                      <w:sz w:val="21"/>
                      <w:szCs w:val="21"/>
                      <w:highlight w:val="none"/>
                      <w:lang w:val="en-US" w:eastAsia="zh-CN"/>
                    </w:rPr>
                    <w:t>选用低噪声设备，设备加减振装置等措施，布局合理，高噪声设备远离厂界</w:t>
                  </w:r>
                  <w:r>
                    <w:rPr>
                      <w:rFonts w:hint="eastAsia" w:cs="Times New Roman"/>
                      <w:color w:val="auto"/>
                      <w:sz w:val="21"/>
                      <w:szCs w:val="21"/>
                      <w:highlight w:val="none"/>
                      <w:lang w:val="en-US" w:eastAsia="zh-CN"/>
                    </w:rPr>
                    <w:t>，风机加装隔音罩，洁净车间二次密闭</w:t>
                  </w:r>
                </w:p>
              </w:tc>
              <w:tc>
                <w:tcPr>
                  <w:tcW w:w="1059" w:type="pct"/>
                  <w:noWrap w:val="0"/>
                  <w:tcMar>
                    <w:left w:w="57" w:type="dxa"/>
                    <w:right w:w="57" w:type="dxa"/>
                  </w:tcMar>
                  <w:vAlign w:val="center"/>
                </w:tcPr>
                <w:p w14:paraId="27FCA43F">
                  <w:pPr>
                    <w:keepNext w:val="0"/>
                    <w:keepLines w:val="0"/>
                    <w:suppressLineNumbers w:val="0"/>
                    <w:spacing w:before="0" w:beforeAutospacing="0" w:after="0" w:afterAutospacing="0" w:line="240" w:lineRule="auto"/>
                    <w:ind w:left="0" w:right="0"/>
                    <w:rPr>
                      <w:rFonts w:hint="default" w:ascii="Times New Roman" w:hAnsi="Times New Roman" w:cs="Times New Roman"/>
                      <w:szCs w:val="21"/>
                      <w:lang w:val="en-US"/>
                    </w:rPr>
                  </w:pPr>
                  <w:r>
                    <w:rPr>
                      <w:rFonts w:hint="default" w:ascii="Times New Roman" w:hAnsi="Times New Roman" w:eastAsia="宋体" w:cs="Times New Roman"/>
                      <w:color w:val="auto"/>
                      <w:sz w:val="21"/>
                      <w:szCs w:val="21"/>
                      <w:highlight w:val="none"/>
                      <w:lang w:val="en-US" w:eastAsia="zh-CN"/>
                    </w:rPr>
                    <w:t>选用低噪声设备，设备加减振装置等措施，布局合理，高噪声设备远离厂界</w:t>
                  </w:r>
                  <w:r>
                    <w:rPr>
                      <w:rFonts w:hint="eastAsia" w:cs="Times New Roman"/>
                      <w:color w:val="auto"/>
                      <w:sz w:val="21"/>
                      <w:szCs w:val="21"/>
                      <w:highlight w:val="none"/>
                      <w:lang w:val="en-US" w:eastAsia="zh-CN"/>
                    </w:rPr>
                    <w:t>，风机加装隔音罩，洁净车间二次密闭</w:t>
                  </w:r>
                </w:p>
              </w:tc>
              <w:tc>
                <w:tcPr>
                  <w:tcW w:w="1059" w:type="pct"/>
                  <w:noWrap w:val="0"/>
                  <w:tcMar>
                    <w:left w:w="57" w:type="dxa"/>
                    <w:right w:w="57" w:type="dxa"/>
                  </w:tcMar>
                  <w:vAlign w:val="center"/>
                </w:tcPr>
                <w:p w14:paraId="02421A65">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选用低噪声设备，设备加减振装置等措施，布局合理，高噪声设备远离厂界</w:t>
                  </w:r>
                  <w:r>
                    <w:rPr>
                      <w:rFonts w:hint="eastAsia" w:cs="Times New Roman"/>
                      <w:color w:val="auto"/>
                      <w:sz w:val="21"/>
                      <w:szCs w:val="21"/>
                      <w:highlight w:val="none"/>
                      <w:lang w:val="en-US" w:eastAsia="zh-CN"/>
                    </w:rPr>
                    <w:t>，风机加装隔音罩，洁净车间二次密闭</w:t>
                  </w:r>
                </w:p>
              </w:tc>
            </w:tr>
            <w:tr w14:paraId="22C303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50" w:type="pct"/>
                  <w:vMerge w:val="continue"/>
                  <w:noWrap w:val="0"/>
                  <w:tcMar>
                    <w:left w:w="57" w:type="dxa"/>
                    <w:right w:w="57" w:type="dxa"/>
                  </w:tcMar>
                  <w:vAlign w:val="center"/>
                </w:tcPr>
                <w:p w14:paraId="68392307">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p>
              </w:tc>
              <w:tc>
                <w:tcPr>
                  <w:tcW w:w="410" w:type="pct"/>
                  <w:noWrap w:val="0"/>
                  <w:tcMar>
                    <w:left w:w="57" w:type="dxa"/>
                    <w:right w:w="57" w:type="dxa"/>
                  </w:tcMar>
                  <w:vAlign w:val="center"/>
                </w:tcPr>
                <w:p w14:paraId="44A2BB03">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固废</w:t>
                  </w:r>
                </w:p>
              </w:tc>
              <w:tc>
                <w:tcPr>
                  <w:tcW w:w="1059" w:type="pct"/>
                  <w:noWrap w:val="0"/>
                  <w:tcMar>
                    <w:left w:w="57" w:type="dxa"/>
                    <w:right w:w="57" w:type="dxa"/>
                  </w:tcMar>
                  <w:vAlign w:val="center"/>
                </w:tcPr>
                <w:p w14:paraId="781D5DD0">
                  <w:pPr>
                    <w:keepNext w:val="0"/>
                    <w:keepLines w:val="0"/>
                    <w:suppressLineNumbers w:val="0"/>
                    <w:spacing w:before="0" w:beforeAutospacing="0" w:after="0" w:afterAutospacing="0" w:line="240" w:lineRule="auto"/>
                    <w:ind w:left="0" w:right="0"/>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 w:val="21"/>
                      <w:szCs w:val="21"/>
                      <w:highlight w:val="none"/>
                      <w:lang w:val="en-US" w:eastAsia="zh-CN"/>
                    </w:rPr>
                    <w:t>分切过程中产生的废边角料经收集后外售；废</w:t>
                  </w:r>
                  <w:r>
                    <w:rPr>
                      <w:rFonts w:hint="eastAsia" w:cs="Times New Roman"/>
                      <w:color w:val="auto"/>
                      <w:sz w:val="21"/>
                      <w:szCs w:val="21"/>
                      <w:highlight w:val="none"/>
                      <w:lang w:val="en-US" w:eastAsia="zh-CN"/>
                    </w:rPr>
                    <w:t>水性</w:t>
                  </w:r>
                  <w:r>
                    <w:rPr>
                      <w:rFonts w:hint="eastAsia" w:ascii="Times New Roman" w:hAnsi="Times New Roman" w:eastAsia="宋体" w:cs="Times New Roman"/>
                      <w:color w:val="auto"/>
                      <w:sz w:val="21"/>
                      <w:szCs w:val="21"/>
                      <w:highlight w:val="none"/>
                      <w:lang w:val="en-US" w:eastAsia="zh-CN"/>
                    </w:rPr>
                    <w:t>油墨桶、废胶粘剂桶、废活性炭暂存于危废间，由有资质单位处理；</w:t>
                  </w:r>
                  <w:r>
                    <w:rPr>
                      <w:rFonts w:hint="default" w:ascii="Times New Roman" w:hAnsi="Times New Roman" w:eastAsia="宋体" w:cs="Times New Roman"/>
                      <w:color w:val="auto"/>
                      <w:sz w:val="21"/>
                      <w:szCs w:val="21"/>
                      <w:highlight w:val="none"/>
                      <w:lang w:val="en-US" w:eastAsia="zh-CN"/>
                    </w:rPr>
                    <w:t>生活垃圾由</w:t>
                  </w:r>
                  <w:r>
                    <w:rPr>
                      <w:rFonts w:hint="eastAsia" w:ascii="Times New Roman" w:hAnsi="Times New Roman" w:eastAsia="宋体" w:cs="Times New Roman"/>
                      <w:color w:val="auto"/>
                      <w:sz w:val="21"/>
                      <w:szCs w:val="21"/>
                      <w:highlight w:val="none"/>
                      <w:lang w:val="en-US" w:eastAsia="zh-CN"/>
                    </w:rPr>
                    <w:t>环卫部门定期清运</w:t>
                  </w:r>
                  <w:r>
                    <w:rPr>
                      <w:rFonts w:hint="default" w:ascii="Times New Roman" w:hAnsi="Times New Roman" w:eastAsia="宋体" w:cs="Times New Roman"/>
                      <w:color w:val="auto"/>
                      <w:sz w:val="21"/>
                      <w:szCs w:val="21"/>
                      <w:highlight w:val="none"/>
                      <w:lang w:val="en-US" w:eastAsia="zh-CN"/>
                    </w:rPr>
                    <w:t>。</w:t>
                  </w:r>
                </w:p>
              </w:tc>
              <w:tc>
                <w:tcPr>
                  <w:tcW w:w="1059" w:type="pct"/>
                  <w:noWrap w:val="0"/>
                  <w:tcMar>
                    <w:left w:w="57" w:type="dxa"/>
                    <w:right w:w="57" w:type="dxa"/>
                  </w:tcMar>
                  <w:vAlign w:val="center"/>
                </w:tcPr>
                <w:p w14:paraId="68AB7940">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 w:val="21"/>
                      <w:szCs w:val="21"/>
                      <w:highlight w:val="none"/>
                      <w:lang w:val="en-US" w:eastAsia="zh-CN"/>
                    </w:rPr>
                    <w:t>印刷工序产生的废纯水桶，分切、检验过程中产生的废边角料与不合格品经收集后外售；废水性油墨桶、废胶粘剂桶、废抹布、废活性炭</w:t>
                  </w:r>
                  <w:r>
                    <w:rPr>
                      <w:rFonts w:hint="eastAsia" w:cs="Times New Roman"/>
                      <w:color w:val="auto"/>
                      <w:sz w:val="21"/>
                      <w:szCs w:val="21"/>
                      <w:highlight w:val="none"/>
                      <w:lang w:val="en-US" w:eastAsia="zh-CN"/>
                    </w:rPr>
                    <w:t>、废过滤介质</w:t>
                  </w:r>
                  <w:r>
                    <w:rPr>
                      <w:rFonts w:hint="eastAsia" w:ascii="Times New Roman" w:hAnsi="Times New Roman" w:eastAsia="宋体" w:cs="Times New Roman"/>
                      <w:color w:val="auto"/>
                      <w:sz w:val="21"/>
                      <w:szCs w:val="21"/>
                      <w:highlight w:val="none"/>
                      <w:lang w:val="en-US" w:eastAsia="zh-CN"/>
                    </w:rPr>
                    <w:t>暂存于危废间，由有资质单位处理</w:t>
                  </w:r>
                  <w:r>
                    <w:rPr>
                      <w:rFonts w:hint="default" w:ascii="Times New Roman" w:hAnsi="Times New Roman" w:eastAsia="宋体" w:cs="Times New Roman"/>
                      <w:color w:val="auto"/>
                      <w:sz w:val="21"/>
                      <w:szCs w:val="21"/>
                      <w:highlight w:val="none"/>
                      <w:lang w:val="en-US" w:eastAsia="zh-CN"/>
                    </w:rPr>
                    <w:t>。</w:t>
                  </w:r>
                </w:p>
              </w:tc>
              <w:tc>
                <w:tcPr>
                  <w:tcW w:w="1059" w:type="pct"/>
                  <w:noWrap w:val="0"/>
                  <w:tcMar>
                    <w:left w:w="57" w:type="dxa"/>
                    <w:right w:w="57" w:type="dxa"/>
                  </w:tcMar>
                  <w:vAlign w:val="center"/>
                </w:tcPr>
                <w:p w14:paraId="1AB901D6">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 w:val="21"/>
                      <w:szCs w:val="21"/>
                      <w:highlight w:val="none"/>
                      <w:lang w:val="en-US" w:eastAsia="zh-CN"/>
                    </w:rPr>
                    <w:t>印刷工序产生的废纯水桶，分切、检验过程中产生的废边角料与不合格品经收集后外售；废水性油墨桶、废胶粘剂桶、废抹布、废活性炭</w:t>
                  </w:r>
                  <w:r>
                    <w:rPr>
                      <w:rFonts w:hint="eastAsia" w:cs="Times New Roman"/>
                      <w:color w:val="auto"/>
                      <w:sz w:val="21"/>
                      <w:szCs w:val="21"/>
                      <w:highlight w:val="none"/>
                      <w:lang w:val="en-US" w:eastAsia="zh-CN"/>
                    </w:rPr>
                    <w:t>、废过滤介质</w:t>
                  </w:r>
                  <w:r>
                    <w:rPr>
                      <w:rFonts w:hint="eastAsia" w:ascii="Times New Roman" w:hAnsi="Times New Roman" w:eastAsia="宋体" w:cs="Times New Roman"/>
                      <w:color w:val="auto"/>
                      <w:sz w:val="21"/>
                      <w:szCs w:val="21"/>
                      <w:highlight w:val="none"/>
                      <w:lang w:val="en-US" w:eastAsia="zh-CN"/>
                    </w:rPr>
                    <w:t>暂存于危废间，由有资质单位处理；</w:t>
                  </w:r>
                  <w:r>
                    <w:rPr>
                      <w:rFonts w:hint="default" w:ascii="Times New Roman" w:hAnsi="Times New Roman" w:eastAsia="宋体" w:cs="Times New Roman"/>
                      <w:color w:val="auto"/>
                      <w:sz w:val="21"/>
                      <w:szCs w:val="21"/>
                      <w:highlight w:val="none"/>
                      <w:lang w:val="en-US" w:eastAsia="zh-CN"/>
                    </w:rPr>
                    <w:t>生活垃圾由</w:t>
                  </w:r>
                  <w:r>
                    <w:rPr>
                      <w:rFonts w:hint="eastAsia" w:ascii="Times New Roman" w:hAnsi="Times New Roman" w:eastAsia="宋体" w:cs="Times New Roman"/>
                      <w:color w:val="auto"/>
                      <w:sz w:val="21"/>
                      <w:szCs w:val="21"/>
                      <w:highlight w:val="none"/>
                      <w:lang w:val="en-US" w:eastAsia="zh-CN"/>
                    </w:rPr>
                    <w:t>环卫部门定期清运</w:t>
                  </w:r>
                  <w:r>
                    <w:rPr>
                      <w:rFonts w:hint="default" w:ascii="Times New Roman" w:hAnsi="Times New Roman" w:eastAsia="宋体" w:cs="Times New Roman"/>
                      <w:color w:val="auto"/>
                      <w:sz w:val="21"/>
                      <w:szCs w:val="21"/>
                      <w:highlight w:val="none"/>
                      <w:lang w:val="en-US" w:eastAsia="zh-CN"/>
                    </w:rPr>
                    <w:t>。</w:t>
                  </w:r>
                </w:p>
              </w:tc>
              <w:tc>
                <w:tcPr>
                  <w:tcW w:w="1059" w:type="pct"/>
                  <w:noWrap w:val="0"/>
                  <w:tcMar>
                    <w:left w:w="57" w:type="dxa"/>
                    <w:right w:w="57" w:type="dxa"/>
                  </w:tcMar>
                  <w:vAlign w:val="center"/>
                </w:tcPr>
                <w:p w14:paraId="0A325349">
                  <w:pPr>
                    <w:keepNext w:val="0"/>
                    <w:keepLines w:val="0"/>
                    <w:suppressLineNumbers w:val="0"/>
                    <w:spacing w:before="0" w:beforeAutospacing="0" w:after="0" w:afterAutospacing="0" w:line="240" w:lineRule="auto"/>
                    <w:ind w:left="0" w:right="0"/>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印刷工序产生的废纯水桶，分切、检验过程中产生的废边角料与不合格品经收集后外售；废水性油墨桶、废胶粘剂桶、废抹布、废活性炭</w:t>
                  </w:r>
                  <w:r>
                    <w:rPr>
                      <w:rFonts w:hint="eastAsia" w:cs="Times New Roman"/>
                      <w:color w:val="auto"/>
                      <w:sz w:val="21"/>
                      <w:szCs w:val="21"/>
                      <w:highlight w:val="none"/>
                      <w:lang w:val="en-US" w:eastAsia="zh-CN"/>
                    </w:rPr>
                    <w:t>、废过滤介质</w:t>
                  </w:r>
                  <w:r>
                    <w:rPr>
                      <w:rFonts w:hint="eastAsia" w:ascii="Times New Roman" w:hAnsi="Times New Roman" w:eastAsia="宋体" w:cs="Times New Roman"/>
                      <w:color w:val="auto"/>
                      <w:sz w:val="21"/>
                      <w:szCs w:val="21"/>
                      <w:highlight w:val="none"/>
                      <w:lang w:val="en-US" w:eastAsia="zh-CN"/>
                    </w:rPr>
                    <w:t>暂存于危废间，由有资质单位处理</w:t>
                  </w:r>
                  <w:r>
                    <w:rPr>
                      <w:rFonts w:hint="default" w:ascii="Times New Roman" w:hAnsi="Times New Roman" w:eastAsia="宋体" w:cs="Times New Roman"/>
                      <w:color w:val="auto"/>
                      <w:sz w:val="21"/>
                      <w:szCs w:val="21"/>
                      <w:highlight w:val="none"/>
                      <w:lang w:val="en-US" w:eastAsia="zh-CN"/>
                    </w:rPr>
                    <w:t>。</w:t>
                  </w:r>
                </w:p>
              </w:tc>
            </w:tr>
          </w:tbl>
          <w:p w14:paraId="69A3C303">
            <w:pPr>
              <w:keepNext w:val="0"/>
              <w:keepLines w:val="0"/>
              <w:suppressLineNumbers w:val="0"/>
              <w:spacing w:before="0" w:beforeAutospacing="0" w:after="0" w:afterAutospacing="0" w:line="440" w:lineRule="exact"/>
              <w:ind w:left="0" w:right="0"/>
              <w:rPr>
                <w:rFonts w:hint="default" w:ascii="Times New Roman" w:hAnsi="Times New Roman" w:cs="Times New Roman"/>
                <w:b/>
                <w:sz w:val="24"/>
              </w:rPr>
            </w:pPr>
            <w:r>
              <w:rPr>
                <w:rFonts w:hint="eastAsia" w:ascii="Times New Roman" w:hAnsi="Times New Roman" w:cs="Times New Roman"/>
                <w:b/>
                <w:sz w:val="24"/>
                <w:lang w:val="en-US" w:eastAsia="zh-CN"/>
              </w:rPr>
              <w:t>3</w:t>
            </w:r>
            <w:r>
              <w:rPr>
                <w:rFonts w:hint="default" w:ascii="Times New Roman" w:hAnsi="Times New Roman" w:cs="Times New Roman"/>
                <w:b/>
                <w:sz w:val="24"/>
              </w:rPr>
              <w:t>、主要</w:t>
            </w:r>
            <w:r>
              <w:rPr>
                <w:rFonts w:hint="eastAsia" w:ascii="Times New Roman" w:hAnsi="Times New Roman" w:cs="Times New Roman"/>
                <w:b/>
                <w:sz w:val="24"/>
              </w:rPr>
              <w:t>生产单元、主要工艺及生产设施名称</w:t>
            </w:r>
          </w:p>
          <w:p w14:paraId="0D23F8A4">
            <w:pPr>
              <w:keepNext w:val="0"/>
              <w:keepLines w:val="0"/>
              <w:pageBreakBefore w:val="0"/>
              <w:widowControl w:val="0"/>
              <w:suppressLineNumbers w:val="0"/>
              <w:kinsoku/>
              <w:wordWrap/>
              <w:overflowPunct/>
              <w:topLinePunct w:val="0"/>
              <w:autoSpaceDE/>
              <w:autoSpaceDN/>
              <w:bidi w:val="0"/>
              <w:adjustRightInd/>
              <w:snapToGrid/>
              <w:spacing w:before="0" w:beforeAutospacing="0" w:after="157" w:afterLines="50" w:afterAutospacing="0" w:line="440" w:lineRule="exact"/>
              <w:ind w:left="0" w:right="0" w:firstLine="480" w:firstLineChars="200"/>
              <w:textAlignment w:val="auto"/>
              <w:rPr>
                <w:rFonts w:hint="default" w:ascii="Times New Roman" w:hAnsi="Times New Roman" w:cs="Times New Roman"/>
                <w:sz w:val="24"/>
              </w:rPr>
            </w:pPr>
            <w:r>
              <w:rPr>
                <w:rFonts w:hint="default" w:ascii="Times New Roman" w:hAnsi="Times New Roman" w:cs="Times New Roman"/>
                <w:sz w:val="24"/>
              </w:rPr>
              <w:t>项目主要生产设</w:t>
            </w:r>
            <w:r>
              <w:rPr>
                <w:rFonts w:hint="eastAsia" w:ascii="Times New Roman" w:hAnsi="Times New Roman" w:cs="Times New Roman"/>
                <w:sz w:val="24"/>
                <w:lang w:val="en-US" w:eastAsia="zh-CN"/>
              </w:rPr>
              <w:t>备</w:t>
            </w:r>
            <w:r>
              <w:rPr>
                <w:rFonts w:hint="default" w:ascii="Times New Roman" w:hAnsi="Times New Roman" w:cs="Times New Roman"/>
                <w:sz w:val="24"/>
              </w:rPr>
              <w:t>见</w:t>
            </w:r>
            <w:r>
              <w:rPr>
                <w:rFonts w:hint="eastAsia" w:ascii="Times New Roman" w:hAnsi="Times New Roman" w:cs="Times New Roman"/>
                <w:sz w:val="24"/>
              </w:rPr>
              <w:t>下</w:t>
            </w:r>
            <w:r>
              <w:rPr>
                <w:rFonts w:hint="default" w:ascii="Times New Roman" w:hAnsi="Times New Roman" w:cs="Times New Roman"/>
                <w:sz w:val="24"/>
              </w:rPr>
              <w:t>表</w:t>
            </w:r>
            <w:r>
              <w:rPr>
                <w:rFonts w:hint="eastAsia" w:ascii="Times New Roman" w:hAnsi="Times New Roman" w:cs="Times New Roman"/>
                <w:sz w:val="24"/>
              </w:rPr>
              <w:t>。</w:t>
            </w:r>
          </w:p>
          <w:p w14:paraId="598D6F9B">
            <w:pPr>
              <w:keepNext w:val="0"/>
              <w:keepLines w:val="0"/>
              <w:suppressLineNumbers w:val="0"/>
              <w:spacing w:before="157" w:beforeLines="50" w:beforeAutospacing="0" w:after="0" w:afterAutospacing="0" w:line="240" w:lineRule="auto"/>
              <w:ind w:left="0" w:right="0" w:firstLine="422" w:firstLineChars="200"/>
              <w:jc w:val="center"/>
              <w:rPr>
                <w:rFonts w:hint="eastAsia" w:ascii="Times New Roman" w:hAnsi="Times New Roman" w:eastAsia="宋体" w:cs="Times New Roman"/>
                <w:b/>
                <w:bCs/>
                <w:color w:val="000000"/>
                <w:kern w:val="0"/>
                <w:sz w:val="21"/>
                <w:szCs w:val="21"/>
                <w:lang w:val="en-US" w:eastAsia="zh-CN" w:bidi="ar-SA"/>
              </w:rPr>
            </w:pPr>
          </w:p>
          <w:p w14:paraId="6BEA17F0">
            <w:pPr>
              <w:keepNext w:val="0"/>
              <w:keepLines w:val="0"/>
              <w:suppressLineNumbers w:val="0"/>
              <w:spacing w:before="157" w:beforeLines="50" w:beforeAutospacing="0" w:after="0" w:afterAutospacing="0" w:line="240" w:lineRule="auto"/>
              <w:ind w:left="0" w:right="0" w:firstLine="422" w:firstLineChars="200"/>
              <w:jc w:val="center"/>
              <w:rPr>
                <w:rFonts w:hint="eastAsia" w:ascii="Times New Roman" w:hAnsi="Times New Roman" w:eastAsia="宋体" w:cs="Times New Roman"/>
                <w:b/>
                <w:bCs/>
                <w:color w:val="000000"/>
                <w:kern w:val="0"/>
                <w:sz w:val="21"/>
                <w:szCs w:val="21"/>
                <w:lang w:val="en-US" w:eastAsia="zh-CN" w:bidi="ar-SA"/>
              </w:rPr>
            </w:pPr>
          </w:p>
          <w:p w14:paraId="02C2E228">
            <w:pPr>
              <w:keepNext w:val="0"/>
              <w:keepLines w:val="0"/>
              <w:suppressLineNumbers w:val="0"/>
              <w:spacing w:before="157" w:beforeLines="50" w:beforeAutospacing="0" w:after="0" w:afterAutospacing="0" w:line="240" w:lineRule="auto"/>
              <w:ind w:left="0" w:right="0" w:firstLine="422" w:firstLineChars="200"/>
              <w:jc w:val="center"/>
              <w:rPr>
                <w:rFonts w:hint="eastAsia" w:ascii="Times New Roman" w:hAnsi="Times New Roman" w:eastAsia="宋体" w:cs="Times New Roman"/>
                <w:b/>
                <w:bCs/>
                <w:color w:val="000000"/>
                <w:kern w:val="0"/>
                <w:sz w:val="21"/>
                <w:szCs w:val="21"/>
                <w:lang w:val="en-US" w:eastAsia="zh-CN" w:bidi="ar-SA"/>
              </w:rPr>
            </w:pPr>
          </w:p>
          <w:p w14:paraId="531D68EA">
            <w:pPr>
              <w:keepNext w:val="0"/>
              <w:keepLines w:val="0"/>
              <w:suppressLineNumbers w:val="0"/>
              <w:spacing w:before="157" w:beforeLines="50" w:beforeAutospacing="0" w:after="0" w:afterAutospacing="0" w:line="240" w:lineRule="auto"/>
              <w:ind w:left="0" w:right="0" w:firstLine="422" w:firstLineChars="200"/>
              <w:jc w:val="center"/>
              <w:rPr>
                <w:rFonts w:hint="default" w:ascii="Times New Roman" w:hAnsi="Times New Roman" w:eastAsia="宋体" w:cs="Times New Roman"/>
                <w:b/>
                <w:sz w:val="21"/>
                <w:szCs w:val="21"/>
                <w:lang w:val="en-US" w:eastAsia="zh-CN"/>
              </w:rPr>
            </w:pPr>
            <w:r>
              <w:rPr>
                <w:rFonts w:hint="eastAsia" w:ascii="Times New Roman" w:hAnsi="Times New Roman" w:eastAsia="宋体" w:cs="Times New Roman"/>
                <w:b/>
                <w:bCs/>
                <w:color w:val="000000"/>
                <w:kern w:val="0"/>
                <w:sz w:val="21"/>
                <w:szCs w:val="21"/>
                <w:lang w:val="en-US" w:eastAsia="zh-CN" w:bidi="ar-SA"/>
              </w:rPr>
              <w:t>项目主要设备表</w:t>
            </w:r>
          </w:p>
          <w:tbl>
            <w:tblPr>
              <w:tblStyle w:val="38"/>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9"/>
              <w:gridCol w:w="1322"/>
              <w:gridCol w:w="1335"/>
              <w:gridCol w:w="1325"/>
              <w:gridCol w:w="1328"/>
              <w:gridCol w:w="1277"/>
              <w:gridCol w:w="1313"/>
            </w:tblGrid>
            <w:tr w14:paraId="0D6F43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 w:hRule="atLeast"/>
                <w:jc w:val="center"/>
              </w:trPr>
              <w:tc>
                <w:tcPr>
                  <w:tcW w:w="217" w:type="pct"/>
                  <w:vMerge w:val="restart"/>
                  <w:noWrap w:val="0"/>
                  <w:vAlign w:val="center"/>
                </w:tcPr>
                <w:p w14:paraId="2C8C3FBC">
                  <w:pPr>
                    <w:keepNext w:val="0"/>
                    <w:keepLines w:val="0"/>
                    <w:suppressLineNumbers w:val="0"/>
                    <w:spacing w:before="0" w:beforeAutospacing="0" w:after="0" w:afterAutospacing="0" w:line="360" w:lineRule="exact"/>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序号</w:t>
                  </w:r>
                </w:p>
              </w:tc>
              <w:tc>
                <w:tcPr>
                  <w:tcW w:w="800" w:type="pct"/>
                  <w:vMerge w:val="restart"/>
                  <w:noWrap w:val="0"/>
                  <w:vAlign w:val="center"/>
                </w:tcPr>
                <w:p w14:paraId="5377AC16">
                  <w:pPr>
                    <w:keepNext w:val="0"/>
                    <w:keepLines w:val="0"/>
                    <w:suppressLineNumbers w:val="0"/>
                    <w:spacing w:before="0" w:beforeAutospacing="0" w:after="0" w:afterAutospacing="0" w:line="360" w:lineRule="exact"/>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设备名称</w:t>
                  </w:r>
                </w:p>
              </w:tc>
              <w:tc>
                <w:tcPr>
                  <w:tcW w:w="808" w:type="pct"/>
                  <w:noWrap w:val="0"/>
                  <w:vAlign w:val="center"/>
                </w:tcPr>
                <w:p w14:paraId="0807E777">
                  <w:pPr>
                    <w:keepNext w:val="0"/>
                    <w:keepLines w:val="0"/>
                    <w:suppressLineNumbers w:val="0"/>
                    <w:spacing w:before="0" w:beforeAutospacing="0" w:after="0" w:afterAutospacing="0" w:line="360" w:lineRule="exact"/>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现有工程</w:t>
                  </w:r>
                </w:p>
              </w:tc>
              <w:tc>
                <w:tcPr>
                  <w:tcW w:w="802" w:type="pct"/>
                  <w:noWrap w:val="0"/>
                  <w:vAlign w:val="center"/>
                </w:tcPr>
                <w:p w14:paraId="3CCF3D26">
                  <w:pPr>
                    <w:keepNext w:val="0"/>
                    <w:keepLines w:val="0"/>
                    <w:suppressLineNumbers w:val="0"/>
                    <w:spacing w:before="0" w:beforeAutospacing="0" w:after="0" w:afterAutospacing="0" w:line="360" w:lineRule="exact"/>
                    <w:ind w:left="0" w:right="0"/>
                    <w:jc w:val="center"/>
                    <w:rPr>
                      <w:rFonts w:hint="default" w:ascii="Times New Roman" w:hAnsi="Times New Roman" w:eastAsia="宋体" w:cs="Times New Roman"/>
                      <w:bCs/>
                      <w:szCs w:val="21"/>
                      <w:lang w:val="en-US" w:eastAsia="zh-CN"/>
                    </w:rPr>
                  </w:pPr>
                  <w:r>
                    <w:rPr>
                      <w:rFonts w:hint="eastAsia" w:ascii="Times New Roman" w:hAnsi="Times New Roman" w:eastAsia="宋体" w:cs="Times New Roman"/>
                      <w:bCs/>
                      <w:szCs w:val="21"/>
                      <w:lang w:val="en-US" w:eastAsia="zh-CN"/>
                    </w:rPr>
                    <w:t>技改</w:t>
                  </w:r>
                  <w:r>
                    <w:rPr>
                      <w:rFonts w:hint="default" w:ascii="Times New Roman" w:hAnsi="Times New Roman" w:eastAsia="宋体" w:cs="Times New Roman"/>
                      <w:bCs/>
                      <w:szCs w:val="21"/>
                      <w:lang w:val="en-US" w:eastAsia="zh-CN"/>
                    </w:rPr>
                    <w:t>项目</w:t>
                  </w:r>
                </w:p>
              </w:tc>
              <w:tc>
                <w:tcPr>
                  <w:tcW w:w="803" w:type="pct"/>
                  <w:noWrap w:val="0"/>
                  <w:vAlign w:val="center"/>
                </w:tcPr>
                <w:p w14:paraId="0A81CE8B">
                  <w:pPr>
                    <w:keepNext w:val="0"/>
                    <w:keepLines w:val="0"/>
                    <w:suppressLineNumbers w:val="0"/>
                    <w:spacing w:before="0" w:beforeAutospacing="0" w:after="0" w:afterAutospacing="0" w:line="360" w:lineRule="exact"/>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i w:val="0"/>
                      <w:iCs w:val="0"/>
                      <w:color w:val="000000"/>
                      <w:kern w:val="0"/>
                      <w:sz w:val="22"/>
                      <w:szCs w:val="22"/>
                      <w:u w:val="none"/>
                      <w:lang w:val="en-US" w:eastAsia="zh-CN" w:bidi="ar"/>
                    </w:rPr>
                    <w:t>全厂</w:t>
                  </w:r>
                </w:p>
              </w:tc>
              <w:tc>
                <w:tcPr>
                  <w:tcW w:w="773" w:type="pct"/>
                  <w:vMerge w:val="restart"/>
                  <w:noWrap w:val="0"/>
                  <w:vAlign w:val="center"/>
                </w:tcPr>
                <w:p w14:paraId="3DE6BD0D">
                  <w:pPr>
                    <w:keepNext w:val="0"/>
                    <w:keepLines w:val="0"/>
                    <w:suppressLineNumbers w:val="0"/>
                    <w:spacing w:before="0" w:beforeAutospacing="0" w:after="0" w:afterAutospacing="0" w:line="360" w:lineRule="exact"/>
                    <w:ind w:left="0" w:right="0"/>
                    <w:jc w:val="center"/>
                    <w:rPr>
                      <w:rFonts w:hint="default" w:ascii="Times New Roman" w:hAnsi="Times New Roman" w:eastAsia="宋体" w:cs="Times New Roman"/>
                      <w:bCs/>
                      <w:szCs w:val="21"/>
                      <w:lang w:val="en-US" w:eastAsia="zh-CN"/>
                    </w:rPr>
                  </w:pPr>
                  <w:r>
                    <w:rPr>
                      <w:rFonts w:hint="eastAsia" w:ascii="Times New Roman" w:hAnsi="Times New Roman" w:eastAsia="宋体" w:cs="Times New Roman"/>
                      <w:bCs/>
                      <w:szCs w:val="21"/>
                      <w:lang w:val="en-US" w:eastAsia="zh-CN"/>
                    </w:rPr>
                    <w:t>规格型号</w:t>
                  </w:r>
                </w:p>
              </w:tc>
              <w:tc>
                <w:tcPr>
                  <w:tcW w:w="794" w:type="pct"/>
                  <w:vMerge w:val="restart"/>
                  <w:noWrap w:val="0"/>
                  <w:vAlign w:val="center"/>
                </w:tcPr>
                <w:p w14:paraId="41F46AC7">
                  <w:pPr>
                    <w:keepNext w:val="0"/>
                    <w:keepLines w:val="0"/>
                    <w:suppressLineNumbers w:val="0"/>
                    <w:spacing w:before="0" w:beforeAutospacing="0" w:after="0" w:afterAutospacing="0" w:line="360" w:lineRule="exact"/>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备注</w:t>
                  </w:r>
                </w:p>
              </w:tc>
            </w:tr>
            <w:tr w14:paraId="17AF3B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 w:hRule="atLeast"/>
                <w:jc w:val="center"/>
              </w:trPr>
              <w:tc>
                <w:tcPr>
                  <w:tcW w:w="217" w:type="pct"/>
                  <w:vMerge w:val="continue"/>
                  <w:noWrap w:val="0"/>
                  <w:vAlign w:val="center"/>
                </w:tcPr>
                <w:p w14:paraId="0C6D54CE">
                  <w:pPr>
                    <w:keepNext w:val="0"/>
                    <w:keepLines w:val="0"/>
                    <w:suppressLineNumbers w:val="0"/>
                    <w:spacing w:before="0" w:beforeAutospacing="0" w:after="0" w:afterAutospacing="0" w:line="360" w:lineRule="exact"/>
                    <w:ind w:left="0" w:right="0"/>
                    <w:jc w:val="center"/>
                    <w:rPr>
                      <w:rFonts w:hint="default" w:ascii="Times New Roman" w:hAnsi="Times New Roman" w:eastAsia="宋体" w:cs="Times New Roman"/>
                      <w:bCs/>
                      <w:szCs w:val="21"/>
                      <w:lang w:val="en-US" w:eastAsia="zh-CN"/>
                    </w:rPr>
                  </w:pPr>
                </w:p>
              </w:tc>
              <w:tc>
                <w:tcPr>
                  <w:tcW w:w="800" w:type="pct"/>
                  <w:vMerge w:val="continue"/>
                  <w:noWrap w:val="0"/>
                  <w:vAlign w:val="center"/>
                </w:tcPr>
                <w:p w14:paraId="76E7D035">
                  <w:pPr>
                    <w:keepNext w:val="0"/>
                    <w:keepLines w:val="0"/>
                    <w:suppressLineNumbers w:val="0"/>
                    <w:spacing w:before="0" w:beforeAutospacing="0" w:after="0" w:afterAutospacing="0" w:line="360" w:lineRule="exact"/>
                    <w:ind w:left="0" w:right="0"/>
                    <w:jc w:val="center"/>
                    <w:rPr>
                      <w:rFonts w:hint="default" w:ascii="Times New Roman" w:hAnsi="Times New Roman" w:eastAsia="宋体" w:cs="Times New Roman"/>
                      <w:bCs/>
                      <w:szCs w:val="21"/>
                      <w:lang w:val="en-US" w:eastAsia="zh-CN"/>
                    </w:rPr>
                  </w:pPr>
                </w:p>
              </w:tc>
              <w:tc>
                <w:tcPr>
                  <w:tcW w:w="808" w:type="pct"/>
                  <w:noWrap w:val="0"/>
                  <w:vAlign w:val="center"/>
                </w:tcPr>
                <w:p w14:paraId="3196C88A">
                  <w:pPr>
                    <w:keepNext w:val="0"/>
                    <w:keepLines w:val="0"/>
                    <w:suppressLineNumbers w:val="0"/>
                    <w:spacing w:before="0" w:beforeAutospacing="0" w:after="0" w:afterAutospacing="0" w:line="360" w:lineRule="exact"/>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数量（台/套)</w:t>
                  </w:r>
                </w:p>
              </w:tc>
              <w:tc>
                <w:tcPr>
                  <w:tcW w:w="802" w:type="pct"/>
                  <w:noWrap w:val="0"/>
                  <w:vAlign w:val="center"/>
                </w:tcPr>
                <w:p w14:paraId="3821C8F9">
                  <w:pPr>
                    <w:keepNext w:val="0"/>
                    <w:keepLines w:val="0"/>
                    <w:suppressLineNumbers w:val="0"/>
                    <w:spacing w:before="0" w:beforeAutospacing="0" w:after="0" w:afterAutospacing="0" w:line="360" w:lineRule="exact"/>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数量（台/套)</w:t>
                  </w:r>
                </w:p>
              </w:tc>
              <w:tc>
                <w:tcPr>
                  <w:tcW w:w="803" w:type="pct"/>
                  <w:noWrap w:val="0"/>
                  <w:vAlign w:val="center"/>
                </w:tcPr>
                <w:p w14:paraId="1AE89A15">
                  <w:pPr>
                    <w:keepNext w:val="0"/>
                    <w:keepLines w:val="0"/>
                    <w:suppressLineNumbers w:val="0"/>
                    <w:spacing w:before="0" w:beforeAutospacing="0" w:after="0" w:afterAutospacing="0" w:line="360" w:lineRule="exact"/>
                    <w:ind w:left="0" w:right="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szCs w:val="21"/>
                      <w:lang w:val="en-US" w:eastAsia="zh-CN"/>
                    </w:rPr>
                    <w:t>数量（台/套)</w:t>
                  </w:r>
                </w:p>
              </w:tc>
              <w:tc>
                <w:tcPr>
                  <w:tcW w:w="773" w:type="pct"/>
                  <w:vMerge w:val="continue"/>
                  <w:noWrap w:val="0"/>
                  <w:vAlign w:val="center"/>
                </w:tcPr>
                <w:p w14:paraId="7D997948">
                  <w:pPr>
                    <w:keepNext w:val="0"/>
                    <w:keepLines w:val="0"/>
                    <w:suppressLineNumbers w:val="0"/>
                    <w:spacing w:before="0" w:beforeAutospacing="0" w:after="0" w:afterAutospacing="0" w:line="360" w:lineRule="exact"/>
                    <w:ind w:left="0" w:right="0"/>
                    <w:jc w:val="center"/>
                    <w:rPr>
                      <w:rFonts w:hint="default" w:ascii="Times New Roman" w:hAnsi="Times New Roman" w:eastAsia="宋体" w:cs="Times New Roman"/>
                      <w:bCs/>
                      <w:szCs w:val="21"/>
                      <w:lang w:val="en-US" w:eastAsia="zh-CN"/>
                    </w:rPr>
                  </w:pPr>
                </w:p>
              </w:tc>
              <w:tc>
                <w:tcPr>
                  <w:tcW w:w="794" w:type="pct"/>
                  <w:vMerge w:val="continue"/>
                  <w:noWrap w:val="0"/>
                  <w:vAlign w:val="center"/>
                </w:tcPr>
                <w:p w14:paraId="215B0C09">
                  <w:pPr>
                    <w:keepNext w:val="0"/>
                    <w:keepLines w:val="0"/>
                    <w:suppressLineNumbers w:val="0"/>
                    <w:spacing w:before="0" w:beforeAutospacing="0" w:after="0" w:afterAutospacing="0" w:line="360" w:lineRule="exact"/>
                    <w:ind w:left="0" w:right="0"/>
                    <w:jc w:val="center"/>
                    <w:rPr>
                      <w:rFonts w:hint="default" w:ascii="Times New Roman" w:hAnsi="Times New Roman" w:eastAsia="宋体" w:cs="Times New Roman"/>
                      <w:bCs/>
                      <w:szCs w:val="21"/>
                      <w:lang w:val="en-US" w:eastAsia="zh-CN"/>
                    </w:rPr>
                  </w:pPr>
                </w:p>
              </w:tc>
            </w:tr>
            <w:tr w14:paraId="4C1B31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00" w:type="pct"/>
                  <w:gridSpan w:val="7"/>
                  <w:noWrap w:val="0"/>
                  <w:vAlign w:val="center"/>
                </w:tcPr>
                <w:p w14:paraId="2C77CAA3">
                  <w:pPr>
                    <w:keepNext w:val="0"/>
                    <w:keepLines w:val="0"/>
                    <w:suppressLineNumbers w:val="0"/>
                    <w:spacing w:before="0" w:beforeAutospacing="0" w:after="0" w:afterAutospacing="0"/>
                    <w:ind w:left="0" w:right="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Cs w:val="21"/>
                      <w:lang w:val="en-US" w:eastAsia="zh-CN"/>
                    </w:rPr>
                    <w:t>主要生产设备</w:t>
                  </w:r>
                </w:p>
              </w:tc>
            </w:tr>
            <w:tr w14:paraId="766856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17" w:type="pct"/>
                  <w:noWrap w:val="0"/>
                  <w:vAlign w:val="center"/>
                </w:tcPr>
                <w:p w14:paraId="1FD9C8A5">
                  <w:pPr>
                    <w:keepNext w:val="0"/>
                    <w:keepLines w:val="0"/>
                    <w:suppressLineNumbers w:val="0"/>
                    <w:spacing w:before="0" w:beforeAutospacing="0" w:after="0" w:afterAutospacing="0" w:line="360" w:lineRule="exact"/>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1</w:t>
                  </w:r>
                </w:p>
              </w:tc>
              <w:tc>
                <w:tcPr>
                  <w:tcW w:w="800" w:type="pct"/>
                  <w:noWrap w:val="0"/>
                  <w:vAlign w:val="center"/>
                </w:tcPr>
                <w:p w14:paraId="1690C2E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印刷机</w:t>
                  </w:r>
                </w:p>
              </w:tc>
              <w:tc>
                <w:tcPr>
                  <w:tcW w:w="808" w:type="pct"/>
                  <w:noWrap w:val="0"/>
                  <w:vAlign w:val="center"/>
                </w:tcPr>
                <w:p w14:paraId="317E855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3</w:t>
                  </w:r>
                </w:p>
              </w:tc>
              <w:tc>
                <w:tcPr>
                  <w:tcW w:w="802" w:type="pct"/>
                  <w:noWrap w:val="0"/>
                  <w:vAlign w:val="center"/>
                </w:tcPr>
                <w:p w14:paraId="37423C2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B0F0"/>
                      <w:szCs w:val="21"/>
                      <w:lang w:val="en-US" w:eastAsia="zh-CN"/>
                    </w:rPr>
                  </w:pPr>
                  <w:r>
                    <w:rPr>
                      <w:rFonts w:hint="eastAsia" w:ascii="Times New Roman" w:hAnsi="Times New Roman" w:eastAsia="宋体" w:cs="Times New Roman"/>
                      <w:szCs w:val="21"/>
                      <w:lang w:val="en-US" w:eastAsia="zh-CN"/>
                    </w:rPr>
                    <w:t>1</w:t>
                  </w:r>
                </w:p>
              </w:tc>
              <w:tc>
                <w:tcPr>
                  <w:tcW w:w="803" w:type="pct"/>
                  <w:noWrap w:val="0"/>
                  <w:vAlign w:val="center"/>
                </w:tcPr>
                <w:p w14:paraId="4DB687E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4</w:t>
                  </w:r>
                </w:p>
              </w:tc>
              <w:tc>
                <w:tcPr>
                  <w:tcW w:w="773" w:type="pct"/>
                  <w:noWrap w:val="0"/>
                  <w:vAlign w:val="center"/>
                </w:tcPr>
                <w:p w14:paraId="3A60878D">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FR350ELS(YA601050)</w:t>
                  </w:r>
                </w:p>
              </w:tc>
              <w:tc>
                <w:tcPr>
                  <w:tcW w:w="794" w:type="pct"/>
                  <w:noWrap w:val="0"/>
                  <w:vAlign w:val="center"/>
                </w:tcPr>
                <w:p w14:paraId="4449E730">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+1</w:t>
                  </w:r>
                </w:p>
              </w:tc>
            </w:tr>
            <w:tr w14:paraId="4CA4B5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 w:hRule="atLeast"/>
                <w:jc w:val="center"/>
              </w:trPr>
              <w:tc>
                <w:tcPr>
                  <w:tcW w:w="217" w:type="pct"/>
                  <w:noWrap w:val="0"/>
                  <w:vAlign w:val="center"/>
                </w:tcPr>
                <w:p w14:paraId="1299F91D">
                  <w:pPr>
                    <w:keepNext w:val="0"/>
                    <w:keepLines w:val="0"/>
                    <w:suppressLineNumbers w:val="0"/>
                    <w:spacing w:before="0" w:beforeAutospacing="0" w:after="0" w:afterAutospacing="0" w:line="360" w:lineRule="exact"/>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2</w:t>
                  </w:r>
                </w:p>
              </w:tc>
              <w:tc>
                <w:tcPr>
                  <w:tcW w:w="800" w:type="pct"/>
                  <w:noWrap w:val="0"/>
                  <w:vAlign w:val="center"/>
                </w:tcPr>
                <w:p w14:paraId="0C25EF0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复合机</w:t>
                  </w:r>
                </w:p>
              </w:tc>
              <w:tc>
                <w:tcPr>
                  <w:tcW w:w="808" w:type="pct"/>
                  <w:noWrap w:val="0"/>
                  <w:vAlign w:val="center"/>
                </w:tcPr>
                <w:p w14:paraId="1F5B200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3</w:t>
                  </w:r>
                </w:p>
              </w:tc>
              <w:tc>
                <w:tcPr>
                  <w:tcW w:w="802" w:type="pct"/>
                  <w:noWrap w:val="0"/>
                  <w:vAlign w:val="center"/>
                </w:tcPr>
                <w:p w14:paraId="42F592F9">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1</w:t>
                  </w:r>
                </w:p>
              </w:tc>
              <w:tc>
                <w:tcPr>
                  <w:tcW w:w="803" w:type="pct"/>
                  <w:noWrap w:val="0"/>
                  <w:vAlign w:val="center"/>
                </w:tcPr>
                <w:p w14:paraId="3FB5479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4</w:t>
                  </w:r>
                </w:p>
              </w:tc>
              <w:tc>
                <w:tcPr>
                  <w:tcW w:w="773" w:type="pct"/>
                  <w:noWrap w:val="0"/>
                  <w:vAlign w:val="center"/>
                </w:tcPr>
                <w:p w14:paraId="74165C6B">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A450-10</w:t>
                  </w:r>
                </w:p>
              </w:tc>
              <w:tc>
                <w:tcPr>
                  <w:tcW w:w="794" w:type="pct"/>
                  <w:noWrap w:val="0"/>
                  <w:vAlign w:val="center"/>
                </w:tcPr>
                <w:p w14:paraId="4DE0A136">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+1</w:t>
                  </w:r>
                </w:p>
              </w:tc>
            </w:tr>
            <w:tr w14:paraId="0023E9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 w:hRule="atLeast"/>
                <w:jc w:val="center"/>
              </w:trPr>
              <w:tc>
                <w:tcPr>
                  <w:tcW w:w="217" w:type="pct"/>
                  <w:noWrap w:val="0"/>
                  <w:vAlign w:val="center"/>
                </w:tcPr>
                <w:p w14:paraId="0997189C">
                  <w:pPr>
                    <w:keepNext w:val="0"/>
                    <w:keepLines w:val="0"/>
                    <w:suppressLineNumbers w:val="0"/>
                    <w:spacing w:before="0" w:beforeAutospacing="0" w:after="0" w:afterAutospacing="0" w:line="360" w:lineRule="exact"/>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3</w:t>
                  </w:r>
                </w:p>
              </w:tc>
              <w:tc>
                <w:tcPr>
                  <w:tcW w:w="800" w:type="pct"/>
                  <w:noWrap w:val="0"/>
                  <w:vAlign w:val="center"/>
                </w:tcPr>
                <w:p w14:paraId="6E4DB7B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分切机</w:t>
                  </w:r>
                </w:p>
              </w:tc>
              <w:tc>
                <w:tcPr>
                  <w:tcW w:w="808" w:type="pct"/>
                  <w:noWrap w:val="0"/>
                  <w:vAlign w:val="center"/>
                </w:tcPr>
                <w:p w14:paraId="592E1B8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10</w:t>
                  </w:r>
                </w:p>
              </w:tc>
              <w:tc>
                <w:tcPr>
                  <w:tcW w:w="802" w:type="pct"/>
                  <w:noWrap w:val="0"/>
                  <w:vAlign w:val="center"/>
                </w:tcPr>
                <w:p w14:paraId="222748A3">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1</w:t>
                  </w:r>
                </w:p>
              </w:tc>
              <w:tc>
                <w:tcPr>
                  <w:tcW w:w="803" w:type="pct"/>
                  <w:noWrap w:val="0"/>
                  <w:vAlign w:val="center"/>
                </w:tcPr>
                <w:p w14:paraId="7CD1543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10</w:t>
                  </w:r>
                </w:p>
              </w:tc>
              <w:tc>
                <w:tcPr>
                  <w:tcW w:w="773" w:type="pct"/>
                  <w:noWrap w:val="0"/>
                  <w:vAlign w:val="center"/>
                </w:tcPr>
                <w:p w14:paraId="6F60FDF7">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w:t>
                  </w:r>
                </w:p>
              </w:tc>
              <w:tc>
                <w:tcPr>
                  <w:tcW w:w="794" w:type="pct"/>
                  <w:noWrap w:val="0"/>
                  <w:vAlign w:val="center"/>
                </w:tcPr>
                <w:p w14:paraId="61EFED8B">
                  <w:pPr>
                    <w:keepNext w:val="0"/>
                    <w:keepLines w:val="0"/>
                    <w:suppressLineNumbers w:val="0"/>
                    <w:spacing w:before="0" w:beforeAutospacing="0" w:after="0" w:afterAutospacing="0"/>
                    <w:ind w:left="0" w:right="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技改项目</w:t>
                  </w:r>
                </w:p>
                <w:p w14:paraId="236F1C3B">
                  <w:pPr>
                    <w:keepNext w:val="0"/>
                    <w:keepLines w:val="0"/>
                    <w:suppressLineNumbers w:val="0"/>
                    <w:spacing w:before="0" w:beforeAutospacing="0" w:after="0" w:afterAutospacing="0"/>
                    <w:ind w:left="0" w:right="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分切机利旧</w:t>
                  </w:r>
                  <w:r>
                    <w:rPr>
                      <w:rFonts w:hint="eastAsia"/>
                      <w:lang w:eastAsia="zh-CN"/>
                    </w:rPr>
                    <w:t>，从非洁净车间搬迁至洁净车间</w:t>
                  </w:r>
                </w:p>
              </w:tc>
            </w:tr>
            <w:tr w14:paraId="17A1C9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 w:hRule="atLeast"/>
                <w:jc w:val="center"/>
              </w:trPr>
              <w:tc>
                <w:tcPr>
                  <w:tcW w:w="217" w:type="pct"/>
                  <w:noWrap w:val="0"/>
                  <w:vAlign w:val="center"/>
                </w:tcPr>
                <w:p w14:paraId="0BEB4DE5">
                  <w:pPr>
                    <w:keepNext w:val="0"/>
                    <w:keepLines w:val="0"/>
                    <w:suppressLineNumbers w:val="0"/>
                    <w:spacing w:before="0" w:beforeAutospacing="0" w:after="0" w:afterAutospacing="0" w:line="360" w:lineRule="exact"/>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4</w:t>
                  </w:r>
                </w:p>
              </w:tc>
              <w:tc>
                <w:tcPr>
                  <w:tcW w:w="800" w:type="pct"/>
                  <w:noWrap w:val="0"/>
                  <w:vAlign w:val="center"/>
                </w:tcPr>
                <w:p w14:paraId="0363574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吹膜机</w:t>
                  </w:r>
                </w:p>
              </w:tc>
              <w:tc>
                <w:tcPr>
                  <w:tcW w:w="808" w:type="pct"/>
                  <w:noWrap w:val="0"/>
                  <w:vAlign w:val="center"/>
                </w:tcPr>
                <w:p w14:paraId="5BC276F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3</w:t>
                  </w:r>
                </w:p>
              </w:tc>
              <w:tc>
                <w:tcPr>
                  <w:tcW w:w="802" w:type="pct"/>
                  <w:noWrap w:val="0"/>
                  <w:vAlign w:val="center"/>
                </w:tcPr>
                <w:p w14:paraId="050DB442">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0</w:t>
                  </w:r>
                </w:p>
              </w:tc>
              <w:tc>
                <w:tcPr>
                  <w:tcW w:w="803" w:type="pct"/>
                  <w:noWrap w:val="0"/>
                  <w:vAlign w:val="center"/>
                </w:tcPr>
                <w:p w14:paraId="094554F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3</w:t>
                  </w:r>
                </w:p>
              </w:tc>
              <w:tc>
                <w:tcPr>
                  <w:tcW w:w="773" w:type="pct"/>
                  <w:noWrap w:val="0"/>
                  <w:vAlign w:val="center"/>
                </w:tcPr>
                <w:p w14:paraId="6E26FB03">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eastAsia" w:cs="Times New Roman"/>
                      <w:szCs w:val="21"/>
                      <w:lang w:val="en-US" w:eastAsia="zh-CN"/>
                    </w:rPr>
                    <w:t>/</w:t>
                  </w:r>
                </w:p>
              </w:tc>
              <w:tc>
                <w:tcPr>
                  <w:tcW w:w="794" w:type="pct"/>
                  <w:noWrap w:val="0"/>
                  <w:vAlign w:val="center"/>
                </w:tcPr>
                <w:p w14:paraId="0C993DB7">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不变</w:t>
                  </w:r>
                </w:p>
              </w:tc>
            </w:tr>
            <w:tr w14:paraId="34BA0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 w:hRule="atLeast"/>
                <w:jc w:val="center"/>
              </w:trPr>
              <w:tc>
                <w:tcPr>
                  <w:tcW w:w="217" w:type="pct"/>
                  <w:noWrap w:val="0"/>
                  <w:vAlign w:val="center"/>
                </w:tcPr>
                <w:p w14:paraId="033F647E">
                  <w:pPr>
                    <w:keepNext w:val="0"/>
                    <w:keepLines w:val="0"/>
                    <w:suppressLineNumbers w:val="0"/>
                    <w:spacing w:before="0" w:beforeAutospacing="0" w:after="0" w:afterAutospacing="0" w:line="360" w:lineRule="exact"/>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5</w:t>
                  </w:r>
                </w:p>
              </w:tc>
              <w:tc>
                <w:tcPr>
                  <w:tcW w:w="800" w:type="pct"/>
                  <w:noWrap w:val="0"/>
                  <w:vAlign w:val="center"/>
                </w:tcPr>
                <w:p w14:paraId="7343673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空压机</w:t>
                  </w:r>
                </w:p>
              </w:tc>
              <w:tc>
                <w:tcPr>
                  <w:tcW w:w="808" w:type="pct"/>
                  <w:noWrap w:val="0"/>
                  <w:vAlign w:val="center"/>
                </w:tcPr>
                <w:p w14:paraId="76B07A7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2</w:t>
                  </w:r>
                </w:p>
              </w:tc>
              <w:tc>
                <w:tcPr>
                  <w:tcW w:w="802" w:type="pct"/>
                  <w:noWrap w:val="0"/>
                  <w:vAlign w:val="center"/>
                </w:tcPr>
                <w:p w14:paraId="7B6B4B86">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0</w:t>
                  </w:r>
                </w:p>
              </w:tc>
              <w:tc>
                <w:tcPr>
                  <w:tcW w:w="803" w:type="pct"/>
                  <w:noWrap w:val="0"/>
                  <w:vAlign w:val="center"/>
                </w:tcPr>
                <w:p w14:paraId="1BE71AA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2</w:t>
                  </w:r>
                </w:p>
              </w:tc>
              <w:tc>
                <w:tcPr>
                  <w:tcW w:w="773" w:type="pct"/>
                  <w:noWrap w:val="0"/>
                  <w:vAlign w:val="center"/>
                </w:tcPr>
                <w:p w14:paraId="5B01A963">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eastAsia" w:cs="Times New Roman"/>
                      <w:szCs w:val="21"/>
                      <w:lang w:val="en-US" w:eastAsia="zh-CN"/>
                    </w:rPr>
                    <w:t>/</w:t>
                  </w:r>
                </w:p>
              </w:tc>
              <w:tc>
                <w:tcPr>
                  <w:tcW w:w="794" w:type="pct"/>
                  <w:noWrap w:val="0"/>
                  <w:vAlign w:val="center"/>
                </w:tcPr>
                <w:p w14:paraId="34116359">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不变</w:t>
                  </w:r>
                </w:p>
              </w:tc>
            </w:tr>
            <w:tr w14:paraId="245032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 w:hRule="atLeast"/>
                <w:jc w:val="center"/>
              </w:trPr>
              <w:tc>
                <w:tcPr>
                  <w:tcW w:w="217" w:type="pct"/>
                  <w:noWrap w:val="0"/>
                  <w:vAlign w:val="center"/>
                </w:tcPr>
                <w:p w14:paraId="4641498E">
                  <w:pPr>
                    <w:keepNext w:val="0"/>
                    <w:keepLines w:val="0"/>
                    <w:suppressLineNumbers w:val="0"/>
                    <w:spacing w:before="0" w:beforeAutospacing="0" w:after="0" w:afterAutospacing="0" w:line="360" w:lineRule="exact"/>
                    <w:ind w:left="0" w:right="0"/>
                    <w:jc w:val="center"/>
                    <w:rPr>
                      <w:rFonts w:hint="default" w:ascii="Times New Roman" w:hAnsi="Times New Roman" w:eastAsia="宋体" w:cs="Times New Roman"/>
                      <w:szCs w:val="21"/>
                      <w:lang w:eastAsia="zh-CN"/>
                    </w:rPr>
                  </w:pPr>
                  <w:r>
                    <w:rPr>
                      <w:rFonts w:hint="default" w:ascii="Times New Roman" w:hAnsi="Times New Roman" w:eastAsia="宋体" w:cs="Times New Roman"/>
                      <w:szCs w:val="21"/>
                      <w:lang w:eastAsia="zh-CN"/>
                    </w:rPr>
                    <w:t>6</w:t>
                  </w:r>
                </w:p>
              </w:tc>
              <w:tc>
                <w:tcPr>
                  <w:tcW w:w="800" w:type="pct"/>
                  <w:noWrap w:val="0"/>
                  <w:vAlign w:val="center"/>
                </w:tcPr>
                <w:p w14:paraId="72E5CF6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拌料机</w:t>
                  </w:r>
                </w:p>
              </w:tc>
              <w:tc>
                <w:tcPr>
                  <w:tcW w:w="808" w:type="pct"/>
                  <w:noWrap w:val="0"/>
                  <w:vAlign w:val="center"/>
                </w:tcPr>
                <w:p w14:paraId="17D4F25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3</w:t>
                  </w:r>
                </w:p>
              </w:tc>
              <w:tc>
                <w:tcPr>
                  <w:tcW w:w="802" w:type="pct"/>
                  <w:noWrap w:val="0"/>
                  <w:vAlign w:val="center"/>
                </w:tcPr>
                <w:p w14:paraId="179D0A9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szCs w:val="21"/>
                      <w:lang w:val="en-US" w:eastAsia="zh-CN"/>
                    </w:rPr>
                  </w:pPr>
                  <w:r>
                    <w:rPr>
                      <w:rFonts w:hint="eastAsia" w:ascii="Times New Roman" w:hAnsi="Times New Roman" w:eastAsia="宋体" w:cs="Times New Roman"/>
                      <w:i w:val="0"/>
                      <w:iCs w:val="0"/>
                      <w:color w:val="000000"/>
                      <w:kern w:val="0"/>
                      <w:sz w:val="22"/>
                      <w:szCs w:val="22"/>
                      <w:u w:val="none"/>
                      <w:lang w:val="en-US" w:eastAsia="zh-CN" w:bidi="ar"/>
                    </w:rPr>
                    <w:t>0</w:t>
                  </w:r>
                </w:p>
              </w:tc>
              <w:tc>
                <w:tcPr>
                  <w:tcW w:w="803" w:type="pct"/>
                  <w:noWrap w:val="0"/>
                  <w:vAlign w:val="center"/>
                </w:tcPr>
                <w:p w14:paraId="1F082E7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3</w:t>
                  </w:r>
                </w:p>
              </w:tc>
              <w:tc>
                <w:tcPr>
                  <w:tcW w:w="773" w:type="pct"/>
                  <w:noWrap w:val="0"/>
                  <w:vAlign w:val="center"/>
                </w:tcPr>
                <w:p w14:paraId="4DA9CFAB">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w:t>
                  </w:r>
                </w:p>
              </w:tc>
              <w:tc>
                <w:tcPr>
                  <w:tcW w:w="794" w:type="pct"/>
                  <w:noWrap w:val="0"/>
                  <w:vAlign w:val="center"/>
                </w:tcPr>
                <w:p w14:paraId="2B32BA99">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不变</w:t>
                  </w:r>
                </w:p>
              </w:tc>
            </w:tr>
            <w:tr w14:paraId="5B420D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 w:hRule="atLeast"/>
                <w:jc w:val="center"/>
              </w:trPr>
              <w:tc>
                <w:tcPr>
                  <w:tcW w:w="217" w:type="pct"/>
                  <w:noWrap w:val="0"/>
                  <w:vAlign w:val="center"/>
                </w:tcPr>
                <w:p w14:paraId="2B42603A">
                  <w:pPr>
                    <w:keepNext w:val="0"/>
                    <w:keepLines w:val="0"/>
                    <w:suppressLineNumbers w:val="0"/>
                    <w:spacing w:before="0" w:beforeAutospacing="0" w:after="0" w:afterAutospacing="0" w:line="360" w:lineRule="exact"/>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7</w:t>
                  </w:r>
                </w:p>
              </w:tc>
              <w:tc>
                <w:tcPr>
                  <w:tcW w:w="800" w:type="pct"/>
                  <w:noWrap w:val="0"/>
                  <w:vAlign w:val="center"/>
                </w:tcPr>
                <w:p w14:paraId="0D29959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固化室</w:t>
                  </w:r>
                </w:p>
              </w:tc>
              <w:tc>
                <w:tcPr>
                  <w:tcW w:w="808" w:type="pct"/>
                  <w:noWrap w:val="0"/>
                  <w:vAlign w:val="center"/>
                </w:tcPr>
                <w:p w14:paraId="0250353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11</w:t>
                  </w:r>
                </w:p>
              </w:tc>
              <w:tc>
                <w:tcPr>
                  <w:tcW w:w="802" w:type="pct"/>
                  <w:noWrap w:val="0"/>
                  <w:vAlign w:val="center"/>
                </w:tcPr>
                <w:p w14:paraId="5C3857B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szCs w:val="21"/>
                      <w:lang w:val="en-US" w:eastAsia="zh-CN"/>
                    </w:rPr>
                  </w:pPr>
                  <w:r>
                    <w:rPr>
                      <w:rFonts w:hint="eastAsia" w:ascii="Times New Roman" w:hAnsi="Times New Roman" w:eastAsia="宋体" w:cs="Times New Roman"/>
                      <w:i w:val="0"/>
                      <w:iCs w:val="0"/>
                      <w:color w:val="000000"/>
                      <w:kern w:val="0"/>
                      <w:sz w:val="22"/>
                      <w:szCs w:val="22"/>
                      <w:u w:val="none"/>
                      <w:lang w:val="en-US" w:eastAsia="zh-CN" w:bidi="ar"/>
                    </w:rPr>
                    <w:t>3</w:t>
                  </w:r>
                </w:p>
              </w:tc>
              <w:tc>
                <w:tcPr>
                  <w:tcW w:w="803" w:type="pct"/>
                  <w:noWrap w:val="0"/>
                  <w:vAlign w:val="center"/>
                </w:tcPr>
                <w:p w14:paraId="282D96C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14</w:t>
                  </w:r>
                </w:p>
              </w:tc>
              <w:tc>
                <w:tcPr>
                  <w:tcW w:w="773" w:type="pct"/>
                  <w:noWrap w:val="0"/>
                  <w:vAlign w:val="center"/>
                </w:tcPr>
                <w:p w14:paraId="6546282A">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w:t>
                  </w:r>
                </w:p>
              </w:tc>
              <w:tc>
                <w:tcPr>
                  <w:tcW w:w="794" w:type="pct"/>
                  <w:noWrap w:val="0"/>
                  <w:vAlign w:val="center"/>
                </w:tcPr>
                <w:p w14:paraId="172EAC56">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+3</w:t>
                  </w:r>
                </w:p>
              </w:tc>
            </w:tr>
            <w:tr w14:paraId="07FADC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 w:hRule="atLeast"/>
                <w:jc w:val="center"/>
              </w:trPr>
              <w:tc>
                <w:tcPr>
                  <w:tcW w:w="217" w:type="pct"/>
                  <w:noWrap w:val="0"/>
                  <w:vAlign w:val="center"/>
                </w:tcPr>
                <w:p w14:paraId="3ACAF8BB">
                  <w:pPr>
                    <w:keepNext w:val="0"/>
                    <w:keepLines w:val="0"/>
                    <w:suppressLineNumbers w:val="0"/>
                    <w:spacing w:before="0" w:beforeAutospacing="0" w:after="0" w:afterAutospacing="0" w:line="360" w:lineRule="exact"/>
                    <w:ind w:left="0" w:right="0"/>
                    <w:jc w:val="center"/>
                    <w:rPr>
                      <w:rFonts w:hint="default" w:ascii="Times New Roman" w:hAnsi="Times New Roman" w:eastAsia="宋体" w:cs="Times New Roman"/>
                      <w:szCs w:val="21"/>
                      <w:lang w:val="en-US" w:eastAsia="zh-CN"/>
                    </w:rPr>
                  </w:pPr>
                  <w:r>
                    <w:rPr>
                      <w:rFonts w:hint="eastAsia" w:cs="Times New Roman"/>
                      <w:szCs w:val="21"/>
                      <w:lang w:val="en-US" w:eastAsia="zh-CN"/>
                    </w:rPr>
                    <w:t>8</w:t>
                  </w:r>
                </w:p>
              </w:tc>
              <w:tc>
                <w:tcPr>
                  <w:tcW w:w="800" w:type="pct"/>
                  <w:noWrap w:val="0"/>
                  <w:vAlign w:val="center"/>
                </w:tcPr>
                <w:p w14:paraId="4B38FC88">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配制间</w:t>
                  </w:r>
                </w:p>
              </w:tc>
              <w:tc>
                <w:tcPr>
                  <w:tcW w:w="808" w:type="pct"/>
                  <w:noWrap w:val="0"/>
                  <w:vAlign w:val="center"/>
                </w:tcPr>
                <w:p w14:paraId="4725741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2</w:t>
                  </w:r>
                </w:p>
              </w:tc>
              <w:tc>
                <w:tcPr>
                  <w:tcW w:w="802" w:type="pct"/>
                  <w:noWrap w:val="0"/>
                  <w:vAlign w:val="center"/>
                </w:tcPr>
                <w:p w14:paraId="0DCE687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eastAsia" w:cs="Times New Roman"/>
                      <w:i w:val="0"/>
                      <w:iCs w:val="0"/>
                      <w:color w:val="000000"/>
                      <w:kern w:val="0"/>
                      <w:sz w:val="22"/>
                      <w:szCs w:val="22"/>
                      <w:u w:val="none"/>
                      <w:lang w:val="en-US" w:eastAsia="zh-CN" w:bidi="ar"/>
                    </w:rPr>
                    <w:t>0</w:t>
                  </w:r>
                </w:p>
              </w:tc>
              <w:tc>
                <w:tcPr>
                  <w:tcW w:w="803" w:type="pct"/>
                  <w:noWrap w:val="0"/>
                  <w:vAlign w:val="center"/>
                </w:tcPr>
                <w:p w14:paraId="1505B16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2</w:t>
                  </w:r>
                </w:p>
              </w:tc>
              <w:tc>
                <w:tcPr>
                  <w:tcW w:w="773" w:type="pct"/>
                  <w:noWrap w:val="0"/>
                  <w:vAlign w:val="center"/>
                </w:tcPr>
                <w:p w14:paraId="0FA55CA9">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w:t>
                  </w:r>
                </w:p>
              </w:tc>
              <w:tc>
                <w:tcPr>
                  <w:tcW w:w="794" w:type="pct"/>
                  <w:noWrap w:val="0"/>
                  <w:vAlign w:val="center"/>
                </w:tcPr>
                <w:p w14:paraId="55DBFD78">
                  <w:pPr>
                    <w:keepNext w:val="0"/>
                    <w:keepLines w:val="0"/>
                    <w:suppressLineNumbers w:val="0"/>
                    <w:spacing w:before="0" w:beforeAutospacing="0" w:after="0" w:afterAutospacing="0"/>
                    <w:ind w:left="0" w:right="0"/>
                    <w:jc w:val="center"/>
                    <w:rPr>
                      <w:rFonts w:hint="eastAsia"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不变</w:t>
                  </w:r>
                </w:p>
              </w:tc>
            </w:tr>
            <w:tr w14:paraId="03929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 w:hRule="atLeast"/>
                <w:jc w:val="center"/>
              </w:trPr>
              <w:tc>
                <w:tcPr>
                  <w:tcW w:w="5000" w:type="pct"/>
                  <w:gridSpan w:val="7"/>
                  <w:noWrap w:val="0"/>
                  <w:vAlign w:val="center"/>
                </w:tcPr>
                <w:p w14:paraId="74AFEF53">
                  <w:pPr>
                    <w:keepNext w:val="0"/>
                    <w:keepLines w:val="0"/>
                    <w:suppressLineNumbers w:val="0"/>
                    <w:spacing w:before="0" w:beforeAutospacing="0" w:after="0" w:afterAutospacing="0"/>
                    <w:ind w:left="0" w:right="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i w:val="0"/>
                      <w:iCs w:val="0"/>
                      <w:color w:val="000000"/>
                      <w:kern w:val="0"/>
                      <w:sz w:val="22"/>
                      <w:szCs w:val="22"/>
                      <w:u w:val="none"/>
                      <w:lang w:val="en-US" w:eastAsia="zh-CN" w:bidi="ar"/>
                    </w:rPr>
                    <w:t>主要环保设备</w:t>
                  </w:r>
                </w:p>
              </w:tc>
            </w:tr>
            <w:tr w14:paraId="141A73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 w:hRule="atLeast"/>
                <w:jc w:val="center"/>
              </w:trPr>
              <w:tc>
                <w:tcPr>
                  <w:tcW w:w="217" w:type="pct"/>
                  <w:noWrap w:val="0"/>
                  <w:vAlign w:val="center"/>
                </w:tcPr>
                <w:p w14:paraId="6E7750D4">
                  <w:pPr>
                    <w:keepNext w:val="0"/>
                    <w:keepLines w:val="0"/>
                    <w:suppressLineNumbers w:val="0"/>
                    <w:spacing w:before="0" w:beforeAutospacing="0" w:after="0" w:afterAutospacing="0" w:line="360" w:lineRule="exact"/>
                    <w:ind w:left="0" w:right="0"/>
                    <w:jc w:val="center"/>
                    <w:rPr>
                      <w:rFonts w:hint="default" w:ascii="Times New Roman" w:hAnsi="Times New Roman" w:eastAsia="宋体" w:cs="Times New Roman"/>
                      <w:szCs w:val="21"/>
                      <w:lang w:val="en-US" w:eastAsia="zh-CN"/>
                    </w:rPr>
                  </w:pPr>
                  <w:r>
                    <w:rPr>
                      <w:rFonts w:hint="eastAsia" w:cs="Times New Roman"/>
                      <w:szCs w:val="21"/>
                      <w:lang w:val="en-US" w:eastAsia="zh-CN"/>
                    </w:rPr>
                    <w:t>9</w:t>
                  </w:r>
                </w:p>
              </w:tc>
              <w:tc>
                <w:tcPr>
                  <w:tcW w:w="800" w:type="pct"/>
                  <w:noWrap w:val="0"/>
                  <w:vAlign w:val="center"/>
                </w:tcPr>
                <w:p w14:paraId="6B3E9B15">
                  <w:pPr>
                    <w:pStyle w:val="243"/>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bCs/>
                      <w:color w:val="auto"/>
                      <w:spacing w:val="4"/>
                      <w:kern w:val="2"/>
                      <w:sz w:val="21"/>
                      <w:szCs w:val="21"/>
                      <w:lang w:val="en-US" w:eastAsia="zh-CN" w:bidi="ar-SA"/>
                    </w:rPr>
                  </w:pPr>
                  <w:r>
                    <w:rPr>
                      <w:rFonts w:hint="eastAsia" w:ascii="Times New Roman" w:hAnsi="Times New Roman" w:eastAsia="宋体" w:cs="Times New Roman"/>
                      <w:bCs/>
                      <w:color w:val="auto"/>
                      <w:spacing w:val="4"/>
                      <w:kern w:val="2"/>
                      <w:sz w:val="21"/>
                      <w:szCs w:val="21"/>
                      <w:lang w:val="en-US" w:eastAsia="zh-CN" w:bidi="ar-SA"/>
                    </w:rPr>
                    <w:t>二级活性炭吸附装置</w:t>
                  </w:r>
                </w:p>
              </w:tc>
              <w:tc>
                <w:tcPr>
                  <w:tcW w:w="808" w:type="pct"/>
                  <w:noWrap w:val="0"/>
                  <w:vAlign w:val="center"/>
                </w:tcPr>
                <w:p w14:paraId="1F8103ED">
                  <w:pPr>
                    <w:pStyle w:val="243"/>
                    <w:keepNext w:val="0"/>
                    <w:keepLines w:val="0"/>
                    <w:suppressLineNumbers w:val="0"/>
                    <w:spacing w:before="0" w:beforeAutospacing="0" w:after="0" w:afterAutospacing="0" w:line="240" w:lineRule="auto"/>
                    <w:ind w:left="0" w:right="0"/>
                    <w:jc w:val="center"/>
                    <w:rPr>
                      <w:rFonts w:hint="default" w:ascii="Times New Roman" w:hAnsi="Times New Roman" w:eastAsia="楷体_GB2312" w:cs="Times New Roman"/>
                      <w:bCs/>
                      <w:color w:val="auto"/>
                      <w:spacing w:val="4"/>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2</w:t>
                  </w:r>
                </w:p>
              </w:tc>
              <w:tc>
                <w:tcPr>
                  <w:tcW w:w="802" w:type="pct"/>
                  <w:noWrap w:val="0"/>
                  <w:vAlign w:val="center"/>
                </w:tcPr>
                <w:p w14:paraId="3FDC850A">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1</w:t>
                  </w:r>
                </w:p>
              </w:tc>
              <w:tc>
                <w:tcPr>
                  <w:tcW w:w="803" w:type="pct"/>
                  <w:noWrap w:val="0"/>
                  <w:vAlign w:val="center"/>
                </w:tcPr>
                <w:p w14:paraId="337673D2">
                  <w:pPr>
                    <w:pStyle w:val="243"/>
                    <w:keepNext w:val="0"/>
                    <w:keepLines w:val="0"/>
                    <w:suppressLineNumbers w:val="0"/>
                    <w:spacing w:before="0" w:beforeAutospacing="0" w:after="0" w:afterAutospacing="0" w:line="240" w:lineRule="auto"/>
                    <w:ind w:left="0" w:right="0"/>
                    <w:jc w:val="center"/>
                    <w:rPr>
                      <w:rFonts w:hint="default" w:ascii="Times New Roman" w:hAnsi="Times New Roman" w:eastAsia="楷体_GB2312" w:cs="Times New Roman"/>
                      <w:bCs/>
                      <w:color w:val="auto"/>
                      <w:spacing w:val="4"/>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3</w:t>
                  </w:r>
                </w:p>
              </w:tc>
              <w:tc>
                <w:tcPr>
                  <w:tcW w:w="773" w:type="pct"/>
                  <w:noWrap w:val="0"/>
                  <w:vAlign w:val="center"/>
                </w:tcPr>
                <w:p w14:paraId="573C75A5">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cs="Times New Roman"/>
                      <w:lang w:val="en-US" w:eastAsia="zh-CN"/>
                    </w:rPr>
                    <w:t>/</w:t>
                  </w:r>
                </w:p>
              </w:tc>
              <w:tc>
                <w:tcPr>
                  <w:tcW w:w="794" w:type="pct"/>
                  <w:noWrap w:val="0"/>
                  <w:vAlign w:val="center"/>
                </w:tcPr>
                <w:p w14:paraId="11C507AD">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+1</w:t>
                  </w:r>
                </w:p>
              </w:tc>
            </w:tr>
          </w:tbl>
          <w:p w14:paraId="6E88C3C2">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textAlignment w:val="auto"/>
              <w:rPr>
                <w:rFonts w:hint="default" w:ascii="Times New Roman" w:hAnsi="Times New Roman" w:cs="Times New Roman"/>
                <w:b/>
                <w:bCs/>
                <w:sz w:val="24"/>
              </w:rPr>
            </w:pPr>
            <w:r>
              <w:rPr>
                <w:rFonts w:hint="eastAsia" w:ascii="Times New Roman" w:hAnsi="Times New Roman" w:cs="Times New Roman"/>
                <w:b/>
                <w:sz w:val="24"/>
                <w:lang w:val="en-US" w:eastAsia="zh-CN"/>
              </w:rPr>
              <w:t>4、</w:t>
            </w:r>
            <w:r>
              <w:rPr>
                <w:rFonts w:hint="default" w:ascii="Times New Roman" w:hAnsi="Times New Roman" w:cs="Times New Roman"/>
                <w:b/>
                <w:sz w:val="24"/>
              </w:rPr>
              <w:t>项目主要产品及产能</w:t>
            </w:r>
          </w:p>
          <w:p w14:paraId="152AE07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原项目总产能年产24万套中药包装袋（通用卷）、22万套中药包装袋（印字卷），项目建成后，洁净车间可年产6万套中药包装袋（通用卷）、5万套中药包装袋（印字卷），非洁净车间可年产18万套中药包装袋（通用卷）、17万套中药包装袋（印字卷）。本</w:t>
            </w:r>
            <w:r>
              <w:rPr>
                <w:rFonts w:hint="eastAsia" w:ascii="Times New Roman" w:hAnsi="Times New Roman" w:cs="Times New Roman"/>
                <w:color w:val="auto"/>
                <w:sz w:val="24"/>
                <w:szCs w:val="24"/>
                <w:highlight w:val="none"/>
                <w:lang w:val="en-US" w:eastAsia="zh-CN"/>
              </w:rPr>
              <w:t>项目建成后总产能不变</w:t>
            </w:r>
            <w:r>
              <w:rPr>
                <w:rFonts w:hint="eastAsia" w:ascii="Times New Roman" w:hAnsi="Times New Roman" w:cs="Times New Roman"/>
                <w:sz w:val="24"/>
                <w:szCs w:val="24"/>
                <w:lang w:val="en-US" w:eastAsia="zh-CN"/>
              </w:rPr>
              <w:t>。</w:t>
            </w:r>
          </w:p>
          <w:p w14:paraId="06766361">
            <w:pPr>
              <w:keepNext w:val="0"/>
              <w:keepLines w:val="0"/>
              <w:suppressLineNumbers w:val="0"/>
              <w:spacing w:before="0" w:beforeAutospacing="0" w:after="0" w:afterAutospacing="0" w:line="240" w:lineRule="auto"/>
              <w:ind w:left="0" w:right="0" w:firstLine="422" w:firstLineChars="200"/>
              <w:jc w:val="center"/>
              <w:rPr>
                <w:rFonts w:hint="default" w:ascii="Times New Roman" w:hAnsi="Times New Roman" w:eastAsia="宋体" w:cs="Times New Roman"/>
                <w:b/>
                <w:bCs/>
                <w:color w:val="000000"/>
                <w:kern w:val="0"/>
                <w:sz w:val="21"/>
                <w:szCs w:val="21"/>
                <w:lang w:val="en-US" w:eastAsia="zh-CN" w:bidi="ar-SA"/>
              </w:rPr>
            </w:pPr>
            <w:r>
              <w:rPr>
                <w:rFonts w:hint="default" w:ascii="Times New Roman" w:hAnsi="Times New Roman" w:eastAsia="宋体" w:cs="Times New Roman"/>
                <w:b/>
                <w:bCs/>
                <w:color w:val="000000"/>
                <w:kern w:val="0"/>
                <w:sz w:val="21"/>
                <w:szCs w:val="21"/>
                <w:lang w:val="en-US" w:eastAsia="zh-CN" w:bidi="ar-SA"/>
              </w:rPr>
              <w:t>项目产品方案一览表</w:t>
            </w:r>
          </w:p>
          <w:tbl>
            <w:tblPr>
              <w:tblStyle w:val="38"/>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48"/>
              <w:gridCol w:w="1567"/>
              <w:gridCol w:w="1125"/>
              <w:gridCol w:w="1200"/>
              <w:gridCol w:w="1290"/>
              <w:gridCol w:w="1410"/>
              <w:gridCol w:w="1219"/>
            </w:tblGrid>
            <w:tr w14:paraId="4B1E8D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271" w:type="pct"/>
                  <w:vMerge w:val="restart"/>
                  <w:noWrap w:val="0"/>
                  <w:vAlign w:val="center"/>
                </w:tcPr>
                <w:p w14:paraId="082FA50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snapToGrid w:val="0"/>
                      <w:color w:val="auto"/>
                      <w:sz w:val="21"/>
                      <w:szCs w:val="21"/>
                      <w:lang w:val="en-US" w:eastAsia="zh-CN"/>
                    </w:rPr>
                  </w:pPr>
                  <w:r>
                    <w:rPr>
                      <w:rFonts w:hint="default" w:ascii="Times New Roman" w:hAnsi="Times New Roman" w:eastAsia="宋体" w:cs="Times New Roman"/>
                      <w:snapToGrid w:val="0"/>
                      <w:color w:val="auto"/>
                      <w:sz w:val="21"/>
                      <w:szCs w:val="21"/>
                      <w:lang w:val="en-US" w:eastAsia="zh-CN"/>
                    </w:rPr>
                    <w:t>序号</w:t>
                  </w:r>
                </w:p>
              </w:tc>
              <w:tc>
                <w:tcPr>
                  <w:tcW w:w="948" w:type="pct"/>
                  <w:vMerge w:val="restart"/>
                  <w:noWrap w:val="0"/>
                  <w:vAlign w:val="center"/>
                </w:tcPr>
                <w:p w14:paraId="4066524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snapToGrid w:val="0"/>
                      <w:color w:val="auto"/>
                      <w:sz w:val="21"/>
                      <w:szCs w:val="21"/>
                      <w:lang w:val="en-US" w:eastAsia="zh-CN"/>
                    </w:rPr>
                  </w:pPr>
                  <w:r>
                    <w:rPr>
                      <w:rFonts w:hint="default" w:ascii="Times New Roman" w:hAnsi="Times New Roman" w:eastAsia="宋体" w:cs="Times New Roman"/>
                      <w:snapToGrid w:val="0"/>
                      <w:color w:val="auto"/>
                      <w:sz w:val="21"/>
                      <w:szCs w:val="21"/>
                      <w:lang w:val="en-US" w:eastAsia="zh-CN"/>
                    </w:rPr>
                    <w:t>产品</w:t>
                  </w:r>
                  <w:r>
                    <w:rPr>
                      <w:rFonts w:hint="default" w:ascii="Times New Roman" w:hAnsi="Times New Roman" w:eastAsia="宋体" w:cs="Times New Roman"/>
                      <w:snapToGrid w:val="0"/>
                      <w:color w:val="auto"/>
                      <w:sz w:val="21"/>
                      <w:szCs w:val="21"/>
                    </w:rPr>
                    <w:t>名称</w:t>
                  </w:r>
                </w:p>
              </w:tc>
              <w:tc>
                <w:tcPr>
                  <w:tcW w:w="681" w:type="pct"/>
                  <w:vMerge w:val="restart"/>
                  <w:noWrap w:val="0"/>
                  <w:vAlign w:val="center"/>
                </w:tcPr>
                <w:p w14:paraId="306CDB3F">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snapToGrid w:val="0"/>
                      <w:color w:val="auto"/>
                      <w:sz w:val="21"/>
                      <w:szCs w:val="21"/>
                      <w:lang w:val="en-US" w:eastAsia="zh-CN"/>
                    </w:rPr>
                  </w:pPr>
                  <w:r>
                    <w:rPr>
                      <w:rFonts w:hint="eastAsia" w:ascii="Times New Roman" w:hAnsi="Times New Roman" w:eastAsia="宋体" w:cs="Times New Roman"/>
                      <w:snapToGrid w:val="0"/>
                      <w:color w:val="auto"/>
                      <w:sz w:val="21"/>
                      <w:szCs w:val="21"/>
                      <w:lang w:val="en-US" w:eastAsia="zh-CN"/>
                    </w:rPr>
                    <w:t>现有工程</w:t>
                  </w:r>
                </w:p>
              </w:tc>
              <w:tc>
                <w:tcPr>
                  <w:tcW w:w="1507" w:type="pct"/>
                  <w:gridSpan w:val="2"/>
                  <w:noWrap w:val="0"/>
                  <w:vAlign w:val="center"/>
                </w:tcPr>
                <w:p w14:paraId="653408FD">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105" w:leftChars="50" w:right="105" w:rightChars="50"/>
                    <w:jc w:val="center"/>
                    <w:textAlignment w:val="auto"/>
                    <w:rPr>
                      <w:rFonts w:hint="eastAsia" w:ascii="Times New Roman" w:hAnsi="Times New Roman" w:eastAsia="宋体" w:cs="Times New Roman"/>
                      <w:snapToGrid w:val="0"/>
                      <w:color w:val="auto"/>
                      <w:kern w:val="2"/>
                      <w:sz w:val="21"/>
                      <w:szCs w:val="21"/>
                      <w:lang w:val="en-US" w:eastAsia="zh-CN" w:bidi="ar-SA"/>
                    </w:rPr>
                  </w:pPr>
                  <w:r>
                    <w:rPr>
                      <w:rFonts w:hint="eastAsia" w:ascii="Times New Roman" w:hAnsi="Times New Roman" w:eastAsia="宋体" w:cs="Times New Roman"/>
                      <w:snapToGrid w:val="0"/>
                      <w:color w:val="auto"/>
                      <w:sz w:val="21"/>
                      <w:szCs w:val="21"/>
                      <w:lang w:val="en-US" w:eastAsia="zh-CN"/>
                    </w:rPr>
                    <w:t>技改项目</w:t>
                  </w:r>
                </w:p>
              </w:tc>
              <w:tc>
                <w:tcPr>
                  <w:tcW w:w="853" w:type="pct"/>
                  <w:vMerge w:val="restart"/>
                  <w:noWrap w:val="0"/>
                  <w:vAlign w:val="center"/>
                </w:tcPr>
                <w:p w14:paraId="5B694FE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snapToGrid w:val="0"/>
                      <w:color w:val="auto"/>
                      <w:sz w:val="21"/>
                      <w:szCs w:val="21"/>
                      <w:lang w:val="en-US" w:eastAsia="zh-CN"/>
                    </w:rPr>
                  </w:pPr>
                  <w:r>
                    <w:rPr>
                      <w:rFonts w:hint="eastAsia" w:ascii="Times New Roman" w:hAnsi="Times New Roman" w:eastAsia="宋体" w:cs="Times New Roman"/>
                      <w:snapToGrid w:val="0"/>
                      <w:color w:val="auto"/>
                      <w:sz w:val="21"/>
                      <w:szCs w:val="21"/>
                      <w:lang w:val="en-US" w:eastAsia="zh-CN"/>
                    </w:rPr>
                    <w:t>技改完成后全厂</w:t>
                  </w:r>
                </w:p>
              </w:tc>
              <w:tc>
                <w:tcPr>
                  <w:tcW w:w="737" w:type="pct"/>
                  <w:vMerge w:val="restart"/>
                  <w:noWrap w:val="0"/>
                  <w:vAlign w:val="center"/>
                </w:tcPr>
                <w:p w14:paraId="2C52487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105" w:leftChars="50" w:right="105" w:rightChars="50"/>
                    <w:jc w:val="center"/>
                    <w:textAlignment w:val="auto"/>
                    <w:rPr>
                      <w:rFonts w:hint="eastAsia" w:ascii="Times New Roman" w:hAnsi="Times New Roman" w:eastAsia="宋体" w:cs="Times New Roman"/>
                      <w:snapToGrid w:val="0"/>
                      <w:color w:val="auto"/>
                      <w:sz w:val="21"/>
                      <w:szCs w:val="21"/>
                      <w:lang w:val="en-US" w:eastAsia="zh-CN"/>
                    </w:rPr>
                  </w:pPr>
                  <w:r>
                    <w:rPr>
                      <w:rFonts w:hint="eastAsia" w:ascii="Times New Roman" w:hAnsi="Times New Roman" w:eastAsia="宋体" w:cs="Times New Roman"/>
                      <w:snapToGrid w:val="0"/>
                      <w:color w:val="auto"/>
                      <w:sz w:val="21"/>
                      <w:szCs w:val="21"/>
                      <w:lang w:val="en-US" w:eastAsia="zh-CN"/>
                    </w:rPr>
                    <w:t>备注</w:t>
                  </w:r>
                </w:p>
              </w:tc>
            </w:tr>
            <w:tr w14:paraId="367D58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271" w:type="pct"/>
                  <w:vMerge w:val="continue"/>
                  <w:noWrap w:val="0"/>
                  <w:vAlign w:val="center"/>
                </w:tcPr>
                <w:p w14:paraId="347AD4A7">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snapToGrid w:val="0"/>
                      <w:color w:val="auto"/>
                      <w:sz w:val="21"/>
                      <w:szCs w:val="21"/>
                      <w:lang w:val="en-US" w:eastAsia="zh-CN"/>
                    </w:rPr>
                  </w:pPr>
                </w:p>
              </w:tc>
              <w:tc>
                <w:tcPr>
                  <w:tcW w:w="948" w:type="pct"/>
                  <w:vMerge w:val="continue"/>
                  <w:noWrap w:val="0"/>
                  <w:vAlign w:val="center"/>
                </w:tcPr>
                <w:p w14:paraId="1738BA97">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snapToGrid w:val="0"/>
                      <w:color w:val="auto"/>
                      <w:sz w:val="21"/>
                      <w:szCs w:val="21"/>
                      <w:lang w:val="en-US" w:eastAsia="zh-CN"/>
                    </w:rPr>
                  </w:pPr>
                </w:p>
              </w:tc>
              <w:tc>
                <w:tcPr>
                  <w:tcW w:w="681" w:type="pct"/>
                  <w:vMerge w:val="continue"/>
                  <w:noWrap w:val="0"/>
                  <w:vAlign w:val="center"/>
                </w:tcPr>
                <w:p w14:paraId="54DCA746">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105" w:leftChars="50" w:right="105" w:rightChars="50"/>
                    <w:jc w:val="center"/>
                    <w:textAlignment w:val="auto"/>
                    <w:rPr>
                      <w:rFonts w:hint="eastAsia" w:ascii="Times New Roman" w:hAnsi="Times New Roman" w:eastAsia="宋体" w:cs="Times New Roman"/>
                      <w:snapToGrid w:val="0"/>
                      <w:color w:val="auto"/>
                      <w:sz w:val="21"/>
                      <w:szCs w:val="21"/>
                      <w:lang w:val="en-US" w:eastAsia="zh-CN"/>
                    </w:rPr>
                  </w:pPr>
                </w:p>
              </w:tc>
              <w:tc>
                <w:tcPr>
                  <w:tcW w:w="726" w:type="pct"/>
                  <w:noWrap w:val="0"/>
                  <w:vAlign w:val="center"/>
                </w:tcPr>
                <w:p w14:paraId="2CA5B5CE">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105" w:leftChars="50" w:right="105" w:rightChars="50"/>
                    <w:jc w:val="center"/>
                    <w:textAlignment w:val="auto"/>
                    <w:rPr>
                      <w:rFonts w:hint="eastAsia" w:ascii="Times New Roman" w:hAnsi="Times New Roman" w:eastAsia="宋体" w:cs="Times New Roman"/>
                      <w:snapToGrid w:val="0"/>
                      <w:color w:val="auto"/>
                      <w:sz w:val="21"/>
                      <w:szCs w:val="21"/>
                      <w:lang w:val="en-US" w:eastAsia="zh-CN"/>
                    </w:rPr>
                  </w:pPr>
                  <w:r>
                    <w:rPr>
                      <w:rFonts w:hint="eastAsia" w:ascii="Times New Roman" w:hAnsi="Times New Roman" w:eastAsia="宋体" w:cs="Times New Roman"/>
                      <w:snapToGrid w:val="0"/>
                      <w:color w:val="auto"/>
                      <w:sz w:val="21"/>
                      <w:szCs w:val="21"/>
                      <w:lang w:val="en-US" w:eastAsia="zh-CN"/>
                    </w:rPr>
                    <w:t>洁净车间</w:t>
                  </w:r>
                </w:p>
              </w:tc>
              <w:tc>
                <w:tcPr>
                  <w:tcW w:w="780" w:type="pct"/>
                  <w:noWrap w:val="0"/>
                  <w:vAlign w:val="center"/>
                </w:tcPr>
                <w:p w14:paraId="1D4A527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105" w:leftChars="50" w:right="105" w:rightChars="50"/>
                    <w:jc w:val="center"/>
                    <w:textAlignment w:val="auto"/>
                    <w:rPr>
                      <w:rFonts w:hint="eastAsia" w:ascii="Times New Roman" w:hAnsi="Times New Roman" w:eastAsia="宋体" w:cs="Times New Roman"/>
                      <w:snapToGrid w:val="0"/>
                      <w:color w:val="auto"/>
                      <w:sz w:val="21"/>
                      <w:szCs w:val="21"/>
                      <w:lang w:val="en-US" w:eastAsia="zh-CN"/>
                    </w:rPr>
                  </w:pPr>
                  <w:r>
                    <w:rPr>
                      <w:rFonts w:hint="eastAsia" w:ascii="Times New Roman" w:hAnsi="Times New Roman" w:eastAsia="宋体" w:cs="Times New Roman"/>
                      <w:snapToGrid w:val="0"/>
                      <w:color w:val="auto"/>
                      <w:sz w:val="21"/>
                      <w:szCs w:val="21"/>
                      <w:lang w:val="en-US" w:eastAsia="zh-CN"/>
                    </w:rPr>
                    <w:t>非洁净车间</w:t>
                  </w:r>
                </w:p>
              </w:tc>
              <w:tc>
                <w:tcPr>
                  <w:tcW w:w="853" w:type="pct"/>
                  <w:vMerge w:val="continue"/>
                  <w:noWrap w:val="0"/>
                  <w:vAlign w:val="center"/>
                </w:tcPr>
                <w:p w14:paraId="2871729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105" w:leftChars="50" w:right="105" w:rightChars="50"/>
                    <w:jc w:val="center"/>
                    <w:textAlignment w:val="auto"/>
                    <w:rPr>
                      <w:rFonts w:hint="eastAsia" w:ascii="Times New Roman" w:hAnsi="Times New Roman" w:eastAsia="宋体" w:cs="Times New Roman"/>
                      <w:snapToGrid w:val="0"/>
                      <w:color w:val="auto"/>
                      <w:sz w:val="21"/>
                      <w:szCs w:val="21"/>
                      <w:lang w:val="en-US" w:eastAsia="zh-CN"/>
                    </w:rPr>
                  </w:pPr>
                </w:p>
              </w:tc>
              <w:tc>
                <w:tcPr>
                  <w:tcW w:w="737" w:type="pct"/>
                  <w:vMerge w:val="continue"/>
                  <w:noWrap w:val="0"/>
                  <w:vAlign w:val="center"/>
                </w:tcPr>
                <w:p w14:paraId="3D9C2FAB">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105" w:leftChars="50" w:right="105" w:rightChars="50"/>
                    <w:jc w:val="center"/>
                    <w:textAlignment w:val="auto"/>
                    <w:rPr>
                      <w:rFonts w:hint="eastAsia" w:ascii="Times New Roman" w:hAnsi="Times New Roman" w:eastAsia="宋体" w:cs="Times New Roman"/>
                      <w:snapToGrid w:val="0"/>
                      <w:color w:val="auto"/>
                      <w:sz w:val="21"/>
                      <w:szCs w:val="21"/>
                      <w:lang w:val="en-US" w:eastAsia="zh-CN"/>
                    </w:rPr>
                  </w:pPr>
                </w:p>
              </w:tc>
            </w:tr>
            <w:tr w14:paraId="443AD8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3" w:hRule="atLeast"/>
                <w:jc w:val="center"/>
              </w:trPr>
              <w:tc>
                <w:tcPr>
                  <w:tcW w:w="271" w:type="pct"/>
                  <w:noWrap w:val="0"/>
                  <w:vAlign w:val="center"/>
                </w:tcPr>
                <w:p w14:paraId="2DFDBDDF">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w:t>
                  </w:r>
                </w:p>
              </w:tc>
              <w:tc>
                <w:tcPr>
                  <w:tcW w:w="948" w:type="pct"/>
                  <w:noWrap w:val="0"/>
                  <w:vAlign w:val="center"/>
                </w:tcPr>
                <w:p w14:paraId="2DC24ACC">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105" w:leftChars="50" w:right="105" w:rightChars="5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中药包装袋（通用卷）</w:t>
                  </w:r>
                </w:p>
              </w:tc>
              <w:tc>
                <w:tcPr>
                  <w:tcW w:w="681" w:type="pct"/>
                  <w:noWrap w:val="0"/>
                  <w:vAlign w:val="center"/>
                </w:tcPr>
                <w:p w14:paraId="4AEE599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24万套</w:t>
                  </w:r>
                </w:p>
              </w:tc>
              <w:tc>
                <w:tcPr>
                  <w:tcW w:w="726" w:type="pct"/>
                  <w:noWrap w:val="0"/>
                  <w:vAlign w:val="center"/>
                </w:tcPr>
                <w:p w14:paraId="6D79E190">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6万套</w:t>
                  </w:r>
                </w:p>
              </w:tc>
              <w:tc>
                <w:tcPr>
                  <w:tcW w:w="780" w:type="pct"/>
                  <w:noWrap w:val="0"/>
                  <w:vAlign w:val="center"/>
                </w:tcPr>
                <w:p w14:paraId="04938DCC">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105" w:leftChars="50" w:right="105" w:rightChars="5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18万套</w:t>
                  </w:r>
                </w:p>
              </w:tc>
              <w:tc>
                <w:tcPr>
                  <w:tcW w:w="853" w:type="pct"/>
                  <w:noWrap w:val="0"/>
                  <w:vAlign w:val="center"/>
                </w:tcPr>
                <w:p w14:paraId="528967F7">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24万套</w:t>
                  </w:r>
                </w:p>
              </w:tc>
              <w:tc>
                <w:tcPr>
                  <w:tcW w:w="737" w:type="pct"/>
                  <w:noWrap w:val="0"/>
                  <w:vAlign w:val="center"/>
                </w:tcPr>
                <w:p w14:paraId="75327AA6">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105" w:leftChars="50" w:right="105" w:rightChars="5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产能不变</w:t>
                  </w:r>
                </w:p>
              </w:tc>
            </w:tr>
            <w:tr w14:paraId="203C3D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3" w:hRule="atLeast"/>
                <w:jc w:val="center"/>
              </w:trPr>
              <w:tc>
                <w:tcPr>
                  <w:tcW w:w="271" w:type="pct"/>
                  <w:noWrap w:val="0"/>
                  <w:vAlign w:val="center"/>
                </w:tcPr>
                <w:p w14:paraId="300B0BE3">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w:t>
                  </w:r>
                </w:p>
              </w:tc>
              <w:tc>
                <w:tcPr>
                  <w:tcW w:w="948" w:type="pct"/>
                  <w:noWrap w:val="0"/>
                  <w:vAlign w:val="center"/>
                </w:tcPr>
                <w:p w14:paraId="428AC3E2">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105" w:leftChars="50" w:right="105" w:rightChars="5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中药包装袋（印字卷）</w:t>
                  </w:r>
                </w:p>
              </w:tc>
              <w:tc>
                <w:tcPr>
                  <w:tcW w:w="681" w:type="pct"/>
                  <w:noWrap w:val="0"/>
                  <w:vAlign w:val="center"/>
                </w:tcPr>
                <w:p w14:paraId="101D4F5C">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22万套</w:t>
                  </w:r>
                </w:p>
              </w:tc>
              <w:tc>
                <w:tcPr>
                  <w:tcW w:w="726" w:type="pct"/>
                  <w:noWrap w:val="0"/>
                  <w:vAlign w:val="center"/>
                </w:tcPr>
                <w:p w14:paraId="65D5AECB">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5万套</w:t>
                  </w:r>
                </w:p>
              </w:tc>
              <w:tc>
                <w:tcPr>
                  <w:tcW w:w="780" w:type="pct"/>
                  <w:noWrap w:val="0"/>
                  <w:vAlign w:val="center"/>
                </w:tcPr>
                <w:p w14:paraId="5DA5B0B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105" w:leftChars="50" w:right="105" w:rightChars="5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17万套</w:t>
                  </w:r>
                </w:p>
              </w:tc>
              <w:tc>
                <w:tcPr>
                  <w:tcW w:w="853" w:type="pct"/>
                  <w:noWrap w:val="0"/>
                  <w:vAlign w:val="center"/>
                </w:tcPr>
                <w:p w14:paraId="3FBF4991">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105" w:leftChars="50" w:right="105" w:rightChars="5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22万套</w:t>
                  </w:r>
                </w:p>
              </w:tc>
              <w:tc>
                <w:tcPr>
                  <w:tcW w:w="737" w:type="pct"/>
                  <w:noWrap w:val="0"/>
                  <w:vAlign w:val="center"/>
                </w:tcPr>
                <w:p w14:paraId="4DDC1976">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105" w:leftChars="50" w:right="105" w:rightChars="5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产能不变</w:t>
                  </w:r>
                </w:p>
              </w:tc>
            </w:tr>
          </w:tbl>
          <w:p w14:paraId="005AD93F">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textAlignment w:val="auto"/>
              <w:outlineLvl w:val="2"/>
              <w:rPr>
                <w:rFonts w:hint="default" w:ascii="Times New Roman" w:hAnsi="Times New Roman" w:cs="Times New Roman"/>
                <w:b/>
                <w:bCs/>
                <w:sz w:val="24"/>
                <w:szCs w:val="22"/>
              </w:rPr>
            </w:pPr>
            <w:r>
              <w:rPr>
                <w:rFonts w:hint="eastAsia" w:ascii="Times New Roman" w:hAnsi="Times New Roman" w:cs="Times New Roman"/>
                <w:b/>
                <w:sz w:val="24"/>
                <w:lang w:val="en-US" w:eastAsia="zh-CN"/>
              </w:rPr>
              <w:t>5、</w:t>
            </w:r>
            <w:r>
              <w:rPr>
                <w:rFonts w:hint="eastAsia" w:ascii="Times New Roman" w:hAnsi="Times New Roman" w:cs="Times New Roman"/>
                <w:b/>
                <w:sz w:val="24"/>
              </w:rPr>
              <w:t>主要</w:t>
            </w:r>
            <w:r>
              <w:rPr>
                <w:rFonts w:hint="default" w:ascii="Times New Roman" w:hAnsi="Times New Roman" w:cs="Times New Roman"/>
                <w:b/>
                <w:sz w:val="24"/>
              </w:rPr>
              <w:t>原辅材料及能源</w:t>
            </w:r>
            <w:r>
              <w:rPr>
                <w:rFonts w:hint="eastAsia" w:ascii="Times New Roman" w:hAnsi="Times New Roman" w:cs="Times New Roman"/>
                <w:b/>
                <w:sz w:val="24"/>
              </w:rPr>
              <w:t>资源</w:t>
            </w:r>
            <w:r>
              <w:rPr>
                <w:rFonts w:hint="default" w:ascii="Times New Roman" w:hAnsi="Times New Roman" w:cs="Times New Roman"/>
                <w:b/>
                <w:sz w:val="24"/>
              </w:rPr>
              <w:t>消耗</w:t>
            </w:r>
          </w:p>
          <w:p w14:paraId="715B4BD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sz w:val="24"/>
                <w:szCs w:val="22"/>
              </w:rPr>
            </w:pPr>
            <w:r>
              <w:rPr>
                <w:rFonts w:hint="eastAsia" w:ascii="Times New Roman" w:hAnsi="Times New Roman" w:cs="Times New Roman"/>
                <w:sz w:val="24"/>
                <w:szCs w:val="22"/>
                <w:lang w:val="en-US" w:eastAsia="zh-CN"/>
              </w:rPr>
              <w:t>技改项目</w:t>
            </w:r>
            <w:r>
              <w:rPr>
                <w:rFonts w:hint="default" w:ascii="Times New Roman" w:hAnsi="Times New Roman" w:cs="Times New Roman"/>
                <w:sz w:val="24"/>
                <w:szCs w:val="22"/>
              </w:rPr>
              <w:t>主要原辅材料及燃料的种类和用量详见</w:t>
            </w:r>
            <w:r>
              <w:rPr>
                <w:rFonts w:hint="eastAsia" w:ascii="Times New Roman" w:hAnsi="Times New Roman" w:cs="Times New Roman"/>
                <w:sz w:val="24"/>
                <w:szCs w:val="22"/>
              </w:rPr>
              <w:t>下表</w:t>
            </w:r>
            <w:r>
              <w:rPr>
                <w:rFonts w:hint="default" w:ascii="Times New Roman" w:hAnsi="Times New Roman" w:cs="Times New Roman"/>
                <w:sz w:val="24"/>
                <w:szCs w:val="22"/>
              </w:rPr>
              <w:t>。</w:t>
            </w:r>
            <w:bookmarkStart w:id="3" w:name="_Ref365271514"/>
          </w:p>
          <w:bookmarkEnd w:id="3"/>
          <w:p w14:paraId="7D6F3DDF">
            <w:pPr>
              <w:keepNext w:val="0"/>
              <w:keepLines w:val="0"/>
              <w:suppressLineNumbers w:val="0"/>
              <w:spacing w:before="0" w:beforeAutospacing="0" w:after="0" w:afterAutospacing="0" w:line="240" w:lineRule="auto"/>
              <w:ind w:left="0" w:right="0" w:firstLine="422" w:firstLineChars="200"/>
              <w:jc w:val="center"/>
              <w:rPr>
                <w:rFonts w:hint="eastAsia" w:ascii="Times New Roman" w:hAnsi="Times New Roman" w:eastAsia="宋体" w:cs="Times New Roman"/>
                <w:b/>
                <w:bCs/>
                <w:color w:val="000000"/>
                <w:kern w:val="0"/>
                <w:sz w:val="21"/>
                <w:szCs w:val="21"/>
                <w:lang w:val="en-US" w:eastAsia="zh-CN" w:bidi="ar-SA"/>
              </w:rPr>
            </w:pPr>
          </w:p>
          <w:p w14:paraId="46105C89">
            <w:pPr>
              <w:keepNext w:val="0"/>
              <w:keepLines w:val="0"/>
              <w:suppressLineNumbers w:val="0"/>
              <w:spacing w:before="0" w:beforeAutospacing="0" w:after="0" w:afterAutospacing="0" w:line="240" w:lineRule="auto"/>
              <w:ind w:left="0" w:right="0" w:firstLine="422" w:firstLineChars="200"/>
              <w:jc w:val="center"/>
              <w:rPr>
                <w:rFonts w:hint="eastAsia" w:ascii="Times New Roman" w:hAnsi="Times New Roman" w:eastAsia="宋体" w:cs="Times New Roman"/>
                <w:b/>
                <w:bCs/>
                <w:color w:val="000000"/>
                <w:kern w:val="0"/>
                <w:sz w:val="21"/>
                <w:szCs w:val="21"/>
                <w:lang w:val="en-US" w:eastAsia="zh-CN" w:bidi="ar-SA"/>
              </w:rPr>
            </w:pPr>
          </w:p>
          <w:p w14:paraId="6E7772F5">
            <w:pPr>
              <w:keepNext w:val="0"/>
              <w:keepLines w:val="0"/>
              <w:suppressLineNumbers w:val="0"/>
              <w:spacing w:before="0" w:beforeAutospacing="0" w:after="0" w:afterAutospacing="0" w:line="240" w:lineRule="auto"/>
              <w:ind w:left="0" w:right="0" w:firstLine="422" w:firstLineChars="200"/>
              <w:jc w:val="center"/>
              <w:rPr>
                <w:rFonts w:hint="eastAsia" w:ascii="Times New Roman" w:hAnsi="Times New Roman" w:eastAsia="宋体" w:cs="Times New Roman"/>
                <w:b/>
                <w:bCs/>
                <w:color w:val="000000"/>
                <w:kern w:val="0"/>
                <w:sz w:val="21"/>
                <w:szCs w:val="21"/>
                <w:lang w:val="en-US" w:eastAsia="zh-CN" w:bidi="ar-SA"/>
              </w:rPr>
            </w:pPr>
          </w:p>
          <w:p w14:paraId="6FC23F13">
            <w:pPr>
              <w:keepNext w:val="0"/>
              <w:keepLines w:val="0"/>
              <w:suppressLineNumbers w:val="0"/>
              <w:spacing w:before="0" w:beforeAutospacing="0" w:after="0" w:afterAutospacing="0" w:line="240" w:lineRule="auto"/>
              <w:ind w:left="0" w:right="0" w:firstLine="422" w:firstLineChars="200"/>
              <w:jc w:val="center"/>
              <w:rPr>
                <w:rFonts w:hint="eastAsia" w:ascii="Times New Roman" w:hAnsi="Times New Roman" w:eastAsia="宋体" w:cs="Times New Roman"/>
                <w:b/>
                <w:bCs/>
                <w:color w:val="000000"/>
                <w:kern w:val="0"/>
                <w:sz w:val="21"/>
                <w:szCs w:val="21"/>
                <w:lang w:val="en-US" w:eastAsia="zh-CN" w:bidi="ar-SA"/>
              </w:rPr>
            </w:pPr>
          </w:p>
          <w:p w14:paraId="2EF3D52F">
            <w:pPr>
              <w:keepNext w:val="0"/>
              <w:keepLines w:val="0"/>
              <w:suppressLineNumbers w:val="0"/>
              <w:spacing w:before="0" w:beforeAutospacing="0" w:after="0" w:afterAutospacing="0" w:line="240" w:lineRule="auto"/>
              <w:ind w:left="0" w:right="0" w:firstLine="422" w:firstLineChars="200"/>
              <w:jc w:val="center"/>
              <w:rPr>
                <w:rFonts w:hint="eastAsia" w:ascii="Times New Roman" w:hAnsi="Times New Roman" w:eastAsia="宋体" w:cs="Times New Roman"/>
                <w:b/>
                <w:bCs/>
                <w:color w:val="000000"/>
                <w:kern w:val="0"/>
                <w:sz w:val="21"/>
                <w:szCs w:val="21"/>
                <w:lang w:val="en-US" w:eastAsia="zh-CN" w:bidi="ar-SA"/>
              </w:rPr>
            </w:pPr>
          </w:p>
          <w:p w14:paraId="77D5C93F">
            <w:pPr>
              <w:keepNext w:val="0"/>
              <w:keepLines w:val="0"/>
              <w:suppressLineNumbers w:val="0"/>
              <w:spacing w:before="157" w:beforeLines="50" w:beforeAutospacing="0" w:after="0" w:afterAutospacing="0" w:line="240" w:lineRule="auto"/>
              <w:ind w:left="0" w:right="0" w:firstLine="422" w:firstLineChars="200"/>
              <w:jc w:val="center"/>
              <w:rPr>
                <w:rFonts w:hint="eastAsia" w:ascii="Times New Roman" w:hAnsi="Times New Roman" w:eastAsia="宋体" w:cs="Times New Roman"/>
                <w:b/>
                <w:bCs/>
                <w:color w:val="000000"/>
                <w:kern w:val="0"/>
                <w:sz w:val="21"/>
                <w:szCs w:val="21"/>
                <w:lang w:val="en-US" w:eastAsia="zh-CN" w:bidi="ar-SA"/>
              </w:rPr>
            </w:pPr>
            <w:r>
              <w:rPr>
                <w:rFonts w:hint="eastAsia" w:ascii="Times New Roman" w:hAnsi="Times New Roman" w:eastAsia="宋体" w:cs="Times New Roman"/>
                <w:b/>
                <w:bCs/>
                <w:color w:val="000000"/>
                <w:kern w:val="0"/>
                <w:sz w:val="21"/>
                <w:szCs w:val="21"/>
                <w:lang w:val="en-US" w:eastAsia="zh-CN" w:bidi="ar-SA"/>
              </w:rPr>
              <w:t>项目主要原辅材料及燃料的种类和用量</w:t>
            </w:r>
          </w:p>
          <w:tbl>
            <w:tblPr>
              <w:tblStyle w:val="38"/>
              <w:tblW w:w="83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0"/>
              <w:gridCol w:w="801"/>
              <w:gridCol w:w="694"/>
              <w:gridCol w:w="704"/>
              <w:gridCol w:w="807"/>
              <w:gridCol w:w="1916"/>
              <w:gridCol w:w="773"/>
              <w:gridCol w:w="696"/>
              <w:gridCol w:w="1587"/>
            </w:tblGrid>
            <w:tr w14:paraId="3618C4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204" w:type="pct"/>
                  <w:vMerge w:val="restart"/>
                  <w:tcBorders>
                    <w:top w:val="single" w:color="auto" w:sz="4" w:space="0"/>
                    <w:left w:val="single" w:color="auto" w:sz="4" w:space="0"/>
                    <w:right w:val="single" w:color="auto" w:sz="4" w:space="0"/>
                  </w:tcBorders>
                  <w:noWrap w:val="0"/>
                  <w:vAlign w:val="center"/>
                </w:tcPr>
                <w:p w14:paraId="2B9E3CC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szCs w:val="21"/>
                    </w:rPr>
                  </w:pPr>
                  <w:r>
                    <w:rPr>
                      <w:rFonts w:hint="default" w:ascii="Times New Roman" w:hAnsi="Times New Roman" w:cs="Times New Roman"/>
                      <w:szCs w:val="21"/>
                    </w:rPr>
                    <w:t>序号</w:t>
                  </w:r>
                </w:p>
              </w:tc>
              <w:tc>
                <w:tcPr>
                  <w:tcW w:w="481" w:type="pct"/>
                  <w:vMerge w:val="restart"/>
                  <w:tcBorders>
                    <w:top w:val="single" w:color="auto" w:sz="4" w:space="0"/>
                    <w:left w:val="single" w:color="auto" w:sz="4" w:space="0"/>
                    <w:right w:val="single" w:color="auto" w:sz="4" w:space="0"/>
                  </w:tcBorders>
                  <w:noWrap w:val="0"/>
                  <w:vAlign w:val="center"/>
                </w:tcPr>
                <w:p w14:paraId="507B87E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szCs w:val="21"/>
                    </w:rPr>
                  </w:pPr>
                  <w:r>
                    <w:rPr>
                      <w:rFonts w:hint="default" w:ascii="Times New Roman" w:hAnsi="Times New Roman" w:cs="Times New Roman"/>
                      <w:szCs w:val="21"/>
                    </w:rPr>
                    <w:t>原辅材料</w:t>
                  </w:r>
                </w:p>
              </w:tc>
              <w:tc>
                <w:tcPr>
                  <w:tcW w:w="417" w:type="pct"/>
                  <w:vMerge w:val="restart"/>
                  <w:tcBorders>
                    <w:top w:val="single" w:color="auto" w:sz="4" w:space="0"/>
                    <w:left w:val="single" w:color="auto" w:sz="4" w:space="0"/>
                    <w:right w:val="single" w:color="auto" w:sz="4" w:space="0"/>
                  </w:tcBorders>
                  <w:noWrap w:val="0"/>
                  <w:vAlign w:val="center"/>
                </w:tcPr>
                <w:p w14:paraId="476C79E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Cs w:val="21"/>
                      <w:highlight w:val="none"/>
                      <w:lang w:val="en-US" w:eastAsia="zh-CN"/>
                    </w:rPr>
                  </w:pPr>
                  <w:r>
                    <w:rPr>
                      <w:rFonts w:hint="eastAsia" w:ascii="Times New Roman" w:hAnsi="Times New Roman" w:cs="Times New Roman"/>
                      <w:szCs w:val="21"/>
                      <w:highlight w:val="none"/>
                      <w:lang w:val="en-US" w:eastAsia="zh-CN"/>
                    </w:rPr>
                    <w:t>现有工程</w:t>
                  </w:r>
                  <w:r>
                    <w:rPr>
                      <w:rFonts w:hint="eastAsia" w:ascii="Times New Roman" w:hAnsi="Times New Roman" w:cs="Times New Roman"/>
                      <w:szCs w:val="21"/>
                      <w:highlight w:val="none"/>
                    </w:rPr>
                    <w:t>用量</w:t>
                  </w:r>
                  <w:r>
                    <w:rPr>
                      <w:rFonts w:hint="eastAsia" w:ascii="Times New Roman" w:hAnsi="Times New Roman" w:cs="Times New Roman"/>
                      <w:szCs w:val="21"/>
                      <w:highlight w:val="none"/>
                      <w:lang w:val="en-US" w:eastAsia="zh-CN"/>
                    </w:rPr>
                    <w:t>t/a</w:t>
                  </w:r>
                </w:p>
              </w:tc>
              <w:tc>
                <w:tcPr>
                  <w:tcW w:w="908" w:type="pct"/>
                  <w:gridSpan w:val="2"/>
                  <w:tcBorders>
                    <w:top w:val="single" w:color="auto" w:sz="4" w:space="0"/>
                    <w:left w:val="single" w:color="auto" w:sz="4" w:space="0"/>
                    <w:right w:val="single" w:color="auto" w:sz="4" w:space="0"/>
                  </w:tcBorders>
                  <w:noWrap w:val="0"/>
                  <w:vAlign w:val="center"/>
                </w:tcPr>
                <w:p w14:paraId="4953D2D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技改项目用量</w:t>
                  </w:r>
                  <w:r>
                    <w:rPr>
                      <w:rFonts w:hint="eastAsia" w:ascii="Times New Roman" w:hAnsi="Times New Roman" w:cs="Times New Roman"/>
                      <w:szCs w:val="21"/>
                      <w:highlight w:val="none"/>
                      <w:lang w:val="en-US" w:eastAsia="zh-CN"/>
                    </w:rPr>
                    <w:t>t/a</w:t>
                  </w:r>
                </w:p>
              </w:tc>
              <w:tc>
                <w:tcPr>
                  <w:tcW w:w="1151" w:type="pct"/>
                  <w:vMerge w:val="restart"/>
                  <w:tcBorders>
                    <w:top w:val="single" w:color="auto" w:sz="4" w:space="0"/>
                    <w:left w:val="single" w:color="auto" w:sz="4" w:space="0"/>
                    <w:right w:val="single" w:color="auto" w:sz="4" w:space="0"/>
                  </w:tcBorders>
                  <w:noWrap w:val="0"/>
                  <w:vAlign w:val="center"/>
                </w:tcPr>
                <w:p w14:paraId="2C15333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szCs w:val="21"/>
                      <w:highlight w:val="none"/>
                      <w:lang w:val="en-US" w:eastAsia="zh-CN"/>
                    </w:rPr>
                  </w:pPr>
                  <w:r>
                    <w:rPr>
                      <w:rFonts w:hint="eastAsia" w:cs="Times New Roman"/>
                      <w:szCs w:val="21"/>
                      <w:highlight w:val="none"/>
                      <w:lang w:val="en-US" w:eastAsia="zh-CN"/>
                    </w:rPr>
                    <w:t>分配情况</w:t>
                  </w:r>
                </w:p>
              </w:tc>
              <w:tc>
                <w:tcPr>
                  <w:tcW w:w="464" w:type="pct"/>
                  <w:vMerge w:val="restart"/>
                  <w:tcBorders>
                    <w:top w:val="single" w:color="auto" w:sz="4" w:space="0"/>
                    <w:left w:val="single" w:color="auto" w:sz="4" w:space="0"/>
                    <w:right w:val="single" w:color="auto" w:sz="4" w:space="0"/>
                  </w:tcBorders>
                  <w:noWrap w:val="0"/>
                  <w:vAlign w:val="center"/>
                </w:tcPr>
                <w:p w14:paraId="77CF1D2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技改后全厂用量</w:t>
                  </w:r>
                  <w:r>
                    <w:rPr>
                      <w:rFonts w:hint="eastAsia" w:ascii="Times New Roman" w:hAnsi="Times New Roman" w:cs="Times New Roman"/>
                      <w:szCs w:val="21"/>
                      <w:highlight w:val="none"/>
                      <w:lang w:val="en-US" w:eastAsia="zh-CN"/>
                    </w:rPr>
                    <w:t>t/a</w:t>
                  </w:r>
                </w:p>
              </w:tc>
              <w:tc>
                <w:tcPr>
                  <w:tcW w:w="418" w:type="pct"/>
                  <w:vMerge w:val="restart"/>
                  <w:tcBorders>
                    <w:top w:val="single" w:color="auto" w:sz="4" w:space="0"/>
                    <w:left w:val="single" w:color="auto" w:sz="4" w:space="0"/>
                    <w:right w:val="single" w:color="auto" w:sz="4" w:space="0"/>
                  </w:tcBorders>
                  <w:noWrap w:val="0"/>
                  <w:vAlign w:val="center"/>
                </w:tcPr>
                <w:p w14:paraId="6E98C71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szCs w:val="21"/>
                      <w:highlight w:val="none"/>
                      <w:lang w:eastAsia="zh-CN"/>
                    </w:rPr>
                  </w:pPr>
                  <w:r>
                    <w:rPr>
                      <w:rFonts w:hint="eastAsia" w:cs="Times New Roman"/>
                      <w:szCs w:val="21"/>
                      <w:highlight w:val="none"/>
                      <w:lang w:eastAsia="zh-CN"/>
                    </w:rPr>
                    <w:t>变动情况</w:t>
                  </w:r>
                  <w:r>
                    <w:rPr>
                      <w:rFonts w:hint="eastAsia" w:ascii="Times New Roman" w:hAnsi="Times New Roman" w:cs="Times New Roman"/>
                      <w:szCs w:val="21"/>
                      <w:highlight w:val="none"/>
                      <w:lang w:val="en-US" w:eastAsia="zh-CN"/>
                    </w:rPr>
                    <w:t>t/a</w:t>
                  </w:r>
                </w:p>
              </w:tc>
              <w:tc>
                <w:tcPr>
                  <w:tcW w:w="953" w:type="pct"/>
                  <w:vMerge w:val="restart"/>
                  <w:tcBorders>
                    <w:top w:val="single" w:color="auto" w:sz="4" w:space="0"/>
                    <w:left w:val="single" w:color="auto" w:sz="4" w:space="0"/>
                    <w:right w:val="single" w:color="auto" w:sz="4" w:space="0"/>
                  </w:tcBorders>
                  <w:noWrap w:val="0"/>
                  <w:vAlign w:val="center"/>
                </w:tcPr>
                <w:p w14:paraId="5F6D45A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szCs w:val="21"/>
                    </w:rPr>
                  </w:pPr>
                  <w:r>
                    <w:rPr>
                      <w:rFonts w:hint="eastAsia" w:ascii="Times New Roman" w:hAnsi="Times New Roman" w:cs="Times New Roman"/>
                      <w:szCs w:val="21"/>
                    </w:rPr>
                    <w:t>备注</w:t>
                  </w:r>
                </w:p>
              </w:tc>
            </w:tr>
            <w:tr w14:paraId="107E30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204" w:type="pct"/>
                  <w:vMerge w:val="continue"/>
                  <w:tcBorders>
                    <w:left w:val="single" w:color="auto" w:sz="4" w:space="0"/>
                    <w:right w:val="single" w:color="auto" w:sz="4" w:space="0"/>
                  </w:tcBorders>
                  <w:noWrap w:val="0"/>
                  <w:vAlign w:val="center"/>
                </w:tcPr>
                <w:p w14:paraId="63A0080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szCs w:val="21"/>
                    </w:rPr>
                  </w:pPr>
                </w:p>
              </w:tc>
              <w:tc>
                <w:tcPr>
                  <w:tcW w:w="481" w:type="pct"/>
                  <w:vMerge w:val="continue"/>
                  <w:tcBorders>
                    <w:left w:val="single" w:color="auto" w:sz="4" w:space="0"/>
                    <w:right w:val="single" w:color="auto" w:sz="4" w:space="0"/>
                  </w:tcBorders>
                  <w:noWrap w:val="0"/>
                  <w:vAlign w:val="center"/>
                </w:tcPr>
                <w:p w14:paraId="3B3638B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szCs w:val="21"/>
                    </w:rPr>
                  </w:pPr>
                </w:p>
              </w:tc>
              <w:tc>
                <w:tcPr>
                  <w:tcW w:w="417" w:type="pct"/>
                  <w:vMerge w:val="continue"/>
                  <w:tcBorders>
                    <w:left w:val="single" w:color="auto" w:sz="4" w:space="0"/>
                    <w:right w:val="single" w:color="auto" w:sz="4" w:space="0"/>
                  </w:tcBorders>
                  <w:noWrap w:val="0"/>
                  <w:vAlign w:val="center"/>
                </w:tcPr>
                <w:p w14:paraId="0C07900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cs="Times New Roman"/>
                      <w:szCs w:val="21"/>
                      <w:highlight w:val="none"/>
                      <w:lang w:val="en-US" w:eastAsia="zh-CN"/>
                    </w:rPr>
                  </w:pPr>
                </w:p>
              </w:tc>
              <w:tc>
                <w:tcPr>
                  <w:tcW w:w="423" w:type="pct"/>
                  <w:tcBorders>
                    <w:top w:val="single" w:color="auto" w:sz="4" w:space="0"/>
                    <w:left w:val="single" w:color="auto" w:sz="4" w:space="0"/>
                    <w:right w:val="single" w:color="auto" w:sz="4" w:space="0"/>
                  </w:tcBorders>
                  <w:noWrap w:val="0"/>
                  <w:vAlign w:val="center"/>
                </w:tcPr>
                <w:p w14:paraId="28FCE9D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洁净车间</w:t>
                  </w:r>
                </w:p>
              </w:tc>
              <w:tc>
                <w:tcPr>
                  <w:tcW w:w="485" w:type="pct"/>
                  <w:tcBorders>
                    <w:top w:val="single" w:color="auto" w:sz="4" w:space="0"/>
                    <w:left w:val="single" w:color="auto" w:sz="4" w:space="0"/>
                    <w:right w:val="single" w:color="auto" w:sz="4" w:space="0"/>
                  </w:tcBorders>
                  <w:noWrap w:val="0"/>
                  <w:vAlign w:val="center"/>
                </w:tcPr>
                <w:p w14:paraId="544C59F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非洁净车间</w:t>
                  </w:r>
                </w:p>
              </w:tc>
              <w:tc>
                <w:tcPr>
                  <w:tcW w:w="1151" w:type="pct"/>
                  <w:vMerge w:val="continue"/>
                  <w:tcBorders>
                    <w:left w:val="single" w:color="auto" w:sz="4" w:space="0"/>
                    <w:right w:val="single" w:color="auto" w:sz="4" w:space="0"/>
                  </w:tcBorders>
                  <w:noWrap w:val="0"/>
                  <w:vAlign w:val="center"/>
                </w:tcPr>
                <w:p w14:paraId="0A5A20D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szCs w:val="21"/>
                      <w:highlight w:val="none"/>
                      <w:lang w:val="en-US" w:eastAsia="zh-CN"/>
                    </w:rPr>
                  </w:pPr>
                </w:p>
              </w:tc>
              <w:tc>
                <w:tcPr>
                  <w:tcW w:w="464" w:type="pct"/>
                  <w:vMerge w:val="continue"/>
                  <w:tcBorders>
                    <w:left w:val="single" w:color="auto" w:sz="4" w:space="0"/>
                    <w:right w:val="single" w:color="auto" w:sz="4" w:space="0"/>
                  </w:tcBorders>
                  <w:noWrap w:val="0"/>
                  <w:vAlign w:val="center"/>
                </w:tcPr>
                <w:p w14:paraId="007DBD0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szCs w:val="21"/>
                      <w:highlight w:val="none"/>
                      <w:lang w:val="en-US" w:eastAsia="zh-CN"/>
                    </w:rPr>
                  </w:pPr>
                </w:p>
              </w:tc>
              <w:tc>
                <w:tcPr>
                  <w:tcW w:w="418" w:type="pct"/>
                  <w:vMerge w:val="continue"/>
                  <w:tcBorders>
                    <w:left w:val="single" w:color="auto" w:sz="4" w:space="0"/>
                    <w:right w:val="single" w:color="auto" w:sz="4" w:space="0"/>
                  </w:tcBorders>
                  <w:noWrap w:val="0"/>
                  <w:vAlign w:val="center"/>
                </w:tcPr>
                <w:p w14:paraId="099D5FF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cs="Times New Roman"/>
                      <w:szCs w:val="21"/>
                      <w:highlight w:val="none"/>
                    </w:rPr>
                  </w:pPr>
                </w:p>
              </w:tc>
              <w:tc>
                <w:tcPr>
                  <w:tcW w:w="953" w:type="pct"/>
                  <w:vMerge w:val="continue"/>
                  <w:tcBorders>
                    <w:left w:val="single" w:color="auto" w:sz="4" w:space="0"/>
                    <w:right w:val="single" w:color="auto" w:sz="4" w:space="0"/>
                  </w:tcBorders>
                  <w:noWrap w:val="0"/>
                  <w:vAlign w:val="center"/>
                </w:tcPr>
                <w:p w14:paraId="5A25E0F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cs="Times New Roman"/>
                      <w:szCs w:val="21"/>
                    </w:rPr>
                  </w:pPr>
                </w:p>
              </w:tc>
            </w:tr>
            <w:tr w14:paraId="09E6F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jc w:val="center"/>
              </w:trPr>
              <w:tc>
                <w:tcPr>
                  <w:tcW w:w="204" w:type="pct"/>
                  <w:tcBorders>
                    <w:top w:val="single" w:color="auto" w:sz="4" w:space="0"/>
                    <w:left w:val="single" w:color="auto" w:sz="4" w:space="0"/>
                    <w:right w:val="single" w:color="auto" w:sz="4" w:space="0"/>
                  </w:tcBorders>
                  <w:noWrap w:val="0"/>
                  <w:vAlign w:val="center"/>
                </w:tcPr>
                <w:p w14:paraId="41FFF60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szCs w:val="21"/>
                    </w:rPr>
                  </w:pPr>
                  <w:r>
                    <w:rPr>
                      <w:rFonts w:hint="default" w:ascii="Times New Roman" w:hAnsi="Times New Roman" w:cs="Times New Roman"/>
                      <w:szCs w:val="21"/>
                    </w:rPr>
                    <w:t>1</w:t>
                  </w:r>
                </w:p>
              </w:tc>
              <w:tc>
                <w:tcPr>
                  <w:tcW w:w="481" w:type="pct"/>
                  <w:tcBorders>
                    <w:top w:val="single" w:color="auto" w:sz="4" w:space="0"/>
                    <w:left w:val="single" w:color="auto" w:sz="4" w:space="0"/>
                    <w:right w:val="single" w:color="auto" w:sz="4" w:space="0"/>
                  </w:tcBorders>
                  <w:noWrap w:val="0"/>
                  <w:vAlign w:val="center"/>
                </w:tcPr>
                <w:p w14:paraId="411ADC5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聚乙烯</w:t>
                  </w:r>
                </w:p>
              </w:tc>
              <w:tc>
                <w:tcPr>
                  <w:tcW w:w="417" w:type="pct"/>
                  <w:tcBorders>
                    <w:top w:val="single" w:color="auto" w:sz="4" w:space="0"/>
                    <w:left w:val="single" w:color="auto" w:sz="4" w:space="0"/>
                    <w:right w:val="single" w:color="auto" w:sz="4" w:space="0"/>
                  </w:tcBorders>
                  <w:noWrap w:val="0"/>
                  <w:vAlign w:val="center"/>
                </w:tcPr>
                <w:p w14:paraId="0F0D0C2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szCs w:val="21"/>
                      <w:highlight w:val="none"/>
                      <w:lang w:val="en-US" w:eastAsia="zh-CN"/>
                    </w:rPr>
                  </w:pPr>
                  <w:r>
                    <w:rPr>
                      <w:rFonts w:hint="eastAsia" w:ascii="Times New Roman" w:hAnsi="Times New Roman" w:eastAsia="宋体" w:cs="Times New Roman"/>
                      <w:b w:val="0"/>
                      <w:bCs w:val="0"/>
                      <w:szCs w:val="21"/>
                      <w:highlight w:val="none"/>
                      <w:lang w:val="en-US" w:eastAsia="zh-CN"/>
                    </w:rPr>
                    <w:t>3700</w:t>
                  </w:r>
                </w:p>
              </w:tc>
              <w:tc>
                <w:tcPr>
                  <w:tcW w:w="423" w:type="pct"/>
                  <w:tcBorders>
                    <w:top w:val="single" w:color="auto" w:sz="4" w:space="0"/>
                    <w:left w:val="single" w:color="auto" w:sz="4" w:space="0"/>
                    <w:right w:val="single" w:color="auto" w:sz="4" w:space="0"/>
                  </w:tcBorders>
                  <w:noWrap w:val="0"/>
                  <w:vAlign w:val="center"/>
                </w:tcPr>
                <w:p w14:paraId="6704C2B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szCs w:val="21"/>
                      <w:highlight w:val="none"/>
                      <w:lang w:val="en-US" w:eastAsia="zh-CN"/>
                    </w:rPr>
                  </w:pPr>
                  <w:r>
                    <w:rPr>
                      <w:rFonts w:hint="eastAsia" w:cs="Times New Roman"/>
                      <w:b w:val="0"/>
                      <w:bCs w:val="0"/>
                      <w:szCs w:val="21"/>
                      <w:highlight w:val="none"/>
                      <w:lang w:val="en-US" w:eastAsia="zh-CN"/>
                    </w:rPr>
                    <w:t>0</w:t>
                  </w:r>
                </w:p>
              </w:tc>
              <w:tc>
                <w:tcPr>
                  <w:tcW w:w="485" w:type="pct"/>
                  <w:tcBorders>
                    <w:top w:val="single" w:color="auto" w:sz="4" w:space="0"/>
                    <w:left w:val="single" w:color="auto" w:sz="4" w:space="0"/>
                    <w:right w:val="single" w:color="auto" w:sz="4" w:space="0"/>
                  </w:tcBorders>
                  <w:noWrap w:val="0"/>
                  <w:vAlign w:val="center"/>
                </w:tcPr>
                <w:p w14:paraId="0171E76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szCs w:val="21"/>
                      <w:highlight w:val="none"/>
                      <w:lang w:val="en-US" w:eastAsia="zh-CN"/>
                    </w:rPr>
                  </w:pPr>
                  <w:r>
                    <w:rPr>
                      <w:rFonts w:hint="eastAsia" w:cs="Times New Roman"/>
                      <w:b w:val="0"/>
                      <w:bCs w:val="0"/>
                      <w:szCs w:val="21"/>
                      <w:highlight w:val="none"/>
                      <w:lang w:val="en-US" w:eastAsia="zh-CN"/>
                    </w:rPr>
                    <w:t>3700</w:t>
                  </w:r>
                </w:p>
              </w:tc>
              <w:tc>
                <w:tcPr>
                  <w:tcW w:w="1151" w:type="pct"/>
                  <w:tcBorders>
                    <w:top w:val="single" w:color="auto" w:sz="4" w:space="0"/>
                    <w:left w:val="single" w:color="auto" w:sz="4" w:space="0"/>
                    <w:right w:val="single" w:color="auto" w:sz="4" w:space="0"/>
                  </w:tcBorders>
                  <w:noWrap w:val="0"/>
                  <w:vAlign w:val="center"/>
                </w:tcPr>
                <w:p w14:paraId="3DDC137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b w:val="0"/>
                      <w:bCs w:val="0"/>
                      <w:szCs w:val="21"/>
                      <w:highlight w:val="none"/>
                      <w:lang w:val="en-US" w:eastAsia="zh-CN"/>
                    </w:rPr>
                  </w:pPr>
                  <w:r>
                    <w:rPr>
                      <w:rFonts w:hint="eastAsia" w:cs="Times New Roman"/>
                      <w:b w:val="0"/>
                      <w:bCs w:val="0"/>
                      <w:szCs w:val="21"/>
                      <w:highlight w:val="none"/>
                      <w:lang w:val="en-US" w:eastAsia="zh-CN"/>
                    </w:rPr>
                    <w:t>全部于非洁净车间使用</w:t>
                  </w:r>
                </w:p>
              </w:tc>
              <w:tc>
                <w:tcPr>
                  <w:tcW w:w="464" w:type="pct"/>
                  <w:tcBorders>
                    <w:top w:val="single" w:color="auto" w:sz="4" w:space="0"/>
                    <w:left w:val="single" w:color="auto" w:sz="4" w:space="0"/>
                    <w:right w:val="single" w:color="auto" w:sz="4" w:space="0"/>
                  </w:tcBorders>
                  <w:noWrap w:val="0"/>
                  <w:vAlign w:val="center"/>
                </w:tcPr>
                <w:p w14:paraId="70A930B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b w:val="0"/>
                      <w:bCs w:val="0"/>
                      <w:szCs w:val="21"/>
                      <w:highlight w:val="none"/>
                      <w:lang w:val="en-US" w:eastAsia="zh-CN"/>
                    </w:rPr>
                  </w:pPr>
                  <w:r>
                    <w:rPr>
                      <w:rFonts w:hint="eastAsia" w:ascii="Times New Roman" w:hAnsi="Times New Roman" w:eastAsia="宋体" w:cs="Times New Roman"/>
                      <w:b w:val="0"/>
                      <w:bCs w:val="0"/>
                      <w:szCs w:val="21"/>
                      <w:highlight w:val="none"/>
                      <w:lang w:val="en-US" w:eastAsia="zh-CN"/>
                    </w:rPr>
                    <w:t>3700</w:t>
                  </w:r>
                </w:p>
              </w:tc>
              <w:tc>
                <w:tcPr>
                  <w:tcW w:w="418" w:type="pct"/>
                  <w:tcBorders>
                    <w:top w:val="single" w:color="auto" w:sz="4" w:space="0"/>
                    <w:left w:val="single" w:color="auto" w:sz="4" w:space="0"/>
                    <w:right w:val="single" w:color="auto" w:sz="4" w:space="0"/>
                  </w:tcBorders>
                  <w:noWrap w:val="0"/>
                  <w:vAlign w:val="center"/>
                </w:tcPr>
                <w:p w14:paraId="7CAD511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b w:val="0"/>
                      <w:bCs w:val="0"/>
                      <w:szCs w:val="21"/>
                      <w:highlight w:val="none"/>
                      <w:lang w:val="en-US" w:eastAsia="zh-CN"/>
                    </w:rPr>
                  </w:pPr>
                  <w:r>
                    <w:rPr>
                      <w:rFonts w:hint="eastAsia" w:cs="Times New Roman"/>
                      <w:b w:val="0"/>
                      <w:bCs w:val="0"/>
                      <w:szCs w:val="21"/>
                      <w:highlight w:val="none"/>
                      <w:lang w:val="en-US" w:eastAsia="zh-CN"/>
                    </w:rPr>
                    <w:t>不变</w:t>
                  </w:r>
                </w:p>
              </w:tc>
              <w:tc>
                <w:tcPr>
                  <w:tcW w:w="953" w:type="pct"/>
                  <w:tcBorders>
                    <w:top w:val="single" w:color="auto" w:sz="4" w:space="0"/>
                    <w:left w:val="single" w:color="auto" w:sz="4" w:space="0"/>
                    <w:right w:val="single" w:color="auto" w:sz="4" w:space="0"/>
                  </w:tcBorders>
                  <w:noWrap w:val="0"/>
                  <w:vAlign w:val="center"/>
                </w:tcPr>
                <w:p w14:paraId="6429654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default" w:ascii="Times New Roman" w:hAnsi="Times New Roman" w:eastAsia="宋体" w:cs="Times New Roman"/>
                      <w:b w:val="0"/>
                      <w:bCs w:val="0"/>
                      <w:szCs w:val="21"/>
                      <w:lang w:val="en-US" w:eastAsia="zh-CN"/>
                    </w:rPr>
                  </w:pPr>
                  <w:r>
                    <w:rPr>
                      <w:rFonts w:hint="eastAsia" w:ascii="Times New Roman" w:hAnsi="Times New Roman" w:eastAsia="宋体" w:cs="Times New Roman"/>
                      <w:b w:val="0"/>
                      <w:bCs w:val="0"/>
                      <w:szCs w:val="21"/>
                      <w:lang w:val="en-US" w:eastAsia="zh-CN"/>
                    </w:rPr>
                    <w:t>外购，线性低密度聚乙烯，原包料，50kg/袋，最大在线量300t</w:t>
                  </w:r>
                </w:p>
              </w:tc>
            </w:tr>
            <w:tr w14:paraId="0BA1FE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204" w:type="pct"/>
                  <w:tcBorders>
                    <w:top w:val="single" w:color="auto" w:sz="4" w:space="0"/>
                    <w:left w:val="single" w:color="auto" w:sz="4" w:space="0"/>
                    <w:right w:val="single" w:color="auto" w:sz="4" w:space="0"/>
                  </w:tcBorders>
                  <w:noWrap w:val="0"/>
                  <w:vAlign w:val="center"/>
                </w:tcPr>
                <w:p w14:paraId="01B346F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cs="Times New Roman"/>
                      <w:kern w:val="2"/>
                      <w:sz w:val="21"/>
                      <w:szCs w:val="21"/>
                      <w:lang w:val="en-US" w:eastAsia="zh-CN" w:bidi="ar-SA"/>
                    </w:rPr>
                  </w:pPr>
                  <w:r>
                    <w:rPr>
                      <w:rFonts w:hint="eastAsia" w:ascii="Times New Roman" w:hAnsi="Times New Roman" w:cs="Times New Roman"/>
                      <w:szCs w:val="21"/>
                    </w:rPr>
                    <w:t>2</w:t>
                  </w:r>
                </w:p>
              </w:tc>
              <w:tc>
                <w:tcPr>
                  <w:tcW w:w="481" w:type="pct"/>
                  <w:tcBorders>
                    <w:top w:val="single" w:color="auto" w:sz="4" w:space="0"/>
                    <w:left w:val="single" w:color="auto" w:sz="4" w:space="0"/>
                    <w:right w:val="single" w:color="auto" w:sz="4" w:space="0"/>
                  </w:tcBorders>
                  <w:noWrap w:val="0"/>
                  <w:vAlign w:val="center"/>
                </w:tcPr>
                <w:p w14:paraId="1600F23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双向拉伸聚酯薄膜</w:t>
                  </w:r>
                </w:p>
              </w:tc>
              <w:tc>
                <w:tcPr>
                  <w:tcW w:w="417" w:type="pct"/>
                  <w:tcBorders>
                    <w:top w:val="single" w:color="auto" w:sz="4" w:space="0"/>
                    <w:left w:val="single" w:color="auto" w:sz="4" w:space="0"/>
                    <w:right w:val="single" w:color="auto" w:sz="4" w:space="0"/>
                  </w:tcBorders>
                  <w:noWrap w:val="0"/>
                  <w:vAlign w:val="center"/>
                </w:tcPr>
                <w:p w14:paraId="4B90DD5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szCs w:val="21"/>
                      <w:highlight w:val="none"/>
                      <w:lang w:val="en-US" w:eastAsia="zh-CN"/>
                    </w:rPr>
                  </w:pPr>
                  <w:r>
                    <w:rPr>
                      <w:rFonts w:hint="eastAsia" w:ascii="Times New Roman" w:hAnsi="Times New Roman" w:eastAsia="宋体" w:cs="Times New Roman"/>
                      <w:b w:val="0"/>
                      <w:bCs w:val="0"/>
                      <w:szCs w:val="21"/>
                      <w:highlight w:val="none"/>
                      <w:lang w:val="en-US" w:eastAsia="zh-CN"/>
                    </w:rPr>
                    <w:t>600</w:t>
                  </w:r>
                </w:p>
              </w:tc>
              <w:tc>
                <w:tcPr>
                  <w:tcW w:w="423" w:type="pct"/>
                  <w:tcBorders>
                    <w:top w:val="single" w:color="auto" w:sz="4" w:space="0"/>
                    <w:left w:val="single" w:color="auto" w:sz="4" w:space="0"/>
                    <w:right w:val="single" w:color="auto" w:sz="4" w:space="0"/>
                  </w:tcBorders>
                  <w:noWrap w:val="0"/>
                  <w:vAlign w:val="center"/>
                </w:tcPr>
                <w:p w14:paraId="5BB1B0C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szCs w:val="21"/>
                      <w:highlight w:val="none"/>
                      <w:lang w:val="en-US" w:eastAsia="zh-CN"/>
                    </w:rPr>
                  </w:pPr>
                  <w:r>
                    <w:rPr>
                      <w:rFonts w:hint="eastAsia" w:ascii="Times New Roman" w:hAnsi="Times New Roman" w:eastAsia="宋体" w:cs="Times New Roman"/>
                      <w:b w:val="0"/>
                      <w:bCs w:val="0"/>
                      <w:szCs w:val="21"/>
                      <w:highlight w:val="none"/>
                      <w:lang w:val="en-US" w:eastAsia="zh-CN"/>
                    </w:rPr>
                    <w:t>143</w:t>
                  </w:r>
                </w:p>
              </w:tc>
              <w:tc>
                <w:tcPr>
                  <w:tcW w:w="485" w:type="pct"/>
                  <w:tcBorders>
                    <w:top w:val="single" w:color="auto" w:sz="4" w:space="0"/>
                    <w:left w:val="single" w:color="auto" w:sz="4" w:space="0"/>
                    <w:right w:val="single" w:color="auto" w:sz="4" w:space="0"/>
                  </w:tcBorders>
                  <w:noWrap w:val="0"/>
                  <w:vAlign w:val="center"/>
                </w:tcPr>
                <w:p w14:paraId="0127A09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szCs w:val="21"/>
                      <w:highlight w:val="none"/>
                      <w:lang w:val="en-US" w:eastAsia="zh-CN"/>
                    </w:rPr>
                  </w:pPr>
                  <w:r>
                    <w:rPr>
                      <w:rFonts w:hint="eastAsia" w:ascii="Times New Roman" w:hAnsi="Times New Roman" w:eastAsia="宋体" w:cs="Times New Roman"/>
                      <w:b w:val="0"/>
                      <w:bCs w:val="0"/>
                      <w:szCs w:val="21"/>
                      <w:highlight w:val="none"/>
                      <w:lang w:val="en-US" w:eastAsia="zh-CN"/>
                    </w:rPr>
                    <w:t>457</w:t>
                  </w:r>
                </w:p>
              </w:tc>
              <w:tc>
                <w:tcPr>
                  <w:tcW w:w="1151" w:type="pct"/>
                  <w:tcBorders>
                    <w:top w:val="single" w:color="auto" w:sz="4" w:space="0"/>
                    <w:left w:val="single" w:color="auto" w:sz="4" w:space="0"/>
                    <w:right w:val="single" w:color="auto" w:sz="4" w:space="0"/>
                  </w:tcBorders>
                  <w:noWrap w:val="0"/>
                  <w:vAlign w:val="center"/>
                </w:tcPr>
                <w:p w14:paraId="1A67D0E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b w:val="0"/>
                      <w:bCs w:val="0"/>
                      <w:szCs w:val="21"/>
                      <w:highlight w:val="none"/>
                      <w:lang w:val="en-US" w:eastAsia="zh-CN"/>
                    </w:rPr>
                  </w:pPr>
                  <w:r>
                    <w:rPr>
                      <w:rFonts w:hint="eastAsia" w:cs="Times New Roman"/>
                      <w:b w:val="0"/>
                      <w:bCs w:val="0"/>
                      <w:szCs w:val="21"/>
                      <w:highlight w:val="none"/>
                      <w:lang w:val="en-US" w:eastAsia="zh-CN"/>
                    </w:rPr>
                    <w:t>全厂用量的</w:t>
                  </w:r>
                  <m:oMath>
                    <m:f>
                      <m:fPr>
                        <m:ctrlPr>
                          <w:rPr>
                            <w:rFonts w:hint="default" w:ascii="Cambria Math" w:hAnsi="Cambria Math" w:cs="Times New Roman"/>
                            <w:bCs w:val="0"/>
                            <w:i/>
                            <w:szCs w:val="21"/>
                            <w:highlight w:val="none"/>
                            <w:lang w:val="en-US"/>
                          </w:rPr>
                        </m:ctrlPr>
                      </m:fPr>
                      <m:num>
                        <m:r>
                          <m:rPr/>
                          <w:rPr>
                            <w:rFonts w:hint="default" w:ascii="Cambria Math" w:hAnsi="Cambria Math" w:cs="Times New Roman"/>
                            <w:szCs w:val="21"/>
                            <w:highlight w:val="none"/>
                            <w:lang w:val="en-US" w:eastAsia="zh-CN"/>
                          </w:rPr>
                          <m:t>11</m:t>
                        </m:r>
                        <m:ctrlPr>
                          <w:rPr>
                            <w:rFonts w:hint="default" w:ascii="Cambria Math" w:hAnsi="Cambria Math" w:cs="Times New Roman"/>
                            <w:bCs w:val="0"/>
                            <w:i/>
                            <w:szCs w:val="21"/>
                            <w:highlight w:val="none"/>
                            <w:lang w:val="en-US"/>
                          </w:rPr>
                        </m:ctrlPr>
                      </m:num>
                      <m:den>
                        <m:r>
                          <m:rPr/>
                          <w:rPr>
                            <w:rFonts w:hint="default" w:ascii="Cambria Math" w:hAnsi="Cambria Math" w:cs="Times New Roman"/>
                            <w:szCs w:val="21"/>
                            <w:highlight w:val="none"/>
                            <w:lang w:val="en-US" w:eastAsia="zh-CN"/>
                          </w:rPr>
                          <m:t>46</m:t>
                        </m:r>
                        <m:ctrlPr>
                          <w:rPr>
                            <w:rFonts w:hint="default" w:ascii="Cambria Math" w:hAnsi="Cambria Math" w:cs="Times New Roman"/>
                            <w:bCs w:val="0"/>
                            <w:i/>
                            <w:szCs w:val="21"/>
                            <w:highlight w:val="none"/>
                            <w:lang w:val="en-US"/>
                          </w:rPr>
                        </m:ctrlPr>
                      </m:den>
                    </m:f>
                  </m:oMath>
                  <w:r>
                    <w:rPr>
                      <w:rFonts w:hint="eastAsia" w:hAnsi="Cambria Math" w:cs="Times New Roman"/>
                      <w:bCs w:val="0"/>
                      <w:i w:val="0"/>
                      <w:szCs w:val="21"/>
                      <w:highlight w:val="none"/>
                      <w:lang w:val="en-US" w:eastAsia="zh-CN"/>
                    </w:rPr>
                    <w:t>用于洁净车间，</w:t>
                  </w:r>
                  <m:oMath>
                    <m:f>
                      <m:fPr>
                        <m:ctrlPr>
                          <w:rPr>
                            <w:rFonts w:hint="default" w:ascii="Cambria Math" w:hAnsi="Cambria Math" w:cs="Times New Roman"/>
                            <w:bCs w:val="0"/>
                            <w:i/>
                            <w:szCs w:val="21"/>
                            <w:highlight w:val="none"/>
                            <w:lang w:val="en-US"/>
                          </w:rPr>
                        </m:ctrlPr>
                      </m:fPr>
                      <m:num>
                        <m:r>
                          <m:rPr/>
                          <w:rPr>
                            <w:rFonts w:hint="default" w:ascii="Cambria Math" w:hAnsi="Cambria Math" w:cs="Times New Roman"/>
                            <w:szCs w:val="21"/>
                            <w:highlight w:val="none"/>
                            <w:lang w:val="en-US" w:eastAsia="zh-CN"/>
                          </w:rPr>
                          <m:t>35</m:t>
                        </m:r>
                        <m:ctrlPr>
                          <w:rPr>
                            <w:rFonts w:hint="default" w:ascii="Cambria Math" w:hAnsi="Cambria Math" w:cs="Times New Roman"/>
                            <w:bCs w:val="0"/>
                            <w:i/>
                            <w:szCs w:val="21"/>
                            <w:highlight w:val="none"/>
                            <w:lang w:val="en-US"/>
                          </w:rPr>
                        </m:ctrlPr>
                      </m:num>
                      <m:den>
                        <m:r>
                          <m:rPr/>
                          <w:rPr>
                            <w:rFonts w:hint="default" w:ascii="Cambria Math" w:hAnsi="Cambria Math" w:cs="Times New Roman"/>
                            <w:szCs w:val="21"/>
                            <w:highlight w:val="none"/>
                            <w:lang w:val="en-US" w:eastAsia="zh-CN"/>
                          </w:rPr>
                          <m:t>46</m:t>
                        </m:r>
                        <m:ctrlPr>
                          <w:rPr>
                            <w:rFonts w:hint="default" w:ascii="Cambria Math" w:hAnsi="Cambria Math" w:cs="Times New Roman"/>
                            <w:bCs w:val="0"/>
                            <w:i/>
                            <w:szCs w:val="21"/>
                            <w:highlight w:val="none"/>
                            <w:lang w:val="en-US"/>
                          </w:rPr>
                        </m:ctrlPr>
                      </m:den>
                    </m:f>
                  </m:oMath>
                  <w:r>
                    <w:rPr>
                      <w:rFonts w:hint="eastAsia" w:hAnsi="Cambria Math" w:cs="Times New Roman"/>
                      <w:bCs w:val="0"/>
                      <w:i w:val="0"/>
                      <w:szCs w:val="21"/>
                      <w:highlight w:val="none"/>
                      <w:lang w:val="en-US" w:eastAsia="zh-CN"/>
                    </w:rPr>
                    <w:t>用于非洁净车间</w:t>
                  </w:r>
                </w:p>
              </w:tc>
              <w:tc>
                <w:tcPr>
                  <w:tcW w:w="464" w:type="pct"/>
                  <w:tcBorders>
                    <w:top w:val="single" w:color="auto" w:sz="4" w:space="0"/>
                    <w:left w:val="single" w:color="auto" w:sz="4" w:space="0"/>
                    <w:right w:val="single" w:color="auto" w:sz="4" w:space="0"/>
                  </w:tcBorders>
                  <w:noWrap w:val="0"/>
                  <w:vAlign w:val="center"/>
                </w:tcPr>
                <w:p w14:paraId="6DD9587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kern w:val="2"/>
                      <w:sz w:val="21"/>
                      <w:szCs w:val="21"/>
                      <w:highlight w:val="none"/>
                      <w:lang w:val="en-US" w:eastAsia="zh-CN" w:bidi="ar-SA"/>
                    </w:rPr>
                  </w:pPr>
                  <w:r>
                    <w:rPr>
                      <w:rFonts w:hint="eastAsia" w:ascii="Times New Roman" w:hAnsi="Times New Roman" w:eastAsia="宋体" w:cs="Times New Roman"/>
                      <w:b w:val="0"/>
                      <w:bCs w:val="0"/>
                      <w:szCs w:val="21"/>
                      <w:highlight w:val="none"/>
                      <w:lang w:val="en-US" w:eastAsia="zh-CN"/>
                    </w:rPr>
                    <w:t>600</w:t>
                  </w:r>
                </w:p>
              </w:tc>
              <w:tc>
                <w:tcPr>
                  <w:tcW w:w="418" w:type="pct"/>
                  <w:tcBorders>
                    <w:top w:val="single" w:color="auto" w:sz="4" w:space="0"/>
                    <w:left w:val="single" w:color="auto" w:sz="4" w:space="0"/>
                    <w:right w:val="single" w:color="auto" w:sz="4" w:space="0"/>
                  </w:tcBorders>
                  <w:noWrap w:val="0"/>
                  <w:vAlign w:val="center"/>
                </w:tcPr>
                <w:p w14:paraId="2A01EA6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b w:val="0"/>
                      <w:bCs w:val="0"/>
                      <w:szCs w:val="21"/>
                      <w:highlight w:val="none"/>
                      <w:lang w:val="en-US" w:eastAsia="zh-CN"/>
                    </w:rPr>
                  </w:pPr>
                  <w:r>
                    <w:rPr>
                      <w:rFonts w:hint="eastAsia" w:cs="Times New Roman"/>
                      <w:b w:val="0"/>
                      <w:bCs w:val="0"/>
                      <w:szCs w:val="21"/>
                      <w:highlight w:val="none"/>
                      <w:lang w:val="en-US" w:eastAsia="zh-CN"/>
                    </w:rPr>
                    <w:t>不变</w:t>
                  </w:r>
                </w:p>
              </w:tc>
              <w:tc>
                <w:tcPr>
                  <w:tcW w:w="953" w:type="pct"/>
                  <w:tcBorders>
                    <w:top w:val="single" w:color="auto" w:sz="4" w:space="0"/>
                    <w:left w:val="single" w:color="auto" w:sz="4" w:space="0"/>
                    <w:right w:val="single" w:color="auto" w:sz="4" w:space="0"/>
                  </w:tcBorders>
                  <w:noWrap w:val="0"/>
                  <w:vAlign w:val="center"/>
                </w:tcPr>
                <w:p w14:paraId="1A87A0B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default" w:ascii="Times New Roman" w:hAnsi="Times New Roman" w:eastAsia="宋体" w:cs="Times New Roman"/>
                      <w:b w:val="0"/>
                      <w:bCs w:val="0"/>
                      <w:szCs w:val="21"/>
                      <w:lang w:val="en-US" w:eastAsia="zh-CN"/>
                    </w:rPr>
                  </w:pPr>
                  <w:r>
                    <w:rPr>
                      <w:rFonts w:hint="eastAsia" w:ascii="Times New Roman" w:hAnsi="Times New Roman" w:eastAsia="宋体" w:cs="Times New Roman"/>
                      <w:b w:val="0"/>
                      <w:bCs w:val="0"/>
                      <w:szCs w:val="21"/>
                      <w:lang w:val="en-US" w:eastAsia="zh-CN"/>
                    </w:rPr>
                    <w:t>外购，固体，厚度12</w:t>
                  </w:r>
                  <w:r>
                    <w:rPr>
                      <w:rFonts w:hint="default" w:ascii="Times New Roman" w:hAnsi="Times New Roman" w:eastAsia="宋体" w:cs="Times New Roman"/>
                      <w:b w:val="0"/>
                      <w:bCs w:val="0"/>
                      <w:szCs w:val="21"/>
                      <w:lang w:val="en-US" w:eastAsia="zh-CN"/>
                    </w:rPr>
                    <w:t>µ</w:t>
                  </w:r>
                  <w:r>
                    <w:rPr>
                      <w:rFonts w:hint="eastAsia" w:ascii="Times New Roman" w:hAnsi="Times New Roman" w:eastAsia="宋体" w:cs="Times New Roman"/>
                      <w:b w:val="0"/>
                      <w:bCs w:val="0"/>
                      <w:szCs w:val="21"/>
                      <w:lang w:val="en-US" w:eastAsia="zh-CN"/>
                    </w:rPr>
                    <w:t>m，10</w:t>
                  </w:r>
                  <w:r>
                    <w:rPr>
                      <w:rFonts w:hint="eastAsia" w:cs="Times New Roman"/>
                      <w:b w:val="0"/>
                      <w:bCs w:val="0"/>
                      <w:szCs w:val="21"/>
                      <w:lang w:val="en-US" w:eastAsia="zh-CN"/>
                    </w:rPr>
                    <w:t>0</w:t>
                  </w:r>
                  <w:r>
                    <w:rPr>
                      <w:rFonts w:hint="eastAsia" w:ascii="Times New Roman" w:hAnsi="Times New Roman" w:eastAsia="宋体" w:cs="Times New Roman"/>
                      <w:b w:val="0"/>
                      <w:bCs w:val="0"/>
                      <w:szCs w:val="21"/>
                      <w:lang w:val="en-US" w:eastAsia="zh-CN"/>
                    </w:rPr>
                    <w:t>kg/卷，最大在线量50t</w:t>
                  </w:r>
                </w:p>
              </w:tc>
            </w:tr>
            <w:tr w14:paraId="615C9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204" w:type="pct"/>
                  <w:tcBorders>
                    <w:top w:val="single" w:color="auto" w:sz="4" w:space="0"/>
                    <w:left w:val="single" w:color="auto" w:sz="4" w:space="0"/>
                    <w:right w:val="single" w:color="auto" w:sz="4" w:space="0"/>
                  </w:tcBorders>
                  <w:noWrap w:val="0"/>
                  <w:vAlign w:val="center"/>
                </w:tcPr>
                <w:p w14:paraId="097F940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cs="Times New Roman"/>
                      <w:kern w:val="2"/>
                      <w:sz w:val="21"/>
                      <w:szCs w:val="21"/>
                      <w:lang w:val="en-US" w:eastAsia="zh-CN" w:bidi="ar-SA"/>
                    </w:rPr>
                  </w:pPr>
                  <w:r>
                    <w:rPr>
                      <w:rFonts w:hint="eastAsia" w:ascii="Times New Roman" w:hAnsi="Times New Roman" w:cs="Times New Roman"/>
                      <w:szCs w:val="21"/>
                    </w:rPr>
                    <w:t>4</w:t>
                  </w:r>
                </w:p>
              </w:tc>
              <w:tc>
                <w:tcPr>
                  <w:tcW w:w="481" w:type="pct"/>
                  <w:tcBorders>
                    <w:top w:val="single" w:color="auto" w:sz="4" w:space="0"/>
                    <w:left w:val="single" w:color="auto" w:sz="4" w:space="0"/>
                    <w:right w:val="single" w:color="auto" w:sz="4" w:space="0"/>
                  </w:tcBorders>
                  <w:noWrap w:val="0"/>
                  <w:vAlign w:val="center"/>
                </w:tcPr>
                <w:p w14:paraId="1A0FE33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水性油墨</w:t>
                  </w:r>
                </w:p>
              </w:tc>
              <w:tc>
                <w:tcPr>
                  <w:tcW w:w="417" w:type="pct"/>
                  <w:tcBorders>
                    <w:top w:val="single" w:color="auto" w:sz="4" w:space="0"/>
                    <w:left w:val="single" w:color="auto" w:sz="4" w:space="0"/>
                    <w:right w:val="single" w:color="auto" w:sz="4" w:space="0"/>
                  </w:tcBorders>
                  <w:noWrap w:val="0"/>
                  <w:vAlign w:val="center"/>
                </w:tcPr>
                <w:p w14:paraId="3FCD5B6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szCs w:val="21"/>
                      <w:highlight w:val="none"/>
                      <w:lang w:val="en-US" w:eastAsia="zh-CN"/>
                    </w:rPr>
                  </w:pPr>
                  <w:r>
                    <w:rPr>
                      <w:rFonts w:hint="eastAsia" w:cs="Times New Roman"/>
                      <w:b w:val="0"/>
                      <w:bCs w:val="0"/>
                      <w:szCs w:val="21"/>
                      <w:highlight w:val="none"/>
                      <w:lang w:val="en-US" w:eastAsia="zh-CN"/>
                    </w:rPr>
                    <w:t>30</w:t>
                  </w:r>
                </w:p>
              </w:tc>
              <w:tc>
                <w:tcPr>
                  <w:tcW w:w="423" w:type="pct"/>
                  <w:tcBorders>
                    <w:top w:val="single" w:color="auto" w:sz="4" w:space="0"/>
                    <w:left w:val="single" w:color="auto" w:sz="4" w:space="0"/>
                    <w:right w:val="single" w:color="auto" w:sz="4" w:space="0"/>
                  </w:tcBorders>
                  <w:noWrap w:val="0"/>
                  <w:vAlign w:val="center"/>
                </w:tcPr>
                <w:p w14:paraId="5DA238D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szCs w:val="21"/>
                      <w:highlight w:val="none"/>
                      <w:lang w:val="en-US" w:eastAsia="zh-CN"/>
                    </w:rPr>
                  </w:pPr>
                  <w:r>
                    <w:rPr>
                      <w:rFonts w:hint="eastAsia" w:cs="Times New Roman"/>
                      <w:b w:val="0"/>
                      <w:bCs w:val="0"/>
                      <w:szCs w:val="21"/>
                      <w:highlight w:val="none"/>
                      <w:lang w:val="en-US" w:eastAsia="zh-CN"/>
                    </w:rPr>
                    <w:t>6.818</w:t>
                  </w:r>
                </w:p>
              </w:tc>
              <w:tc>
                <w:tcPr>
                  <w:tcW w:w="485" w:type="pct"/>
                  <w:tcBorders>
                    <w:top w:val="single" w:color="auto" w:sz="4" w:space="0"/>
                    <w:left w:val="single" w:color="auto" w:sz="4" w:space="0"/>
                    <w:right w:val="single" w:color="auto" w:sz="4" w:space="0"/>
                  </w:tcBorders>
                  <w:noWrap w:val="0"/>
                  <w:vAlign w:val="center"/>
                </w:tcPr>
                <w:p w14:paraId="1DC7D04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szCs w:val="21"/>
                      <w:highlight w:val="none"/>
                      <w:lang w:val="en-US" w:eastAsia="zh-CN"/>
                    </w:rPr>
                  </w:pPr>
                  <w:r>
                    <w:rPr>
                      <w:rFonts w:hint="eastAsia" w:cs="Times New Roman"/>
                      <w:b w:val="0"/>
                      <w:bCs w:val="0"/>
                      <w:szCs w:val="21"/>
                      <w:highlight w:val="none"/>
                      <w:lang w:val="en-US" w:eastAsia="zh-CN"/>
                    </w:rPr>
                    <w:t>23.182</w:t>
                  </w:r>
                </w:p>
              </w:tc>
              <w:tc>
                <w:tcPr>
                  <w:tcW w:w="1151" w:type="pct"/>
                  <w:tcBorders>
                    <w:top w:val="single" w:color="auto" w:sz="4" w:space="0"/>
                    <w:left w:val="single" w:color="auto" w:sz="4" w:space="0"/>
                    <w:right w:val="single" w:color="auto" w:sz="4" w:space="0"/>
                  </w:tcBorders>
                  <w:noWrap w:val="0"/>
                  <w:vAlign w:val="center"/>
                </w:tcPr>
                <w:p w14:paraId="560ABC5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s="Times New Roman"/>
                      <w:b w:val="0"/>
                      <w:bCs w:val="0"/>
                      <w:szCs w:val="21"/>
                      <w:highlight w:val="none"/>
                      <w:lang w:val="en-US" w:eastAsia="zh-CN"/>
                    </w:rPr>
                  </w:pPr>
                  <w:r>
                    <w:rPr>
                      <w:rFonts w:hint="eastAsia" w:cs="Times New Roman"/>
                      <w:b w:val="0"/>
                      <w:bCs w:val="0"/>
                      <w:szCs w:val="21"/>
                      <w:highlight w:val="none"/>
                      <w:lang w:val="en-US" w:eastAsia="zh-CN"/>
                    </w:rPr>
                    <w:t>全厂用量的</w:t>
                  </w:r>
                  <m:oMath>
                    <m:f>
                      <m:fPr>
                        <m:ctrlPr>
                          <w:rPr>
                            <w:rFonts w:hint="default" w:ascii="Cambria Math" w:hAnsi="Cambria Math" w:cs="Times New Roman"/>
                            <w:bCs w:val="0"/>
                            <w:i/>
                            <w:szCs w:val="21"/>
                            <w:highlight w:val="none"/>
                            <w:lang w:val="en-US"/>
                          </w:rPr>
                        </m:ctrlPr>
                      </m:fPr>
                      <m:num>
                        <m:r>
                          <m:rPr/>
                          <w:rPr>
                            <w:rFonts w:hint="default" w:ascii="Cambria Math" w:hAnsi="Cambria Math" w:cs="Times New Roman"/>
                            <w:szCs w:val="21"/>
                            <w:highlight w:val="none"/>
                            <w:lang w:val="en-US" w:eastAsia="zh-CN"/>
                          </w:rPr>
                          <m:t>5</m:t>
                        </m:r>
                        <m:ctrlPr>
                          <w:rPr>
                            <w:rFonts w:hint="default" w:ascii="Cambria Math" w:hAnsi="Cambria Math" w:cs="Times New Roman"/>
                            <w:bCs w:val="0"/>
                            <w:i/>
                            <w:szCs w:val="21"/>
                            <w:highlight w:val="none"/>
                            <w:lang w:val="en-US"/>
                          </w:rPr>
                        </m:ctrlPr>
                      </m:num>
                      <m:den>
                        <m:r>
                          <m:rPr/>
                          <w:rPr>
                            <w:rFonts w:hint="default" w:ascii="Cambria Math" w:hAnsi="Cambria Math" w:cs="Times New Roman"/>
                            <w:szCs w:val="21"/>
                            <w:highlight w:val="none"/>
                            <w:lang w:val="en-US" w:eastAsia="zh-CN"/>
                          </w:rPr>
                          <m:t>22</m:t>
                        </m:r>
                        <m:ctrlPr>
                          <w:rPr>
                            <w:rFonts w:hint="default" w:ascii="Cambria Math" w:hAnsi="Cambria Math" w:cs="Times New Roman"/>
                            <w:bCs w:val="0"/>
                            <w:i/>
                            <w:szCs w:val="21"/>
                            <w:highlight w:val="none"/>
                            <w:lang w:val="en-US"/>
                          </w:rPr>
                        </m:ctrlPr>
                      </m:den>
                    </m:f>
                  </m:oMath>
                  <w:r>
                    <w:rPr>
                      <w:rFonts w:hint="eastAsia" w:hAnsi="Cambria Math" w:cs="Times New Roman"/>
                      <w:bCs w:val="0"/>
                      <w:i w:val="0"/>
                      <w:szCs w:val="21"/>
                      <w:highlight w:val="none"/>
                      <w:lang w:val="en-US" w:eastAsia="zh-CN"/>
                    </w:rPr>
                    <w:t>用于洁净车间，</w:t>
                  </w:r>
                  <m:oMath>
                    <m:f>
                      <m:fPr>
                        <m:ctrlPr>
                          <w:rPr>
                            <w:rFonts w:hint="default" w:ascii="Cambria Math" w:hAnsi="Cambria Math" w:cs="Times New Roman"/>
                            <w:bCs w:val="0"/>
                            <w:i/>
                            <w:szCs w:val="21"/>
                            <w:highlight w:val="none"/>
                            <w:lang w:val="en-US"/>
                          </w:rPr>
                        </m:ctrlPr>
                      </m:fPr>
                      <m:num>
                        <m:r>
                          <m:rPr/>
                          <w:rPr>
                            <w:rFonts w:hint="default" w:ascii="Cambria Math" w:hAnsi="Cambria Math" w:cs="Times New Roman"/>
                            <w:szCs w:val="21"/>
                            <w:highlight w:val="none"/>
                            <w:lang w:val="en-US" w:eastAsia="zh-CN"/>
                          </w:rPr>
                          <m:t>17</m:t>
                        </m:r>
                        <m:ctrlPr>
                          <w:rPr>
                            <w:rFonts w:hint="default" w:ascii="Cambria Math" w:hAnsi="Cambria Math" w:cs="Times New Roman"/>
                            <w:bCs w:val="0"/>
                            <w:i/>
                            <w:szCs w:val="21"/>
                            <w:highlight w:val="none"/>
                            <w:lang w:val="en-US"/>
                          </w:rPr>
                        </m:ctrlPr>
                      </m:num>
                      <m:den>
                        <m:r>
                          <m:rPr/>
                          <w:rPr>
                            <w:rFonts w:hint="default" w:ascii="Cambria Math" w:hAnsi="Cambria Math" w:cs="Times New Roman"/>
                            <w:szCs w:val="21"/>
                            <w:highlight w:val="none"/>
                            <w:lang w:val="en-US" w:eastAsia="zh-CN"/>
                          </w:rPr>
                          <m:t>22</m:t>
                        </m:r>
                        <m:ctrlPr>
                          <w:rPr>
                            <w:rFonts w:hint="default" w:ascii="Cambria Math" w:hAnsi="Cambria Math" w:cs="Times New Roman"/>
                            <w:bCs w:val="0"/>
                            <w:i/>
                            <w:szCs w:val="21"/>
                            <w:highlight w:val="none"/>
                            <w:lang w:val="en-US"/>
                          </w:rPr>
                        </m:ctrlPr>
                      </m:den>
                    </m:f>
                  </m:oMath>
                  <w:r>
                    <w:rPr>
                      <w:rFonts w:hint="eastAsia" w:hAnsi="Cambria Math" w:cs="Times New Roman"/>
                      <w:bCs w:val="0"/>
                      <w:i w:val="0"/>
                      <w:szCs w:val="21"/>
                      <w:highlight w:val="none"/>
                      <w:lang w:val="en-US" w:eastAsia="zh-CN"/>
                    </w:rPr>
                    <w:t>用于非洁净车间</w:t>
                  </w:r>
                </w:p>
              </w:tc>
              <w:tc>
                <w:tcPr>
                  <w:tcW w:w="464" w:type="pct"/>
                  <w:tcBorders>
                    <w:top w:val="single" w:color="auto" w:sz="4" w:space="0"/>
                    <w:left w:val="single" w:color="auto" w:sz="4" w:space="0"/>
                    <w:right w:val="single" w:color="auto" w:sz="4" w:space="0"/>
                  </w:tcBorders>
                  <w:noWrap w:val="0"/>
                  <w:vAlign w:val="center"/>
                </w:tcPr>
                <w:p w14:paraId="75D1362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kern w:val="2"/>
                      <w:sz w:val="21"/>
                      <w:szCs w:val="21"/>
                      <w:highlight w:val="none"/>
                      <w:lang w:val="en-US" w:eastAsia="zh-CN" w:bidi="ar-SA"/>
                    </w:rPr>
                  </w:pPr>
                  <w:r>
                    <w:rPr>
                      <w:rFonts w:hint="eastAsia" w:cs="Times New Roman"/>
                      <w:b w:val="0"/>
                      <w:bCs w:val="0"/>
                      <w:szCs w:val="21"/>
                      <w:highlight w:val="none"/>
                      <w:lang w:val="en-US" w:eastAsia="zh-CN"/>
                    </w:rPr>
                    <w:t>30</w:t>
                  </w:r>
                </w:p>
              </w:tc>
              <w:tc>
                <w:tcPr>
                  <w:tcW w:w="418" w:type="pct"/>
                  <w:tcBorders>
                    <w:top w:val="single" w:color="auto" w:sz="4" w:space="0"/>
                    <w:left w:val="single" w:color="auto" w:sz="4" w:space="0"/>
                    <w:right w:val="single" w:color="auto" w:sz="4" w:space="0"/>
                  </w:tcBorders>
                  <w:noWrap w:val="0"/>
                  <w:vAlign w:val="center"/>
                </w:tcPr>
                <w:p w14:paraId="5B30443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b w:val="0"/>
                      <w:bCs w:val="0"/>
                      <w:szCs w:val="21"/>
                      <w:highlight w:val="none"/>
                      <w:lang w:val="en-US" w:eastAsia="zh-CN"/>
                    </w:rPr>
                  </w:pPr>
                  <w:r>
                    <w:rPr>
                      <w:rFonts w:hint="eastAsia" w:cs="Times New Roman"/>
                      <w:b w:val="0"/>
                      <w:bCs w:val="0"/>
                      <w:szCs w:val="21"/>
                      <w:highlight w:val="none"/>
                      <w:lang w:val="en-US" w:eastAsia="zh-CN"/>
                    </w:rPr>
                    <w:t>不变</w:t>
                  </w:r>
                </w:p>
              </w:tc>
              <w:tc>
                <w:tcPr>
                  <w:tcW w:w="953" w:type="pct"/>
                  <w:tcBorders>
                    <w:top w:val="single" w:color="auto" w:sz="4" w:space="0"/>
                    <w:left w:val="single" w:color="auto" w:sz="4" w:space="0"/>
                    <w:right w:val="single" w:color="auto" w:sz="4" w:space="0"/>
                  </w:tcBorders>
                  <w:noWrap w:val="0"/>
                  <w:vAlign w:val="center"/>
                </w:tcPr>
                <w:p w14:paraId="744A76A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default" w:ascii="Times New Roman" w:hAnsi="Times New Roman" w:eastAsia="宋体" w:cs="Times New Roman"/>
                      <w:b w:val="0"/>
                      <w:bCs w:val="0"/>
                      <w:szCs w:val="21"/>
                      <w:lang w:val="en-US" w:eastAsia="zh-CN"/>
                    </w:rPr>
                  </w:pPr>
                  <w:r>
                    <w:rPr>
                      <w:rFonts w:hint="eastAsia" w:ascii="Times New Roman" w:hAnsi="Times New Roman" w:eastAsia="宋体" w:cs="Times New Roman"/>
                      <w:b w:val="0"/>
                      <w:bCs w:val="0"/>
                      <w:szCs w:val="21"/>
                      <w:lang w:val="en-US" w:eastAsia="zh-CN"/>
                    </w:rPr>
                    <w:t>外购，液体，20kg/桶，最大在线量1t</w:t>
                  </w:r>
                </w:p>
              </w:tc>
            </w:tr>
            <w:tr w14:paraId="6837C1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204" w:type="pct"/>
                  <w:tcBorders>
                    <w:top w:val="single" w:color="auto" w:sz="4" w:space="0"/>
                    <w:left w:val="single" w:color="auto" w:sz="4" w:space="0"/>
                    <w:right w:val="single" w:color="auto" w:sz="4" w:space="0"/>
                  </w:tcBorders>
                  <w:noWrap w:val="0"/>
                  <w:vAlign w:val="center"/>
                </w:tcPr>
                <w:p w14:paraId="2A584E8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5</w:t>
                  </w:r>
                </w:p>
              </w:tc>
              <w:tc>
                <w:tcPr>
                  <w:tcW w:w="481" w:type="pct"/>
                  <w:tcBorders>
                    <w:top w:val="single" w:color="auto" w:sz="4" w:space="0"/>
                    <w:left w:val="single" w:color="auto" w:sz="4" w:space="0"/>
                    <w:right w:val="single" w:color="auto" w:sz="4" w:space="0"/>
                  </w:tcBorders>
                  <w:noWrap w:val="0"/>
                  <w:vAlign w:val="center"/>
                </w:tcPr>
                <w:p w14:paraId="64304CC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s="Times New Roman"/>
                      <w:lang w:eastAsia="zh-CN"/>
                    </w:rPr>
                    <w:t>无水乙醇</w:t>
                  </w:r>
                </w:p>
              </w:tc>
              <w:tc>
                <w:tcPr>
                  <w:tcW w:w="417" w:type="pct"/>
                  <w:tcBorders>
                    <w:top w:val="single" w:color="auto" w:sz="4" w:space="0"/>
                    <w:left w:val="single" w:color="auto" w:sz="4" w:space="0"/>
                    <w:right w:val="single" w:color="auto" w:sz="4" w:space="0"/>
                  </w:tcBorders>
                  <w:noWrap w:val="0"/>
                  <w:vAlign w:val="center"/>
                </w:tcPr>
                <w:p w14:paraId="2C41068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szCs w:val="21"/>
                      <w:highlight w:val="none"/>
                      <w:lang w:val="en-US" w:eastAsia="zh-CN"/>
                    </w:rPr>
                  </w:pPr>
                  <w:r>
                    <w:rPr>
                      <w:rFonts w:hint="eastAsia" w:ascii="Times New Roman" w:hAnsi="Times New Roman" w:eastAsia="宋体" w:cs="Times New Roman"/>
                      <w:b w:val="0"/>
                      <w:bCs w:val="0"/>
                      <w:szCs w:val="21"/>
                      <w:highlight w:val="none"/>
                      <w:lang w:val="en-US" w:eastAsia="zh-CN"/>
                    </w:rPr>
                    <w:t>3</w:t>
                  </w:r>
                </w:p>
              </w:tc>
              <w:tc>
                <w:tcPr>
                  <w:tcW w:w="423" w:type="pct"/>
                  <w:tcBorders>
                    <w:top w:val="single" w:color="auto" w:sz="4" w:space="0"/>
                    <w:left w:val="single" w:color="auto" w:sz="4" w:space="0"/>
                    <w:right w:val="single" w:color="auto" w:sz="4" w:space="0"/>
                  </w:tcBorders>
                  <w:noWrap w:val="0"/>
                  <w:vAlign w:val="center"/>
                </w:tcPr>
                <w:p w14:paraId="116DE40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0.227</w:t>
                  </w:r>
                </w:p>
              </w:tc>
              <w:tc>
                <w:tcPr>
                  <w:tcW w:w="485" w:type="pct"/>
                  <w:tcBorders>
                    <w:top w:val="single" w:color="auto" w:sz="4" w:space="0"/>
                    <w:left w:val="single" w:color="auto" w:sz="4" w:space="0"/>
                    <w:right w:val="single" w:color="auto" w:sz="4" w:space="0"/>
                  </w:tcBorders>
                  <w:noWrap w:val="0"/>
                  <w:vAlign w:val="center"/>
                </w:tcPr>
                <w:p w14:paraId="054DD88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szCs w:val="21"/>
                      <w:highlight w:val="none"/>
                      <w:lang w:val="en-US" w:eastAsia="zh-CN"/>
                    </w:rPr>
                  </w:pPr>
                  <w:r>
                    <w:rPr>
                      <w:rFonts w:hint="eastAsia" w:cs="Times New Roman"/>
                      <w:b w:val="0"/>
                      <w:bCs w:val="0"/>
                      <w:szCs w:val="21"/>
                      <w:highlight w:val="none"/>
                      <w:lang w:val="en-US" w:eastAsia="zh-CN"/>
                    </w:rPr>
                    <w:t>0.773</w:t>
                  </w:r>
                </w:p>
              </w:tc>
              <w:tc>
                <w:tcPr>
                  <w:tcW w:w="1151" w:type="pct"/>
                  <w:tcBorders>
                    <w:top w:val="single" w:color="auto" w:sz="4" w:space="0"/>
                    <w:left w:val="single" w:color="auto" w:sz="4" w:space="0"/>
                    <w:right w:val="single" w:color="auto" w:sz="4" w:space="0"/>
                  </w:tcBorders>
                  <w:noWrap w:val="0"/>
                  <w:vAlign w:val="center"/>
                </w:tcPr>
                <w:p w14:paraId="06DB975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cs="Times New Roman"/>
                      <w:b w:val="0"/>
                      <w:bCs w:val="0"/>
                      <w:szCs w:val="21"/>
                      <w:highlight w:val="none"/>
                      <w:lang w:val="en-US" w:eastAsia="zh-CN"/>
                    </w:rPr>
                  </w:pPr>
                  <w:r>
                    <w:rPr>
                      <w:rFonts w:hint="eastAsia" w:cs="Times New Roman"/>
                      <w:b w:val="0"/>
                      <w:bCs w:val="0"/>
                      <w:szCs w:val="21"/>
                      <w:highlight w:val="none"/>
                      <w:lang w:val="en-US" w:eastAsia="zh-CN"/>
                    </w:rPr>
                    <w:t>全厂用量的</w:t>
                  </w:r>
                  <m:oMath>
                    <m:f>
                      <m:fPr>
                        <m:ctrlPr>
                          <w:rPr>
                            <w:rFonts w:hint="default" w:ascii="Cambria Math" w:hAnsi="Cambria Math" w:cs="Times New Roman"/>
                            <w:bCs w:val="0"/>
                            <w:i/>
                            <w:szCs w:val="21"/>
                            <w:highlight w:val="none"/>
                            <w:lang w:val="en-US"/>
                          </w:rPr>
                        </m:ctrlPr>
                      </m:fPr>
                      <m:num>
                        <m:r>
                          <m:rPr/>
                          <w:rPr>
                            <w:rFonts w:hint="default" w:ascii="Cambria Math" w:hAnsi="Cambria Math" w:cs="Times New Roman"/>
                            <w:szCs w:val="21"/>
                            <w:highlight w:val="none"/>
                            <w:lang w:val="en-US" w:eastAsia="zh-CN"/>
                          </w:rPr>
                          <m:t>5</m:t>
                        </m:r>
                        <m:ctrlPr>
                          <w:rPr>
                            <w:rFonts w:hint="default" w:ascii="Cambria Math" w:hAnsi="Cambria Math" w:cs="Times New Roman"/>
                            <w:bCs w:val="0"/>
                            <w:i/>
                            <w:szCs w:val="21"/>
                            <w:highlight w:val="none"/>
                            <w:lang w:val="en-US"/>
                          </w:rPr>
                        </m:ctrlPr>
                      </m:num>
                      <m:den>
                        <m:r>
                          <m:rPr/>
                          <w:rPr>
                            <w:rFonts w:hint="default" w:ascii="Cambria Math" w:hAnsi="Cambria Math" w:cs="Times New Roman"/>
                            <w:szCs w:val="21"/>
                            <w:highlight w:val="none"/>
                            <w:lang w:val="en-US" w:eastAsia="zh-CN"/>
                          </w:rPr>
                          <m:t>22</m:t>
                        </m:r>
                        <m:ctrlPr>
                          <w:rPr>
                            <w:rFonts w:hint="default" w:ascii="Cambria Math" w:hAnsi="Cambria Math" w:cs="Times New Roman"/>
                            <w:bCs w:val="0"/>
                            <w:i/>
                            <w:szCs w:val="21"/>
                            <w:highlight w:val="none"/>
                            <w:lang w:val="en-US"/>
                          </w:rPr>
                        </m:ctrlPr>
                      </m:den>
                    </m:f>
                  </m:oMath>
                  <w:r>
                    <w:rPr>
                      <w:rFonts w:hint="eastAsia" w:hAnsi="Cambria Math" w:cs="Times New Roman"/>
                      <w:bCs w:val="0"/>
                      <w:i w:val="0"/>
                      <w:szCs w:val="21"/>
                      <w:highlight w:val="none"/>
                      <w:lang w:val="en-US" w:eastAsia="zh-CN"/>
                    </w:rPr>
                    <w:t>用于洁净车间，</w:t>
                  </w:r>
                  <m:oMath>
                    <m:f>
                      <m:fPr>
                        <m:ctrlPr>
                          <w:rPr>
                            <w:rFonts w:hint="default" w:ascii="Cambria Math" w:hAnsi="Cambria Math" w:cs="Times New Roman"/>
                            <w:bCs w:val="0"/>
                            <w:i/>
                            <w:szCs w:val="21"/>
                            <w:highlight w:val="none"/>
                            <w:lang w:val="en-US"/>
                          </w:rPr>
                        </m:ctrlPr>
                      </m:fPr>
                      <m:num>
                        <m:r>
                          <m:rPr/>
                          <w:rPr>
                            <w:rFonts w:hint="default" w:ascii="Cambria Math" w:hAnsi="Cambria Math" w:cs="Times New Roman"/>
                            <w:szCs w:val="21"/>
                            <w:highlight w:val="none"/>
                            <w:lang w:val="en-US" w:eastAsia="zh-CN"/>
                          </w:rPr>
                          <m:t>17</m:t>
                        </m:r>
                        <m:ctrlPr>
                          <w:rPr>
                            <w:rFonts w:hint="default" w:ascii="Cambria Math" w:hAnsi="Cambria Math" w:cs="Times New Roman"/>
                            <w:bCs w:val="0"/>
                            <w:i/>
                            <w:szCs w:val="21"/>
                            <w:highlight w:val="none"/>
                            <w:lang w:val="en-US"/>
                          </w:rPr>
                        </m:ctrlPr>
                      </m:num>
                      <m:den>
                        <m:r>
                          <m:rPr/>
                          <w:rPr>
                            <w:rFonts w:hint="default" w:ascii="Cambria Math" w:hAnsi="Cambria Math" w:cs="Times New Roman"/>
                            <w:szCs w:val="21"/>
                            <w:highlight w:val="none"/>
                            <w:lang w:val="en-US" w:eastAsia="zh-CN"/>
                          </w:rPr>
                          <m:t>22</m:t>
                        </m:r>
                        <m:ctrlPr>
                          <w:rPr>
                            <w:rFonts w:hint="default" w:ascii="Cambria Math" w:hAnsi="Cambria Math" w:cs="Times New Roman"/>
                            <w:bCs w:val="0"/>
                            <w:i/>
                            <w:szCs w:val="21"/>
                            <w:highlight w:val="none"/>
                            <w:lang w:val="en-US"/>
                          </w:rPr>
                        </m:ctrlPr>
                      </m:den>
                    </m:f>
                  </m:oMath>
                  <w:r>
                    <w:rPr>
                      <w:rFonts w:hint="eastAsia" w:hAnsi="Cambria Math" w:cs="Times New Roman"/>
                      <w:bCs w:val="0"/>
                      <w:i w:val="0"/>
                      <w:szCs w:val="21"/>
                      <w:highlight w:val="none"/>
                      <w:lang w:val="en-US" w:eastAsia="zh-CN"/>
                    </w:rPr>
                    <w:t>用于非洁净车间</w:t>
                  </w:r>
                </w:p>
              </w:tc>
              <w:tc>
                <w:tcPr>
                  <w:tcW w:w="464" w:type="pct"/>
                  <w:tcBorders>
                    <w:top w:val="single" w:color="auto" w:sz="4" w:space="0"/>
                    <w:left w:val="single" w:color="auto" w:sz="4" w:space="0"/>
                    <w:right w:val="single" w:color="auto" w:sz="4" w:space="0"/>
                  </w:tcBorders>
                  <w:noWrap w:val="0"/>
                  <w:vAlign w:val="center"/>
                </w:tcPr>
                <w:p w14:paraId="473F09E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kern w:val="2"/>
                      <w:sz w:val="21"/>
                      <w:szCs w:val="21"/>
                      <w:highlight w:val="none"/>
                      <w:lang w:val="en-US" w:eastAsia="zh-CN" w:bidi="ar-SA"/>
                    </w:rPr>
                  </w:pPr>
                  <w:r>
                    <w:rPr>
                      <w:rFonts w:hint="eastAsia" w:cs="Times New Roman"/>
                      <w:b w:val="0"/>
                      <w:bCs w:val="0"/>
                      <w:szCs w:val="21"/>
                      <w:highlight w:val="none"/>
                      <w:lang w:val="en-US" w:eastAsia="zh-CN"/>
                    </w:rPr>
                    <w:t>1</w:t>
                  </w:r>
                </w:p>
              </w:tc>
              <w:tc>
                <w:tcPr>
                  <w:tcW w:w="418" w:type="pct"/>
                  <w:tcBorders>
                    <w:top w:val="single" w:color="auto" w:sz="4" w:space="0"/>
                    <w:left w:val="single" w:color="auto" w:sz="4" w:space="0"/>
                    <w:right w:val="single" w:color="auto" w:sz="4" w:space="0"/>
                  </w:tcBorders>
                  <w:noWrap w:val="0"/>
                  <w:vAlign w:val="center"/>
                </w:tcPr>
                <w:p w14:paraId="7932602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szCs w:val="21"/>
                      <w:highlight w:val="none"/>
                      <w:lang w:val="en-US" w:eastAsia="zh-CN"/>
                    </w:rPr>
                  </w:pPr>
                  <w:r>
                    <w:rPr>
                      <w:rFonts w:hint="eastAsia" w:cs="Times New Roman"/>
                      <w:b w:val="0"/>
                      <w:bCs w:val="0"/>
                      <w:szCs w:val="21"/>
                      <w:highlight w:val="none"/>
                      <w:lang w:val="en-US" w:eastAsia="zh-CN"/>
                    </w:rPr>
                    <w:t>-2</w:t>
                  </w:r>
                </w:p>
              </w:tc>
              <w:tc>
                <w:tcPr>
                  <w:tcW w:w="953" w:type="pct"/>
                  <w:tcBorders>
                    <w:top w:val="single" w:color="auto" w:sz="4" w:space="0"/>
                    <w:left w:val="single" w:color="auto" w:sz="4" w:space="0"/>
                    <w:right w:val="single" w:color="auto" w:sz="4" w:space="0"/>
                  </w:tcBorders>
                  <w:noWrap w:val="0"/>
                  <w:vAlign w:val="center"/>
                </w:tcPr>
                <w:p w14:paraId="5D15E59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eastAsia" w:ascii="Times New Roman" w:hAnsi="Times New Roman" w:eastAsia="宋体" w:cs="Times New Roman"/>
                      <w:b w:val="0"/>
                      <w:bCs w:val="0"/>
                      <w:szCs w:val="21"/>
                      <w:lang w:val="en-US" w:eastAsia="zh-CN"/>
                    </w:rPr>
                  </w:pPr>
                  <w:r>
                    <w:rPr>
                      <w:rFonts w:hint="eastAsia" w:ascii="Times New Roman" w:hAnsi="Times New Roman" w:eastAsia="宋体" w:cs="Times New Roman"/>
                      <w:b w:val="0"/>
                      <w:bCs w:val="0"/>
                      <w:szCs w:val="21"/>
                      <w:lang w:val="en-US" w:eastAsia="zh-CN"/>
                    </w:rPr>
                    <w:t>外购，液体，10kg/桶，最大在线量0.5t</w:t>
                  </w:r>
                </w:p>
              </w:tc>
            </w:tr>
            <w:tr w14:paraId="24635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204" w:type="pct"/>
                  <w:tcBorders>
                    <w:top w:val="single" w:color="auto" w:sz="4" w:space="0"/>
                    <w:left w:val="single" w:color="auto" w:sz="4" w:space="0"/>
                    <w:right w:val="single" w:color="auto" w:sz="4" w:space="0"/>
                  </w:tcBorders>
                  <w:noWrap w:val="0"/>
                  <w:vAlign w:val="center"/>
                </w:tcPr>
                <w:p w14:paraId="73D9159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6</w:t>
                  </w:r>
                </w:p>
              </w:tc>
              <w:tc>
                <w:tcPr>
                  <w:tcW w:w="481" w:type="pct"/>
                  <w:tcBorders>
                    <w:top w:val="single" w:color="auto" w:sz="4" w:space="0"/>
                    <w:left w:val="single" w:color="auto" w:sz="4" w:space="0"/>
                    <w:right w:val="single" w:color="auto" w:sz="4" w:space="0"/>
                  </w:tcBorders>
                  <w:shd w:val="clear" w:color="auto" w:fill="auto"/>
                  <w:noWrap w:val="0"/>
                  <w:vAlign w:val="center"/>
                </w:tcPr>
                <w:p w14:paraId="3ED43BE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纯水</w:t>
                  </w:r>
                </w:p>
              </w:tc>
              <w:tc>
                <w:tcPr>
                  <w:tcW w:w="417" w:type="pct"/>
                  <w:tcBorders>
                    <w:top w:val="single" w:color="auto" w:sz="4" w:space="0"/>
                    <w:left w:val="single" w:color="auto" w:sz="4" w:space="0"/>
                    <w:right w:val="single" w:color="auto" w:sz="4" w:space="0"/>
                  </w:tcBorders>
                  <w:shd w:val="clear" w:color="auto" w:fill="auto"/>
                  <w:noWrap w:val="0"/>
                  <w:vAlign w:val="center"/>
                </w:tcPr>
                <w:p w14:paraId="12A5230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3</w:t>
                  </w:r>
                </w:p>
              </w:tc>
              <w:tc>
                <w:tcPr>
                  <w:tcW w:w="423" w:type="pct"/>
                  <w:tcBorders>
                    <w:top w:val="single" w:color="auto" w:sz="4" w:space="0"/>
                    <w:left w:val="single" w:color="auto" w:sz="4" w:space="0"/>
                    <w:right w:val="single" w:color="auto" w:sz="4" w:space="0"/>
                  </w:tcBorders>
                  <w:shd w:val="clear" w:color="auto" w:fill="auto"/>
                  <w:noWrap w:val="0"/>
                  <w:vAlign w:val="center"/>
                </w:tcPr>
                <w:p w14:paraId="24D8B13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Cs w:val="21"/>
                      <w:highlight w:val="none"/>
                      <w:lang w:val="en-US" w:eastAsia="zh-CN"/>
                    </w:rPr>
                    <w:t>1.136</w:t>
                  </w:r>
                </w:p>
              </w:tc>
              <w:tc>
                <w:tcPr>
                  <w:tcW w:w="485" w:type="pct"/>
                  <w:tcBorders>
                    <w:top w:val="single" w:color="auto" w:sz="4" w:space="0"/>
                    <w:left w:val="single" w:color="auto" w:sz="4" w:space="0"/>
                    <w:right w:val="single" w:color="auto" w:sz="4" w:space="0"/>
                  </w:tcBorders>
                  <w:shd w:val="clear" w:color="auto" w:fill="auto"/>
                  <w:noWrap w:val="0"/>
                  <w:vAlign w:val="center"/>
                </w:tcPr>
                <w:p w14:paraId="0048DBA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Cs w:val="21"/>
                      <w:highlight w:val="none"/>
                      <w:lang w:val="en-US" w:eastAsia="zh-CN"/>
                    </w:rPr>
                    <w:t>3.864</w:t>
                  </w:r>
                </w:p>
              </w:tc>
              <w:tc>
                <w:tcPr>
                  <w:tcW w:w="1151" w:type="pct"/>
                  <w:tcBorders>
                    <w:top w:val="single" w:color="auto" w:sz="4" w:space="0"/>
                    <w:left w:val="single" w:color="auto" w:sz="4" w:space="0"/>
                    <w:right w:val="single" w:color="auto" w:sz="4" w:space="0"/>
                  </w:tcBorders>
                  <w:shd w:val="clear" w:color="auto" w:fill="auto"/>
                  <w:noWrap w:val="0"/>
                  <w:vAlign w:val="center"/>
                </w:tcPr>
                <w:p w14:paraId="263B753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s="Times New Roman"/>
                      <w:b w:val="0"/>
                      <w:bCs w:val="0"/>
                      <w:szCs w:val="21"/>
                      <w:highlight w:val="none"/>
                      <w:lang w:val="en-US" w:eastAsia="zh-CN"/>
                    </w:rPr>
                    <w:t>全厂用量的</w:t>
                  </w:r>
                  <m:oMath>
                    <m:f>
                      <m:fPr>
                        <m:ctrlPr>
                          <w:rPr>
                            <w:rFonts w:hint="default" w:ascii="Cambria Math" w:hAnsi="Cambria Math" w:cs="Times New Roman"/>
                            <w:bCs w:val="0"/>
                            <w:i/>
                            <w:szCs w:val="21"/>
                            <w:highlight w:val="none"/>
                            <w:lang w:val="en-US"/>
                          </w:rPr>
                        </m:ctrlPr>
                      </m:fPr>
                      <m:num>
                        <m:r>
                          <m:rPr/>
                          <w:rPr>
                            <w:rFonts w:hint="default" w:ascii="Cambria Math" w:hAnsi="Cambria Math" w:cs="Times New Roman"/>
                            <w:szCs w:val="21"/>
                            <w:highlight w:val="none"/>
                            <w:lang w:val="en-US" w:eastAsia="zh-CN"/>
                          </w:rPr>
                          <m:t>5</m:t>
                        </m:r>
                        <m:ctrlPr>
                          <w:rPr>
                            <w:rFonts w:hint="default" w:ascii="Cambria Math" w:hAnsi="Cambria Math" w:cs="Times New Roman"/>
                            <w:bCs w:val="0"/>
                            <w:i/>
                            <w:szCs w:val="21"/>
                            <w:highlight w:val="none"/>
                            <w:lang w:val="en-US"/>
                          </w:rPr>
                        </m:ctrlPr>
                      </m:num>
                      <m:den>
                        <m:r>
                          <m:rPr/>
                          <w:rPr>
                            <w:rFonts w:hint="default" w:ascii="Cambria Math" w:hAnsi="Cambria Math" w:cs="Times New Roman"/>
                            <w:szCs w:val="21"/>
                            <w:highlight w:val="none"/>
                            <w:lang w:val="en-US" w:eastAsia="zh-CN"/>
                          </w:rPr>
                          <m:t>22</m:t>
                        </m:r>
                        <m:ctrlPr>
                          <w:rPr>
                            <w:rFonts w:hint="default" w:ascii="Cambria Math" w:hAnsi="Cambria Math" w:cs="Times New Roman"/>
                            <w:bCs w:val="0"/>
                            <w:i/>
                            <w:szCs w:val="21"/>
                            <w:highlight w:val="none"/>
                            <w:lang w:val="en-US"/>
                          </w:rPr>
                        </m:ctrlPr>
                      </m:den>
                    </m:f>
                  </m:oMath>
                  <w:r>
                    <w:rPr>
                      <w:rFonts w:hint="eastAsia" w:hAnsi="Cambria Math" w:cs="Times New Roman"/>
                      <w:bCs w:val="0"/>
                      <w:i w:val="0"/>
                      <w:szCs w:val="21"/>
                      <w:highlight w:val="none"/>
                      <w:lang w:val="en-US" w:eastAsia="zh-CN"/>
                    </w:rPr>
                    <w:t>用于洁净车间，</w:t>
                  </w:r>
                  <m:oMath>
                    <m:f>
                      <m:fPr>
                        <m:ctrlPr>
                          <w:rPr>
                            <w:rFonts w:hint="default" w:ascii="Cambria Math" w:hAnsi="Cambria Math" w:cs="Times New Roman"/>
                            <w:bCs w:val="0"/>
                            <w:i/>
                            <w:szCs w:val="21"/>
                            <w:highlight w:val="none"/>
                            <w:lang w:val="en-US"/>
                          </w:rPr>
                        </m:ctrlPr>
                      </m:fPr>
                      <m:num>
                        <m:r>
                          <m:rPr/>
                          <w:rPr>
                            <w:rFonts w:hint="default" w:ascii="Cambria Math" w:hAnsi="Cambria Math" w:cs="Times New Roman"/>
                            <w:szCs w:val="21"/>
                            <w:highlight w:val="none"/>
                            <w:lang w:val="en-US" w:eastAsia="zh-CN"/>
                          </w:rPr>
                          <m:t>17</m:t>
                        </m:r>
                        <m:ctrlPr>
                          <w:rPr>
                            <w:rFonts w:hint="default" w:ascii="Cambria Math" w:hAnsi="Cambria Math" w:cs="Times New Roman"/>
                            <w:bCs w:val="0"/>
                            <w:i/>
                            <w:szCs w:val="21"/>
                            <w:highlight w:val="none"/>
                            <w:lang w:val="en-US"/>
                          </w:rPr>
                        </m:ctrlPr>
                      </m:num>
                      <m:den>
                        <m:r>
                          <m:rPr/>
                          <w:rPr>
                            <w:rFonts w:hint="default" w:ascii="Cambria Math" w:hAnsi="Cambria Math" w:cs="Times New Roman"/>
                            <w:szCs w:val="21"/>
                            <w:highlight w:val="none"/>
                            <w:lang w:val="en-US" w:eastAsia="zh-CN"/>
                          </w:rPr>
                          <m:t>22</m:t>
                        </m:r>
                        <m:ctrlPr>
                          <w:rPr>
                            <w:rFonts w:hint="default" w:ascii="Cambria Math" w:hAnsi="Cambria Math" w:cs="Times New Roman"/>
                            <w:bCs w:val="0"/>
                            <w:i/>
                            <w:szCs w:val="21"/>
                            <w:highlight w:val="none"/>
                            <w:lang w:val="en-US"/>
                          </w:rPr>
                        </m:ctrlPr>
                      </m:den>
                    </m:f>
                  </m:oMath>
                  <w:r>
                    <w:rPr>
                      <w:rFonts w:hint="eastAsia" w:hAnsi="Cambria Math" w:cs="Times New Roman"/>
                      <w:bCs w:val="0"/>
                      <w:i w:val="0"/>
                      <w:szCs w:val="21"/>
                      <w:highlight w:val="none"/>
                      <w:lang w:val="en-US" w:eastAsia="zh-CN"/>
                    </w:rPr>
                    <w:t>用于非洁净车间</w:t>
                  </w:r>
                </w:p>
              </w:tc>
              <w:tc>
                <w:tcPr>
                  <w:tcW w:w="464" w:type="pct"/>
                  <w:tcBorders>
                    <w:top w:val="single" w:color="auto" w:sz="4" w:space="0"/>
                    <w:left w:val="single" w:color="auto" w:sz="4" w:space="0"/>
                    <w:right w:val="single" w:color="auto" w:sz="4" w:space="0"/>
                  </w:tcBorders>
                  <w:shd w:val="clear" w:color="auto" w:fill="auto"/>
                  <w:noWrap w:val="0"/>
                  <w:vAlign w:val="center"/>
                </w:tcPr>
                <w:p w14:paraId="6FC0479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5</w:t>
                  </w:r>
                </w:p>
              </w:tc>
              <w:tc>
                <w:tcPr>
                  <w:tcW w:w="418" w:type="pct"/>
                  <w:tcBorders>
                    <w:top w:val="single" w:color="auto" w:sz="4" w:space="0"/>
                    <w:left w:val="single" w:color="auto" w:sz="4" w:space="0"/>
                    <w:right w:val="single" w:color="auto" w:sz="4" w:space="0"/>
                  </w:tcBorders>
                  <w:shd w:val="clear" w:color="auto" w:fill="auto"/>
                  <w:noWrap w:val="0"/>
                  <w:vAlign w:val="center"/>
                </w:tcPr>
                <w:p w14:paraId="52C6D32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b w:val="0"/>
                      <w:bCs w:val="0"/>
                      <w:szCs w:val="21"/>
                      <w:highlight w:val="none"/>
                      <w:lang w:val="en-US" w:eastAsia="zh-CN"/>
                    </w:rPr>
                  </w:pPr>
                  <w:r>
                    <w:rPr>
                      <w:rFonts w:hint="eastAsia" w:cs="Times New Roman"/>
                      <w:b w:val="0"/>
                      <w:bCs w:val="0"/>
                      <w:szCs w:val="21"/>
                      <w:highlight w:val="none"/>
                      <w:lang w:val="en-US" w:eastAsia="zh-CN"/>
                    </w:rPr>
                    <w:t>+2</w:t>
                  </w:r>
                </w:p>
              </w:tc>
              <w:tc>
                <w:tcPr>
                  <w:tcW w:w="953" w:type="pct"/>
                  <w:tcBorders>
                    <w:top w:val="single" w:color="auto" w:sz="4" w:space="0"/>
                    <w:left w:val="single" w:color="auto" w:sz="4" w:space="0"/>
                    <w:right w:val="single" w:color="auto" w:sz="4" w:space="0"/>
                  </w:tcBorders>
                  <w:shd w:val="clear" w:color="auto" w:fill="auto"/>
                  <w:noWrap w:val="0"/>
                  <w:vAlign w:val="center"/>
                </w:tcPr>
                <w:p w14:paraId="0FCBAD1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both"/>
                    <w:textAlignment w:val="auto"/>
                    <w:rPr>
                      <w:rFonts w:hint="eastAsia" w:ascii="Times New Roman" w:hAnsi="Times New Roman" w:eastAsia="宋体" w:cs="Times New Roman"/>
                      <w:b w:val="0"/>
                      <w:bCs w:val="0"/>
                      <w:kern w:val="2"/>
                      <w:sz w:val="21"/>
                      <w:szCs w:val="21"/>
                      <w:lang w:val="en-US" w:eastAsia="zh-CN" w:bidi="ar-SA"/>
                    </w:rPr>
                  </w:pPr>
                  <w:r>
                    <w:rPr>
                      <w:rFonts w:hint="eastAsia" w:ascii="Times New Roman" w:hAnsi="Times New Roman" w:eastAsia="宋体" w:cs="Times New Roman"/>
                      <w:b w:val="0"/>
                      <w:bCs w:val="0"/>
                      <w:szCs w:val="21"/>
                      <w:lang w:val="en-US" w:eastAsia="zh-CN"/>
                    </w:rPr>
                    <w:t>外购，液体，25kg/桶，最大在线量0.5t</w:t>
                  </w:r>
                </w:p>
              </w:tc>
            </w:tr>
            <w:tr w14:paraId="22ABA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204" w:type="pct"/>
                  <w:tcBorders>
                    <w:top w:val="single" w:color="auto" w:sz="4" w:space="0"/>
                    <w:left w:val="single" w:color="auto" w:sz="4" w:space="0"/>
                    <w:right w:val="single" w:color="auto" w:sz="4" w:space="0"/>
                  </w:tcBorders>
                  <w:shd w:val="clear" w:color="auto" w:fill="auto"/>
                  <w:noWrap w:val="0"/>
                  <w:vAlign w:val="center"/>
                </w:tcPr>
                <w:p w14:paraId="62B2ABE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7</w:t>
                  </w:r>
                </w:p>
              </w:tc>
              <w:tc>
                <w:tcPr>
                  <w:tcW w:w="481" w:type="pct"/>
                  <w:tcBorders>
                    <w:top w:val="single" w:color="auto" w:sz="4" w:space="0"/>
                    <w:left w:val="single" w:color="auto" w:sz="4" w:space="0"/>
                    <w:right w:val="single" w:color="auto" w:sz="4" w:space="0"/>
                  </w:tcBorders>
                  <w:noWrap w:val="0"/>
                  <w:vAlign w:val="center"/>
                </w:tcPr>
                <w:p w14:paraId="6A62851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胶粘剂</w:t>
                  </w:r>
                </w:p>
              </w:tc>
              <w:tc>
                <w:tcPr>
                  <w:tcW w:w="417" w:type="pct"/>
                  <w:tcBorders>
                    <w:top w:val="single" w:color="auto" w:sz="4" w:space="0"/>
                    <w:left w:val="single" w:color="auto" w:sz="4" w:space="0"/>
                    <w:right w:val="single" w:color="auto" w:sz="4" w:space="0"/>
                  </w:tcBorders>
                  <w:noWrap w:val="0"/>
                  <w:vAlign w:val="center"/>
                </w:tcPr>
                <w:p w14:paraId="41437CB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w:t>
                  </w:r>
                </w:p>
              </w:tc>
              <w:tc>
                <w:tcPr>
                  <w:tcW w:w="423" w:type="pct"/>
                  <w:tcBorders>
                    <w:top w:val="single" w:color="auto" w:sz="4" w:space="0"/>
                    <w:left w:val="single" w:color="auto" w:sz="4" w:space="0"/>
                    <w:right w:val="single" w:color="auto" w:sz="4" w:space="0"/>
                  </w:tcBorders>
                  <w:noWrap w:val="0"/>
                  <w:vAlign w:val="center"/>
                </w:tcPr>
                <w:p w14:paraId="29D0A81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0.717</w:t>
                  </w:r>
                </w:p>
              </w:tc>
              <w:tc>
                <w:tcPr>
                  <w:tcW w:w="485" w:type="pct"/>
                  <w:tcBorders>
                    <w:top w:val="single" w:color="auto" w:sz="4" w:space="0"/>
                    <w:left w:val="single" w:color="auto" w:sz="4" w:space="0"/>
                    <w:right w:val="single" w:color="auto" w:sz="4" w:space="0"/>
                  </w:tcBorders>
                  <w:noWrap w:val="0"/>
                  <w:vAlign w:val="center"/>
                </w:tcPr>
                <w:p w14:paraId="2F07593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2.283</w:t>
                  </w:r>
                </w:p>
              </w:tc>
              <w:tc>
                <w:tcPr>
                  <w:tcW w:w="1151" w:type="pct"/>
                  <w:tcBorders>
                    <w:top w:val="single" w:color="auto" w:sz="4" w:space="0"/>
                    <w:left w:val="single" w:color="auto" w:sz="4" w:space="0"/>
                    <w:right w:val="single" w:color="auto" w:sz="4" w:space="0"/>
                  </w:tcBorders>
                  <w:noWrap w:val="0"/>
                  <w:vAlign w:val="center"/>
                </w:tcPr>
                <w:p w14:paraId="1B54AB4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auto"/>
                      <w:sz w:val="21"/>
                      <w:szCs w:val="21"/>
                      <w:highlight w:val="none"/>
                      <w:lang w:val="en-US" w:eastAsia="zh-CN"/>
                    </w:rPr>
                  </w:pPr>
                  <w:r>
                    <w:rPr>
                      <w:rFonts w:hint="eastAsia" w:cs="Times New Roman"/>
                      <w:b w:val="0"/>
                      <w:bCs w:val="0"/>
                      <w:szCs w:val="21"/>
                      <w:highlight w:val="none"/>
                      <w:lang w:val="en-US" w:eastAsia="zh-CN"/>
                    </w:rPr>
                    <w:t>全厂用量的</w:t>
                  </w:r>
                  <m:oMath>
                    <m:f>
                      <m:fPr>
                        <m:ctrlPr>
                          <w:rPr>
                            <w:rFonts w:hint="default" w:ascii="Cambria Math" w:hAnsi="Cambria Math" w:cs="Times New Roman"/>
                            <w:bCs w:val="0"/>
                            <w:i/>
                            <w:szCs w:val="21"/>
                            <w:highlight w:val="none"/>
                            <w:lang w:val="en-US"/>
                          </w:rPr>
                        </m:ctrlPr>
                      </m:fPr>
                      <m:num>
                        <m:r>
                          <m:rPr/>
                          <w:rPr>
                            <w:rFonts w:hint="default" w:ascii="Cambria Math" w:hAnsi="Cambria Math" w:cs="Times New Roman"/>
                            <w:szCs w:val="21"/>
                            <w:highlight w:val="none"/>
                            <w:lang w:val="en-US" w:eastAsia="zh-CN"/>
                          </w:rPr>
                          <m:t>11</m:t>
                        </m:r>
                        <m:ctrlPr>
                          <w:rPr>
                            <w:rFonts w:hint="default" w:ascii="Cambria Math" w:hAnsi="Cambria Math" w:cs="Times New Roman"/>
                            <w:bCs w:val="0"/>
                            <w:i/>
                            <w:szCs w:val="21"/>
                            <w:highlight w:val="none"/>
                            <w:lang w:val="en-US"/>
                          </w:rPr>
                        </m:ctrlPr>
                      </m:num>
                      <m:den>
                        <m:r>
                          <m:rPr/>
                          <w:rPr>
                            <w:rFonts w:hint="default" w:ascii="Cambria Math" w:hAnsi="Cambria Math" w:cs="Times New Roman"/>
                            <w:szCs w:val="21"/>
                            <w:highlight w:val="none"/>
                            <w:lang w:val="en-US" w:eastAsia="zh-CN"/>
                          </w:rPr>
                          <m:t>46</m:t>
                        </m:r>
                        <m:ctrlPr>
                          <w:rPr>
                            <w:rFonts w:hint="default" w:ascii="Cambria Math" w:hAnsi="Cambria Math" w:cs="Times New Roman"/>
                            <w:bCs w:val="0"/>
                            <w:i/>
                            <w:szCs w:val="21"/>
                            <w:highlight w:val="none"/>
                            <w:lang w:val="en-US"/>
                          </w:rPr>
                        </m:ctrlPr>
                      </m:den>
                    </m:f>
                  </m:oMath>
                  <w:r>
                    <w:rPr>
                      <w:rFonts w:hint="eastAsia" w:hAnsi="Cambria Math" w:cs="Times New Roman"/>
                      <w:bCs w:val="0"/>
                      <w:i w:val="0"/>
                      <w:szCs w:val="21"/>
                      <w:highlight w:val="none"/>
                      <w:lang w:val="en-US" w:eastAsia="zh-CN"/>
                    </w:rPr>
                    <w:t>用于洁净车间，</w:t>
                  </w:r>
                  <m:oMath>
                    <m:f>
                      <m:fPr>
                        <m:ctrlPr>
                          <w:rPr>
                            <w:rFonts w:hint="default" w:ascii="Cambria Math" w:hAnsi="Cambria Math" w:cs="Times New Roman"/>
                            <w:bCs w:val="0"/>
                            <w:i/>
                            <w:szCs w:val="21"/>
                            <w:highlight w:val="none"/>
                            <w:lang w:val="en-US"/>
                          </w:rPr>
                        </m:ctrlPr>
                      </m:fPr>
                      <m:num>
                        <m:r>
                          <m:rPr/>
                          <w:rPr>
                            <w:rFonts w:hint="default" w:ascii="Cambria Math" w:hAnsi="Cambria Math" w:cs="Times New Roman"/>
                            <w:szCs w:val="21"/>
                            <w:highlight w:val="none"/>
                            <w:lang w:val="en-US" w:eastAsia="zh-CN"/>
                          </w:rPr>
                          <m:t>35</m:t>
                        </m:r>
                        <m:ctrlPr>
                          <w:rPr>
                            <w:rFonts w:hint="default" w:ascii="Cambria Math" w:hAnsi="Cambria Math" w:cs="Times New Roman"/>
                            <w:bCs w:val="0"/>
                            <w:i/>
                            <w:szCs w:val="21"/>
                            <w:highlight w:val="none"/>
                            <w:lang w:val="en-US"/>
                          </w:rPr>
                        </m:ctrlPr>
                      </m:num>
                      <m:den>
                        <m:r>
                          <m:rPr/>
                          <w:rPr>
                            <w:rFonts w:hint="default" w:ascii="Cambria Math" w:hAnsi="Cambria Math" w:cs="Times New Roman"/>
                            <w:szCs w:val="21"/>
                            <w:highlight w:val="none"/>
                            <w:lang w:val="en-US" w:eastAsia="zh-CN"/>
                          </w:rPr>
                          <m:t>46</m:t>
                        </m:r>
                        <m:ctrlPr>
                          <w:rPr>
                            <w:rFonts w:hint="default" w:ascii="Cambria Math" w:hAnsi="Cambria Math" w:cs="Times New Roman"/>
                            <w:bCs w:val="0"/>
                            <w:i/>
                            <w:szCs w:val="21"/>
                            <w:highlight w:val="none"/>
                            <w:lang w:val="en-US"/>
                          </w:rPr>
                        </m:ctrlPr>
                      </m:den>
                    </m:f>
                  </m:oMath>
                  <w:r>
                    <w:rPr>
                      <w:rFonts w:hint="eastAsia" w:hAnsi="Cambria Math" w:cs="Times New Roman"/>
                      <w:bCs w:val="0"/>
                      <w:i w:val="0"/>
                      <w:szCs w:val="21"/>
                      <w:highlight w:val="none"/>
                      <w:lang w:val="en-US" w:eastAsia="zh-CN"/>
                    </w:rPr>
                    <w:t>用于非洁净车间</w:t>
                  </w:r>
                </w:p>
              </w:tc>
              <w:tc>
                <w:tcPr>
                  <w:tcW w:w="464" w:type="pct"/>
                  <w:tcBorders>
                    <w:top w:val="single" w:color="auto" w:sz="4" w:space="0"/>
                    <w:left w:val="single" w:color="auto" w:sz="4" w:space="0"/>
                    <w:right w:val="single" w:color="auto" w:sz="4" w:space="0"/>
                  </w:tcBorders>
                  <w:noWrap w:val="0"/>
                  <w:vAlign w:val="center"/>
                </w:tcPr>
                <w:p w14:paraId="079CD62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3</w:t>
                  </w:r>
                </w:p>
              </w:tc>
              <w:tc>
                <w:tcPr>
                  <w:tcW w:w="418" w:type="pct"/>
                  <w:tcBorders>
                    <w:top w:val="single" w:color="auto" w:sz="4" w:space="0"/>
                    <w:left w:val="single" w:color="auto" w:sz="4" w:space="0"/>
                    <w:right w:val="single" w:color="auto" w:sz="4" w:space="0"/>
                  </w:tcBorders>
                  <w:noWrap w:val="0"/>
                  <w:vAlign w:val="center"/>
                </w:tcPr>
                <w:p w14:paraId="7AC059D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b w:val="0"/>
                      <w:bCs w:val="0"/>
                      <w:szCs w:val="21"/>
                      <w:highlight w:val="none"/>
                      <w:lang w:val="en-US" w:eastAsia="zh-CN"/>
                    </w:rPr>
                  </w:pPr>
                  <w:r>
                    <w:rPr>
                      <w:rFonts w:hint="eastAsia" w:cs="Times New Roman"/>
                      <w:b w:val="0"/>
                      <w:bCs w:val="0"/>
                      <w:szCs w:val="21"/>
                      <w:highlight w:val="none"/>
                      <w:lang w:val="en-US" w:eastAsia="zh-CN"/>
                    </w:rPr>
                    <w:t>不变</w:t>
                  </w:r>
                </w:p>
              </w:tc>
              <w:tc>
                <w:tcPr>
                  <w:tcW w:w="953" w:type="pct"/>
                  <w:tcBorders>
                    <w:top w:val="single" w:color="auto" w:sz="4" w:space="0"/>
                    <w:left w:val="single" w:color="auto" w:sz="4" w:space="0"/>
                    <w:right w:val="single" w:color="auto" w:sz="4" w:space="0"/>
                  </w:tcBorders>
                  <w:noWrap w:val="0"/>
                  <w:vAlign w:val="center"/>
                </w:tcPr>
                <w:p w14:paraId="25F9D30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eastAsia" w:ascii="Times New Roman" w:hAnsi="Times New Roman" w:eastAsia="宋体" w:cs="Times New Roman"/>
                      <w:b w:val="0"/>
                      <w:bCs w:val="0"/>
                      <w:szCs w:val="21"/>
                      <w:lang w:val="en-US" w:eastAsia="zh-CN"/>
                    </w:rPr>
                  </w:pPr>
                  <w:r>
                    <w:rPr>
                      <w:rFonts w:hint="eastAsia" w:ascii="Times New Roman" w:hAnsi="Times New Roman" w:eastAsia="宋体" w:cs="Times New Roman"/>
                      <w:b w:val="0"/>
                      <w:bCs w:val="0"/>
                      <w:szCs w:val="21"/>
                      <w:lang w:val="en-US" w:eastAsia="zh-CN"/>
                    </w:rPr>
                    <w:t>外购，液体，</w:t>
                  </w:r>
                  <w:r>
                    <w:rPr>
                      <w:rFonts w:hint="eastAsia" w:cs="Times New Roman"/>
                      <w:b w:val="0"/>
                      <w:bCs w:val="0"/>
                      <w:szCs w:val="21"/>
                      <w:lang w:val="en-US" w:eastAsia="zh-CN"/>
                    </w:rPr>
                    <w:t>10</w:t>
                  </w:r>
                  <w:r>
                    <w:rPr>
                      <w:rFonts w:hint="eastAsia" w:ascii="Times New Roman" w:hAnsi="Times New Roman" w:eastAsia="宋体" w:cs="Times New Roman"/>
                      <w:b w:val="0"/>
                      <w:bCs w:val="0"/>
                      <w:szCs w:val="21"/>
                      <w:lang w:val="en-US" w:eastAsia="zh-CN"/>
                    </w:rPr>
                    <w:t>kg/桶，最大在线量0.5t</w:t>
                  </w:r>
                </w:p>
              </w:tc>
            </w:tr>
            <w:tr w14:paraId="674B07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20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529067D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8</w:t>
                  </w:r>
                </w:p>
              </w:tc>
              <w:tc>
                <w:tcPr>
                  <w:tcW w:w="481" w:type="pct"/>
                  <w:tcBorders>
                    <w:top w:val="single" w:color="auto" w:sz="4" w:space="0"/>
                    <w:left w:val="single" w:color="auto" w:sz="4" w:space="0"/>
                    <w:bottom w:val="single" w:color="auto" w:sz="4" w:space="0"/>
                    <w:right w:val="single" w:color="auto" w:sz="4" w:space="0"/>
                  </w:tcBorders>
                  <w:noWrap w:val="0"/>
                  <w:vAlign w:val="center"/>
                </w:tcPr>
                <w:p w14:paraId="08CD588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水</w:t>
                  </w:r>
                </w:p>
              </w:tc>
              <w:tc>
                <w:tcPr>
                  <w:tcW w:w="417" w:type="pct"/>
                  <w:tcBorders>
                    <w:top w:val="single" w:color="auto" w:sz="4" w:space="0"/>
                    <w:left w:val="single" w:color="auto" w:sz="4" w:space="0"/>
                    <w:bottom w:val="single" w:color="auto" w:sz="4" w:space="0"/>
                    <w:right w:val="single" w:color="auto" w:sz="4" w:space="0"/>
                  </w:tcBorders>
                  <w:noWrap w:val="0"/>
                  <w:vAlign w:val="center"/>
                </w:tcPr>
                <w:p w14:paraId="784B124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1860</w:t>
                  </w:r>
                </w:p>
                <w:p w14:paraId="3CF3266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rPr>
                    <w:t>m</w:t>
                  </w:r>
                  <w:r>
                    <w:rPr>
                      <w:rFonts w:hint="default" w:ascii="Times New Roman" w:hAnsi="Times New Roman" w:cs="Times New Roman"/>
                      <w:color w:val="auto"/>
                      <w:szCs w:val="21"/>
                      <w:highlight w:val="none"/>
                      <w:vertAlign w:val="superscript"/>
                    </w:rPr>
                    <w:t>3</w:t>
                  </w:r>
                  <w:r>
                    <w:rPr>
                      <w:rFonts w:hint="default" w:ascii="Times New Roman" w:hAnsi="Times New Roman" w:cs="Times New Roman"/>
                      <w:color w:val="auto"/>
                      <w:szCs w:val="21"/>
                      <w:highlight w:val="none"/>
                    </w:rPr>
                    <w:t>/a</w:t>
                  </w:r>
                </w:p>
              </w:tc>
              <w:tc>
                <w:tcPr>
                  <w:tcW w:w="423" w:type="pct"/>
                  <w:tcBorders>
                    <w:top w:val="single" w:color="auto" w:sz="4" w:space="0"/>
                    <w:left w:val="single" w:color="auto" w:sz="4" w:space="0"/>
                    <w:right w:val="single" w:color="auto" w:sz="4" w:space="0"/>
                  </w:tcBorders>
                  <w:noWrap w:val="0"/>
                  <w:vAlign w:val="center"/>
                </w:tcPr>
                <w:p w14:paraId="241AD50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 w:val="21"/>
                      <w:szCs w:val="21"/>
                      <w:highlight w:val="none"/>
                      <w:lang w:val="en-US" w:eastAsia="zh-CN"/>
                    </w:rPr>
                    <w:t>/</w:t>
                  </w:r>
                </w:p>
              </w:tc>
              <w:tc>
                <w:tcPr>
                  <w:tcW w:w="485" w:type="pct"/>
                  <w:tcBorders>
                    <w:top w:val="single" w:color="auto" w:sz="4" w:space="0"/>
                    <w:left w:val="single" w:color="auto" w:sz="4" w:space="0"/>
                    <w:right w:val="single" w:color="auto" w:sz="4" w:space="0"/>
                  </w:tcBorders>
                  <w:noWrap w:val="0"/>
                  <w:vAlign w:val="center"/>
                </w:tcPr>
                <w:p w14:paraId="6138CA2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w:t>
                  </w:r>
                </w:p>
              </w:tc>
              <w:tc>
                <w:tcPr>
                  <w:tcW w:w="1151" w:type="pct"/>
                  <w:tcBorders>
                    <w:top w:val="single" w:color="auto" w:sz="4" w:space="0"/>
                    <w:left w:val="single" w:color="auto" w:sz="4" w:space="0"/>
                    <w:right w:val="single" w:color="auto" w:sz="4" w:space="0"/>
                  </w:tcBorders>
                  <w:noWrap w:val="0"/>
                  <w:vAlign w:val="center"/>
                </w:tcPr>
                <w:p w14:paraId="086B677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464" w:type="pct"/>
                  <w:tcBorders>
                    <w:top w:val="single" w:color="auto" w:sz="4" w:space="0"/>
                    <w:left w:val="single" w:color="auto" w:sz="4" w:space="0"/>
                    <w:right w:val="single" w:color="auto" w:sz="4" w:space="0"/>
                  </w:tcBorders>
                  <w:noWrap w:val="0"/>
                  <w:vAlign w:val="center"/>
                </w:tcPr>
                <w:p w14:paraId="4A71D68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1860</w:t>
                  </w:r>
                </w:p>
                <w:p w14:paraId="769F039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b w:val="0"/>
                      <w:bCs w:val="0"/>
                      <w:color w:val="auto"/>
                      <w:kern w:val="2"/>
                      <w:sz w:val="21"/>
                      <w:szCs w:val="21"/>
                      <w:highlight w:val="none"/>
                      <w:lang w:val="en-US" w:eastAsia="zh-CN" w:bidi="ar-SA"/>
                    </w:rPr>
                  </w:pPr>
                  <w:r>
                    <w:rPr>
                      <w:rFonts w:hint="default" w:ascii="Times New Roman" w:hAnsi="Times New Roman" w:cs="Times New Roman"/>
                      <w:color w:val="auto"/>
                      <w:szCs w:val="21"/>
                      <w:highlight w:val="none"/>
                    </w:rPr>
                    <w:t>m</w:t>
                  </w:r>
                  <w:r>
                    <w:rPr>
                      <w:rFonts w:hint="default" w:ascii="Times New Roman" w:hAnsi="Times New Roman" w:cs="Times New Roman"/>
                      <w:color w:val="auto"/>
                      <w:szCs w:val="21"/>
                      <w:highlight w:val="none"/>
                      <w:vertAlign w:val="superscript"/>
                    </w:rPr>
                    <w:t>3</w:t>
                  </w:r>
                  <w:r>
                    <w:rPr>
                      <w:rFonts w:hint="default" w:ascii="Times New Roman" w:hAnsi="Times New Roman" w:cs="Times New Roman"/>
                      <w:color w:val="auto"/>
                      <w:szCs w:val="21"/>
                      <w:highlight w:val="none"/>
                    </w:rPr>
                    <w:t>/a</w:t>
                  </w:r>
                </w:p>
              </w:tc>
              <w:tc>
                <w:tcPr>
                  <w:tcW w:w="418" w:type="pct"/>
                  <w:tcBorders>
                    <w:top w:val="single" w:color="auto" w:sz="4" w:space="0"/>
                    <w:left w:val="single" w:color="auto" w:sz="4" w:space="0"/>
                    <w:right w:val="single" w:color="auto" w:sz="4" w:space="0"/>
                  </w:tcBorders>
                  <w:noWrap w:val="0"/>
                  <w:vAlign w:val="center"/>
                </w:tcPr>
                <w:p w14:paraId="20118CB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b w:val="0"/>
                      <w:bCs w:val="0"/>
                      <w:color w:val="auto"/>
                      <w:szCs w:val="21"/>
                      <w:highlight w:val="none"/>
                      <w:lang w:eastAsia="zh-CN"/>
                    </w:rPr>
                  </w:pPr>
                  <w:r>
                    <w:rPr>
                      <w:rFonts w:hint="eastAsia" w:cs="Times New Roman"/>
                      <w:b w:val="0"/>
                      <w:bCs w:val="0"/>
                      <w:color w:val="auto"/>
                      <w:szCs w:val="21"/>
                      <w:highlight w:val="none"/>
                      <w:lang w:eastAsia="zh-CN"/>
                    </w:rPr>
                    <w:t>不变</w:t>
                  </w:r>
                </w:p>
              </w:tc>
              <w:tc>
                <w:tcPr>
                  <w:tcW w:w="953" w:type="pct"/>
                  <w:tcBorders>
                    <w:top w:val="single" w:color="auto" w:sz="4" w:space="0"/>
                    <w:left w:val="single" w:color="auto" w:sz="4" w:space="0"/>
                    <w:right w:val="single" w:color="auto" w:sz="4" w:space="0"/>
                  </w:tcBorders>
                  <w:noWrap w:val="0"/>
                  <w:vAlign w:val="center"/>
                </w:tcPr>
                <w:p w14:paraId="409264E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default" w:ascii="Times New Roman" w:hAnsi="Times New Roman" w:eastAsia="宋体" w:cs="Times New Roman"/>
                      <w:b w:val="0"/>
                      <w:bCs w:val="0"/>
                      <w:color w:val="auto"/>
                      <w:szCs w:val="21"/>
                      <w:lang w:val="en-US" w:eastAsia="zh-CN"/>
                    </w:rPr>
                  </w:pPr>
                  <w:r>
                    <w:rPr>
                      <w:rFonts w:hint="default" w:ascii="Times New Roman" w:hAnsi="Times New Roman" w:cs="Times New Roman"/>
                      <w:b w:val="0"/>
                      <w:bCs w:val="0"/>
                      <w:color w:val="auto"/>
                      <w:szCs w:val="21"/>
                    </w:rPr>
                    <w:t>由园区供</w:t>
                  </w:r>
                  <w:r>
                    <w:rPr>
                      <w:rFonts w:hint="eastAsia" w:ascii="Times New Roman" w:hAnsi="Times New Roman" w:cs="Times New Roman"/>
                      <w:b w:val="0"/>
                      <w:bCs w:val="0"/>
                      <w:color w:val="auto"/>
                      <w:szCs w:val="21"/>
                      <w:lang w:val="en-US" w:eastAsia="zh-CN"/>
                    </w:rPr>
                    <w:t>水管</w:t>
                  </w:r>
                  <w:r>
                    <w:rPr>
                      <w:rFonts w:hint="default" w:ascii="Times New Roman" w:hAnsi="Times New Roman" w:cs="Times New Roman"/>
                      <w:b w:val="0"/>
                      <w:bCs w:val="0"/>
                      <w:color w:val="auto"/>
                      <w:szCs w:val="21"/>
                    </w:rPr>
                    <w:t>网提供</w:t>
                  </w:r>
                </w:p>
              </w:tc>
            </w:tr>
            <w:tr w14:paraId="52D412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204" w:type="pct"/>
                  <w:tcBorders>
                    <w:top w:val="single" w:color="auto" w:sz="4" w:space="0"/>
                    <w:left w:val="single" w:color="auto" w:sz="4" w:space="0"/>
                    <w:bottom w:val="single" w:color="auto" w:sz="4" w:space="0"/>
                    <w:right w:val="single" w:color="auto" w:sz="4" w:space="0"/>
                  </w:tcBorders>
                  <w:noWrap w:val="0"/>
                  <w:vAlign w:val="center"/>
                </w:tcPr>
                <w:p w14:paraId="5285787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kern w:val="2"/>
                      <w:sz w:val="21"/>
                      <w:szCs w:val="21"/>
                      <w:lang w:val="en-US" w:eastAsia="zh-CN" w:bidi="ar-SA"/>
                    </w:rPr>
                  </w:pPr>
                  <w:r>
                    <w:rPr>
                      <w:rFonts w:hint="eastAsia" w:cs="Times New Roman"/>
                      <w:kern w:val="2"/>
                      <w:sz w:val="21"/>
                      <w:szCs w:val="21"/>
                      <w:lang w:val="en-US" w:eastAsia="zh-CN" w:bidi="ar-SA"/>
                    </w:rPr>
                    <w:t>9</w:t>
                  </w:r>
                </w:p>
              </w:tc>
              <w:tc>
                <w:tcPr>
                  <w:tcW w:w="481" w:type="pct"/>
                  <w:tcBorders>
                    <w:top w:val="single" w:color="auto" w:sz="4" w:space="0"/>
                    <w:left w:val="single" w:color="auto" w:sz="4" w:space="0"/>
                    <w:bottom w:val="single" w:color="auto" w:sz="4" w:space="0"/>
                    <w:right w:val="single" w:color="auto" w:sz="4" w:space="0"/>
                  </w:tcBorders>
                  <w:noWrap w:val="0"/>
                  <w:vAlign w:val="center"/>
                </w:tcPr>
                <w:p w14:paraId="24EA703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电</w:t>
                  </w:r>
                </w:p>
              </w:tc>
              <w:tc>
                <w:tcPr>
                  <w:tcW w:w="417" w:type="pct"/>
                  <w:tcBorders>
                    <w:top w:val="single" w:color="auto" w:sz="4" w:space="0"/>
                    <w:left w:val="single" w:color="auto" w:sz="4" w:space="0"/>
                    <w:bottom w:val="single" w:color="auto" w:sz="4" w:space="0"/>
                    <w:right w:val="single" w:color="auto" w:sz="4" w:space="0"/>
                  </w:tcBorders>
                  <w:noWrap w:val="0"/>
                  <w:vAlign w:val="center"/>
                </w:tcPr>
                <w:p w14:paraId="0D1388A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1211.7万</w:t>
                  </w:r>
                  <w:r>
                    <w:rPr>
                      <w:rFonts w:hint="default" w:ascii="Times New Roman" w:hAnsi="Times New Roman" w:eastAsia="宋体" w:cs="Times New Roman"/>
                      <w:color w:val="auto"/>
                      <w:sz w:val="21"/>
                      <w:szCs w:val="21"/>
                      <w:highlight w:val="none"/>
                      <w:lang w:val="en-US" w:eastAsia="zh-CN"/>
                    </w:rPr>
                    <w:t>kW·h/a</w:t>
                  </w:r>
                </w:p>
              </w:tc>
              <w:tc>
                <w:tcPr>
                  <w:tcW w:w="423" w:type="pct"/>
                  <w:tcBorders>
                    <w:top w:val="single" w:color="auto" w:sz="4" w:space="0"/>
                    <w:left w:val="single" w:color="auto" w:sz="4" w:space="0"/>
                    <w:right w:val="single" w:color="auto" w:sz="4" w:space="0"/>
                  </w:tcBorders>
                  <w:noWrap w:val="0"/>
                  <w:vAlign w:val="center"/>
                </w:tcPr>
                <w:p w14:paraId="2AD978F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300万</w:t>
                  </w:r>
                </w:p>
                <w:p w14:paraId="3549EE7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 w:val="21"/>
                      <w:szCs w:val="21"/>
                      <w:highlight w:val="none"/>
                      <w:lang w:val="en-US" w:eastAsia="zh-CN"/>
                    </w:rPr>
                    <w:t>kW·h/a</w:t>
                  </w:r>
                </w:p>
              </w:tc>
              <w:tc>
                <w:tcPr>
                  <w:tcW w:w="485" w:type="pct"/>
                  <w:tcBorders>
                    <w:top w:val="single" w:color="auto" w:sz="4" w:space="0"/>
                    <w:left w:val="single" w:color="auto" w:sz="4" w:space="0"/>
                    <w:right w:val="single" w:color="auto" w:sz="4" w:space="0"/>
                  </w:tcBorders>
                  <w:noWrap w:val="0"/>
                  <w:vAlign w:val="center"/>
                </w:tcPr>
                <w:p w14:paraId="4D63F27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1211.7万</w:t>
                  </w:r>
                  <w:r>
                    <w:rPr>
                      <w:rFonts w:hint="default" w:ascii="Times New Roman" w:hAnsi="Times New Roman" w:eastAsia="宋体" w:cs="Times New Roman"/>
                      <w:color w:val="auto"/>
                      <w:sz w:val="21"/>
                      <w:szCs w:val="21"/>
                      <w:highlight w:val="none"/>
                      <w:lang w:val="en-US" w:eastAsia="zh-CN"/>
                    </w:rPr>
                    <w:t>kW·h/a</w:t>
                  </w:r>
                </w:p>
              </w:tc>
              <w:tc>
                <w:tcPr>
                  <w:tcW w:w="1151" w:type="pct"/>
                  <w:tcBorders>
                    <w:top w:val="single" w:color="auto" w:sz="4" w:space="0"/>
                    <w:left w:val="single" w:color="auto" w:sz="4" w:space="0"/>
                    <w:right w:val="single" w:color="auto" w:sz="4" w:space="0"/>
                  </w:tcBorders>
                  <w:noWrap w:val="0"/>
                  <w:vAlign w:val="center"/>
                </w:tcPr>
                <w:p w14:paraId="208FA86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464" w:type="pct"/>
                  <w:tcBorders>
                    <w:top w:val="single" w:color="auto" w:sz="4" w:space="0"/>
                    <w:left w:val="single" w:color="auto" w:sz="4" w:space="0"/>
                    <w:right w:val="single" w:color="auto" w:sz="4" w:space="0"/>
                  </w:tcBorders>
                  <w:noWrap w:val="0"/>
                  <w:vAlign w:val="center"/>
                </w:tcPr>
                <w:p w14:paraId="60A4590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b w:val="0"/>
                      <w:bCs w:val="0"/>
                      <w:color w:val="auto"/>
                      <w:szCs w:val="21"/>
                      <w:highlight w:val="none"/>
                      <w:lang w:val="en-US" w:eastAsia="zh-CN"/>
                    </w:rPr>
                  </w:pPr>
                  <w:r>
                    <w:rPr>
                      <w:rFonts w:hint="eastAsia" w:ascii="Times New Roman" w:hAnsi="Times New Roman" w:eastAsia="宋体" w:cs="Times New Roman"/>
                      <w:color w:val="auto"/>
                      <w:sz w:val="21"/>
                      <w:szCs w:val="21"/>
                      <w:highlight w:val="none"/>
                      <w:lang w:val="en-US" w:eastAsia="zh-CN"/>
                    </w:rPr>
                    <w:t>1511.7万</w:t>
                  </w:r>
                  <w:r>
                    <w:rPr>
                      <w:rFonts w:hint="default" w:ascii="Times New Roman" w:hAnsi="Times New Roman" w:eastAsia="宋体" w:cs="Times New Roman"/>
                      <w:color w:val="auto"/>
                      <w:sz w:val="21"/>
                      <w:szCs w:val="21"/>
                      <w:highlight w:val="none"/>
                      <w:lang w:val="en-US" w:eastAsia="zh-CN"/>
                    </w:rPr>
                    <w:t>kW·h/a</w:t>
                  </w:r>
                </w:p>
              </w:tc>
              <w:tc>
                <w:tcPr>
                  <w:tcW w:w="418" w:type="pct"/>
                  <w:tcBorders>
                    <w:top w:val="single" w:color="auto" w:sz="4" w:space="0"/>
                    <w:left w:val="single" w:color="auto" w:sz="4" w:space="0"/>
                    <w:right w:val="single" w:color="auto" w:sz="4" w:space="0"/>
                  </w:tcBorders>
                  <w:noWrap w:val="0"/>
                  <w:vAlign w:val="center"/>
                </w:tcPr>
                <w:p w14:paraId="2A1E789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Cs w:val="21"/>
                      <w:highlight w:val="none"/>
                      <w:lang w:val="en-US" w:eastAsia="zh-CN"/>
                    </w:rPr>
                  </w:pPr>
                  <w:r>
                    <w:rPr>
                      <w:rFonts w:hint="eastAsia" w:cs="Times New Roman"/>
                      <w:szCs w:val="21"/>
                      <w:highlight w:val="none"/>
                      <w:lang w:val="en-US" w:eastAsia="zh-CN"/>
                    </w:rPr>
                    <w:t>+300万</w:t>
                  </w:r>
                  <w:r>
                    <w:rPr>
                      <w:rFonts w:hint="default" w:ascii="Times New Roman" w:hAnsi="Times New Roman" w:eastAsia="宋体" w:cs="Times New Roman"/>
                      <w:color w:val="auto"/>
                      <w:sz w:val="21"/>
                      <w:szCs w:val="21"/>
                      <w:highlight w:val="none"/>
                      <w:lang w:val="en-US" w:eastAsia="zh-CN"/>
                    </w:rPr>
                    <w:t>kW·h/a</w:t>
                  </w:r>
                </w:p>
              </w:tc>
              <w:tc>
                <w:tcPr>
                  <w:tcW w:w="953" w:type="pct"/>
                  <w:tcBorders>
                    <w:top w:val="single" w:color="auto" w:sz="4" w:space="0"/>
                    <w:left w:val="single" w:color="auto" w:sz="4" w:space="0"/>
                    <w:right w:val="single" w:color="auto" w:sz="4" w:space="0"/>
                  </w:tcBorders>
                  <w:noWrap w:val="0"/>
                  <w:vAlign w:val="center"/>
                </w:tcPr>
                <w:p w14:paraId="32F9D81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default" w:ascii="Times New Roman" w:hAnsi="Times New Roman" w:eastAsia="宋体" w:cs="Times New Roman"/>
                      <w:szCs w:val="21"/>
                      <w:lang w:val="en-US" w:eastAsia="zh-CN"/>
                    </w:rPr>
                  </w:pPr>
                  <w:r>
                    <w:rPr>
                      <w:rFonts w:hint="eastAsia" w:ascii="Times New Roman" w:hAnsi="Times New Roman" w:cs="Times New Roman"/>
                      <w:szCs w:val="21"/>
                    </w:rPr>
                    <w:t>由园区</w:t>
                  </w:r>
                  <w:r>
                    <w:rPr>
                      <w:rFonts w:hint="eastAsia" w:cs="Times New Roman"/>
                      <w:szCs w:val="21"/>
                      <w:lang w:eastAsia="zh-CN"/>
                    </w:rPr>
                    <w:t>供电系统</w:t>
                  </w:r>
                  <w:r>
                    <w:rPr>
                      <w:rFonts w:hint="eastAsia" w:ascii="Times New Roman" w:hAnsi="Times New Roman" w:cs="Times New Roman"/>
                      <w:szCs w:val="21"/>
                    </w:rPr>
                    <w:t>提供</w:t>
                  </w:r>
                </w:p>
              </w:tc>
            </w:tr>
          </w:tbl>
          <w:p w14:paraId="1EE0A60F">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240" w:lineRule="auto"/>
              <w:ind w:left="0" w:right="0" w:firstLine="422" w:firstLineChars="200"/>
              <w:jc w:val="center"/>
              <w:textAlignment w:val="auto"/>
              <w:rPr>
                <w:rFonts w:hint="eastAsia" w:ascii="Times New Roman" w:hAnsi="Times New Roman" w:eastAsia="宋体" w:cs="Times New Roman"/>
                <w:b/>
                <w:bCs/>
                <w:color w:val="000000"/>
                <w:kern w:val="0"/>
                <w:sz w:val="21"/>
                <w:szCs w:val="21"/>
                <w:lang w:val="en-US" w:eastAsia="zh-CN" w:bidi="ar-SA"/>
              </w:rPr>
            </w:pPr>
            <w:r>
              <w:rPr>
                <w:rFonts w:hint="eastAsia" w:ascii="Times New Roman" w:hAnsi="Times New Roman" w:eastAsia="宋体" w:cs="Times New Roman"/>
                <w:b/>
                <w:bCs/>
                <w:color w:val="000000"/>
                <w:kern w:val="0"/>
                <w:sz w:val="21"/>
                <w:szCs w:val="21"/>
                <w:lang w:val="en-US" w:eastAsia="zh-CN" w:bidi="ar-SA"/>
              </w:rPr>
              <w:t>原辅材料理化性质一览表</w:t>
            </w:r>
          </w:p>
          <w:tbl>
            <w:tblPr>
              <w:tblStyle w:val="39"/>
              <w:tblW w:w="82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1"/>
              <w:gridCol w:w="767"/>
              <w:gridCol w:w="4053"/>
              <w:gridCol w:w="3005"/>
            </w:tblGrid>
            <w:tr w14:paraId="76F169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31" w:type="dxa"/>
                  <w:noWrap w:val="0"/>
                  <w:vAlign w:val="center"/>
                </w:tcPr>
                <w:p w14:paraId="50A935A8">
                  <w:pPr>
                    <w:pStyle w:val="93"/>
                    <w:keepNext w:val="0"/>
                    <w:keepLines w:val="0"/>
                    <w:suppressLineNumbers w:val="0"/>
                    <w:bidi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序号</w:t>
                  </w:r>
                </w:p>
              </w:tc>
              <w:tc>
                <w:tcPr>
                  <w:tcW w:w="767" w:type="dxa"/>
                  <w:noWrap w:val="0"/>
                  <w:vAlign w:val="center"/>
                </w:tcPr>
                <w:p w14:paraId="40D5788C">
                  <w:pPr>
                    <w:pStyle w:val="93"/>
                    <w:keepNext w:val="0"/>
                    <w:keepLines w:val="0"/>
                    <w:suppressLineNumbers w:val="0"/>
                    <w:bidi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名称</w:t>
                  </w:r>
                </w:p>
              </w:tc>
              <w:tc>
                <w:tcPr>
                  <w:tcW w:w="4053" w:type="dxa"/>
                  <w:noWrap w:val="0"/>
                  <w:vAlign w:val="center"/>
                </w:tcPr>
                <w:p w14:paraId="33E2C439">
                  <w:pPr>
                    <w:pStyle w:val="93"/>
                    <w:keepNext w:val="0"/>
                    <w:keepLines w:val="0"/>
                    <w:suppressLineNumbers w:val="0"/>
                    <w:bidi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理化性质</w:t>
                  </w:r>
                </w:p>
              </w:tc>
              <w:tc>
                <w:tcPr>
                  <w:tcW w:w="3005" w:type="dxa"/>
                  <w:noWrap w:val="0"/>
                  <w:vAlign w:val="center"/>
                </w:tcPr>
                <w:p w14:paraId="22C812D4">
                  <w:pPr>
                    <w:pStyle w:val="93"/>
                    <w:keepNext w:val="0"/>
                    <w:keepLines w:val="0"/>
                    <w:suppressLineNumbers w:val="0"/>
                    <w:bidi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备注</w:t>
                  </w:r>
                </w:p>
              </w:tc>
            </w:tr>
            <w:tr w14:paraId="5E1837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431" w:type="dxa"/>
                  <w:noWrap w:val="0"/>
                  <w:vAlign w:val="center"/>
                </w:tcPr>
                <w:p w14:paraId="54517BFF">
                  <w:pPr>
                    <w:pStyle w:val="93"/>
                    <w:keepNext w:val="0"/>
                    <w:keepLines w:val="0"/>
                    <w:suppressLineNumbers w:val="0"/>
                    <w:bidi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w:t>
                  </w:r>
                </w:p>
              </w:tc>
              <w:tc>
                <w:tcPr>
                  <w:tcW w:w="767" w:type="dxa"/>
                  <w:noWrap w:val="0"/>
                  <w:vAlign w:val="center"/>
                </w:tcPr>
                <w:p w14:paraId="40816AE0">
                  <w:pPr>
                    <w:pStyle w:val="93"/>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rPr>
                    <w:t>聚乙烯</w:t>
                  </w:r>
                </w:p>
              </w:tc>
              <w:tc>
                <w:tcPr>
                  <w:tcW w:w="4053" w:type="dxa"/>
                  <w:noWrap w:val="0"/>
                  <w:vAlign w:val="center"/>
                </w:tcPr>
                <w:p w14:paraId="772A862D">
                  <w:pPr>
                    <w:pStyle w:val="93"/>
                    <w:keepNext w:val="0"/>
                    <w:keepLines w:val="0"/>
                    <w:suppressLineNumbers w:val="0"/>
                    <w:bidi w:val="0"/>
                    <w:spacing w:before="0" w:beforeAutospacing="0" w:after="0" w:afterAutospacing="0"/>
                    <w:ind w:left="0" w:right="0" w:firstLine="0" w:firstLineChars="0"/>
                    <w:jc w:val="both"/>
                    <w:rPr>
                      <w:rFonts w:hint="default" w:ascii="Times New Roman" w:hAnsi="Times New Roman" w:cs="Times New Roman"/>
                      <w:color w:val="auto"/>
                      <w:kern w:val="0"/>
                      <w:sz w:val="21"/>
                      <w:szCs w:val="21"/>
                      <w:highlight w:val="none"/>
                      <w:vertAlign w:val="baseline"/>
                      <w:lang w:val="en-US" w:eastAsia="zh-CN" w:bidi="ar-SA"/>
                    </w:rPr>
                  </w:pPr>
                  <w:r>
                    <w:rPr>
                      <w:rFonts w:hint="default" w:ascii="Times New Roman" w:hAnsi="Times New Roman" w:cs="Times New Roman"/>
                      <w:color w:val="auto"/>
                      <w:kern w:val="0"/>
                      <w:sz w:val="21"/>
                      <w:szCs w:val="21"/>
                      <w:highlight w:val="none"/>
                      <w:vertAlign w:val="baseline"/>
                      <w:lang w:val="en-US" w:eastAsia="zh-CN" w:bidi="ar-SA"/>
                    </w:rPr>
                    <w:t>线性低密度聚乙烯（LLDPE）是乙烯与少量α-烯烃共聚形成在线性乙烯的主链上，带有非常短小的共聚单体支链的分子结构。线性低密度聚乙烯为无毒、无味、无臭的乳白色颗粒，密度为0.918~0.935g/cm</w:t>
                  </w:r>
                  <w:r>
                    <w:rPr>
                      <w:rFonts w:hint="default" w:ascii="Times New Roman" w:hAnsi="Times New Roman" w:cs="Times New Roman"/>
                      <w:color w:val="auto"/>
                      <w:kern w:val="0"/>
                      <w:sz w:val="21"/>
                      <w:szCs w:val="21"/>
                      <w:highlight w:val="none"/>
                      <w:vertAlign w:val="superscript"/>
                      <w:lang w:val="en-US" w:eastAsia="zh-CN" w:bidi="ar-SA"/>
                    </w:rPr>
                    <w:t>3</w:t>
                  </w:r>
                  <w:r>
                    <w:rPr>
                      <w:rFonts w:hint="default" w:ascii="Times New Roman" w:hAnsi="Times New Roman" w:cs="Times New Roman"/>
                      <w:color w:val="auto"/>
                      <w:kern w:val="0"/>
                      <w:sz w:val="21"/>
                      <w:szCs w:val="21"/>
                      <w:highlight w:val="none"/>
                      <w:vertAlign w:val="baseline"/>
                      <w:lang w:val="en-US" w:eastAsia="zh-CN" w:bidi="ar-SA"/>
                    </w:rPr>
                    <w:t>。它与LDPE相比，具有较高的软化温度和熔融温度，熔点110～125℃</w:t>
                  </w:r>
                  <w:r>
                    <w:rPr>
                      <w:rFonts w:hint="eastAsia" w:ascii="Times New Roman" w:hAnsi="Times New Roman" w:cs="Times New Roman"/>
                      <w:color w:val="auto"/>
                      <w:kern w:val="0"/>
                      <w:sz w:val="21"/>
                      <w:szCs w:val="21"/>
                      <w:highlight w:val="none"/>
                      <w:vertAlign w:val="baseline"/>
                      <w:lang w:val="en-US" w:eastAsia="zh-CN" w:bidi="ar-SA"/>
                    </w:rPr>
                    <w:t>，</w:t>
                  </w:r>
                  <w:r>
                    <w:rPr>
                      <w:rFonts w:hint="default" w:ascii="Times New Roman" w:hAnsi="Times New Roman" w:cs="Times New Roman"/>
                      <w:color w:val="auto"/>
                      <w:kern w:val="0"/>
                      <w:sz w:val="21"/>
                      <w:szCs w:val="21"/>
                      <w:highlight w:val="none"/>
                      <w:vertAlign w:val="baseline"/>
                      <w:lang w:val="en-US" w:eastAsia="zh-CN" w:bidi="ar-SA"/>
                    </w:rPr>
                    <w:t>有强度大、韧性好、刚性大、耐热、耐寒性好等优点，还具有良好的耐环境应力开裂性，耐冲击强度、耐撕裂强度等性能，并可耐酸、碱、有机溶剂等</w:t>
                  </w:r>
                  <w:r>
                    <w:rPr>
                      <w:rFonts w:hint="eastAsia" w:ascii="Times New Roman" w:hAnsi="Times New Roman" w:cs="Times New Roman"/>
                      <w:color w:val="auto"/>
                      <w:kern w:val="0"/>
                      <w:sz w:val="21"/>
                      <w:szCs w:val="21"/>
                      <w:highlight w:val="none"/>
                      <w:vertAlign w:val="baseline"/>
                      <w:lang w:val="en-US" w:eastAsia="zh-CN" w:bidi="ar-SA"/>
                    </w:rPr>
                    <w:t>。</w:t>
                  </w:r>
                </w:p>
              </w:tc>
              <w:tc>
                <w:tcPr>
                  <w:tcW w:w="3005" w:type="dxa"/>
                  <w:noWrap w:val="0"/>
                  <w:vAlign w:val="center"/>
                </w:tcPr>
                <w:p w14:paraId="566437F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w:t>
                  </w:r>
                </w:p>
              </w:tc>
            </w:tr>
            <w:tr w14:paraId="3459AB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31" w:type="dxa"/>
                  <w:noWrap w:val="0"/>
                  <w:vAlign w:val="center"/>
                </w:tcPr>
                <w:p w14:paraId="788D12D5">
                  <w:pPr>
                    <w:pStyle w:val="93"/>
                    <w:keepNext w:val="0"/>
                    <w:keepLines w:val="0"/>
                    <w:suppressLineNumbers w:val="0"/>
                    <w:bidi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2</w:t>
                  </w:r>
                </w:p>
              </w:tc>
              <w:tc>
                <w:tcPr>
                  <w:tcW w:w="767" w:type="dxa"/>
                  <w:noWrap w:val="0"/>
                  <w:vAlign w:val="center"/>
                </w:tcPr>
                <w:p w14:paraId="66827CE5">
                  <w:pPr>
                    <w:pStyle w:val="93"/>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双向拉伸</w:t>
                  </w:r>
                  <w:r>
                    <w:rPr>
                      <w:rFonts w:hint="eastAsia" w:ascii="Times New Roman" w:hAnsi="Times New Roman" w:cs="Times New Roman"/>
                      <w:color w:val="auto"/>
                      <w:sz w:val="21"/>
                      <w:szCs w:val="21"/>
                      <w:lang w:val="en-US" w:eastAsia="zh-CN"/>
                    </w:rPr>
                    <w:t>聚酯薄膜</w:t>
                  </w:r>
                </w:p>
              </w:tc>
              <w:tc>
                <w:tcPr>
                  <w:tcW w:w="4053" w:type="dxa"/>
                  <w:noWrap w:val="0"/>
                  <w:vAlign w:val="center"/>
                </w:tcPr>
                <w:p w14:paraId="6E890514">
                  <w:pPr>
                    <w:pStyle w:val="93"/>
                    <w:keepNext w:val="0"/>
                    <w:keepLines w:val="0"/>
                    <w:suppressLineNumbers w:val="0"/>
                    <w:bidi w:val="0"/>
                    <w:spacing w:before="0" w:beforeAutospacing="0" w:after="0" w:afterAutospacing="0"/>
                    <w:ind w:left="0" w:right="0" w:firstLine="0" w:firstLineChars="0"/>
                    <w:jc w:val="both"/>
                    <w:rPr>
                      <w:rFonts w:hint="default" w:ascii="Times New Roman" w:hAnsi="Times New Roman" w:cs="Times New Roman"/>
                      <w:color w:val="auto"/>
                      <w:kern w:val="0"/>
                      <w:sz w:val="21"/>
                      <w:szCs w:val="21"/>
                      <w:highlight w:val="none"/>
                      <w:vertAlign w:val="baseline"/>
                      <w:lang w:val="en-US" w:eastAsia="zh-CN" w:bidi="ar-SA"/>
                    </w:rPr>
                  </w:pPr>
                  <w:r>
                    <w:rPr>
                      <w:rFonts w:hint="default" w:ascii="Times New Roman" w:hAnsi="Times New Roman" w:cs="Times New Roman"/>
                      <w:color w:val="auto"/>
                      <w:kern w:val="0"/>
                      <w:sz w:val="21"/>
                      <w:szCs w:val="21"/>
                      <w:highlight w:val="none"/>
                      <w:vertAlign w:val="baseline"/>
                      <w:lang w:val="en-US" w:eastAsia="zh-CN" w:bidi="ar-SA"/>
                    </w:rPr>
                    <w:t>无色透明薄膜，由多元醇和多元酸缩聚制得的聚合物总称，熔点255～260℃，化学稳定性好。</w:t>
                  </w:r>
                  <w:r>
                    <w:rPr>
                      <w:rFonts w:hint="eastAsia" w:ascii="Times New Roman" w:cs="Times New Roman"/>
                      <w:color w:val="auto"/>
                      <w:kern w:val="0"/>
                      <w:sz w:val="21"/>
                      <w:szCs w:val="21"/>
                      <w:highlight w:val="none"/>
                      <w:vertAlign w:val="baseline"/>
                      <w:lang w:val="en-US" w:eastAsia="zh-CN" w:bidi="ar-SA"/>
                    </w:rPr>
                    <w:t>耐寒、耐热性优良，适应温度范围为-70</w:t>
                  </w:r>
                  <w:r>
                    <w:rPr>
                      <w:rFonts w:hint="default" w:ascii="Times New Roman" w:hAnsi="Times New Roman" w:cs="Times New Roman"/>
                      <w:color w:val="auto"/>
                      <w:kern w:val="0"/>
                      <w:sz w:val="21"/>
                      <w:szCs w:val="21"/>
                      <w:highlight w:val="none"/>
                      <w:vertAlign w:val="baseline"/>
                      <w:lang w:val="en-US" w:eastAsia="zh-CN" w:bidi="ar-SA"/>
                    </w:rPr>
                    <w:t>～</w:t>
                  </w:r>
                  <w:r>
                    <w:rPr>
                      <w:rFonts w:hint="eastAsia" w:ascii="Times New Roman" w:cs="Times New Roman"/>
                      <w:color w:val="auto"/>
                      <w:kern w:val="0"/>
                      <w:sz w:val="21"/>
                      <w:szCs w:val="21"/>
                      <w:highlight w:val="none"/>
                      <w:vertAlign w:val="baseline"/>
                      <w:lang w:val="en-US" w:eastAsia="zh-CN" w:bidi="ar-SA"/>
                    </w:rPr>
                    <w:t>150</w:t>
                  </w:r>
                  <w:r>
                    <w:rPr>
                      <w:rFonts w:hint="default" w:ascii="Times New Roman" w:hAnsi="Times New Roman" w:cs="Times New Roman"/>
                      <w:color w:val="auto"/>
                      <w:kern w:val="0"/>
                      <w:sz w:val="21"/>
                      <w:szCs w:val="21"/>
                      <w:highlight w:val="none"/>
                      <w:vertAlign w:val="baseline"/>
                      <w:lang w:val="en-US" w:eastAsia="zh-CN" w:bidi="ar-SA"/>
                    </w:rPr>
                    <w:t>℃</w:t>
                  </w:r>
                  <w:r>
                    <w:rPr>
                      <w:rFonts w:hint="eastAsia" w:ascii="Times New Roman" w:cs="Times New Roman"/>
                      <w:color w:val="auto"/>
                      <w:kern w:val="0"/>
                      <w:sz w:val="21"/>
                      <w:szCs w:val="21"/>
                      <w:highlight w:val="none"/>
                      <w:vertAlign w:val="baseline"/>
                      <w:lang w:val="en-US" w:eastAsia="zh-CN" w:bidi="ar-SA"/>
                    </w:rPr>
                    <w:t>，</w:t>
                  </w:r>
                  <w:r>
                    <w:rPr>
                      <w:rFonts w:hint="default" w:ascii="Times New Roman" w:hAnsi="Times New Roman" w:cs="Times New Roman"/>
                      <w:color w:val="auto"/>
                      <w:kern w:val="0"/>
                      <w:sz w:val="21"/>
                      <w:szCs w:val="21"/>
                      <w:highlight w:val="none"/>
                      <w:vertAlign w:val="baseline"/>
                      <w:lang w:val="en-US" w:eastAsia="zh-CN" w:bidi="ar-SA"/>
                    </w:rPr>
                    <w:t>常温下不溶于一般溶剂，吸水性小，电绝缘性优良</w:t>
                  </w:r>
                  <w:r>
                    <w:rPr>
                      <w:rFonts w:hint="eastAsia" w:ascii="Times New Roman" w:hAnsi="Times New Roman" w:cs="Times New Roman"/>
                      <w:color w:val="auto"/>
                      <w:kern w:val="0"/>
                      <w:sz w:val="21"/>
                      <w:szCs w:val="21"/>
                      <w:highlight w:val="none"/>
                      <w:vertAlign w:val="baseline"/>
                      <w:lang w:val="en-US" w:eastAsia="zh-CN" w:bidi="ar-SA"/>
                    </w:rPr>
                    <w:t>。</w:t>
                  </w:r>
                </w:p>
              </w:tc>
              <w:tc>
                <w:tcPr>
                  <w:tcW w:w="3005" w:type="dxa"/>
                  <w:noWrap w:val="0"/>
                  <w:vAlign w:val="center"/>
                </w:tcPr>
                <w:p w14:paraId="3F2F316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w:t>
                  </w:r>
                </w:p>
              </w:tc>
            </w:tr>
            <w:tr w14:paraId="010AEE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31" w:type="dxa"/>
                  <w:noWrap w:val="0"/>
                  <w:vAlign w:val="center"/>
                </w:tcPr>
                <w:p w14:paraId="4CA7076E">
                  <w:pPr>
                    <w:pStyle w:val="93"/>
                    <w:keepNext w:val="0"/>
                    <w:keepLines w:val="0"/>
                    <w:suppressLineNumbers w:val="0"/>
                    <w:bidi w:val="0"/>
                    <w:spacing w:before="0" w:beforeAutospacing="0" w:after="0" w:afterAutospacing="0"/>
                    <w:ind w:left="0" w:right="0"/>
                    <w:jc w:val="center"/>
                    <w:rPr>
                      <w:rFonts w:hint="default" w:ascii="Times New Roman" w:hAnsi="Times New Roman" w:cs="Times New Roman"/>
                      <w:color w:val="auto"/>
                      <w:kern w:val="0"/>
                      <w:sz w:val="21"/>
                      <w:szCs w:val="21"/>
                      <w:highlight w:val="none"/>
                      <w:lang w:val="en-US" w:eastAsia="zh-CN" w:bidi="ar-SA"/>
                    </w:rPr>
                  </w:pPr>
                  <w:r>
                    <w:rPr>
                      <w:rFonts w:hint="eastAsia" w:ascii="Times New Roman" w:cs="Times New Roman"/>
                      <w:color w:val="auto"/>
                      <w:sz w:val="21"/>
                      <w:szCs w:val="21"/>
                      <w:highlight w:val="none"/>
                      <w:lang w:val="en-US" w:eastAsia="zh-CN"/>
                    </w:rPr>
                    <w:t>3</w:t>
                  </w:r>
                </w:p>
              </w:tc>
              <w:tc>
                <w:tcPr>
                  <w:tcW w:w="767" w:type="dxa"/>
                  <w:noWrap w:val="0"/>
                  <w:vAlign w:val="center"/>
                </w:tcPr>
                <w:p w14:paraId="1471D925">
                  <w:pPr>
                    <w:pStyle w:val="93"/>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eastAsia="zh-CN"/>
                    </w:rPr>
                    <w:t>水性</w:t>
                  </w:r>
                  <w:r>
                    <w:rPr>
                      <w:rFonts w:hint="default" w:ascii="Times New Roman" w:hAnsi="Times New Roman" w:cs="Times New Roman"/>
                      <w:color w:val="auto"/>
                      <w:sz w:val="21"/>
                      <w:szCs w:val="21"/>
                      <w:highlight w:val="none"/>
                    </w:rPr>
                    <w:t>油墨</w:t>
                  </w:r>
                </w:p>
              </w:tc>
              <w:tc>
                <w:tcPr>
                  <w:tcW w:w="4053" w:type="dxa"/>
                  <w:noWrap w:val="0"/>
                  <w:vAlign w:val="center"/>
                </w:tcPr>
                <w:p w14:paraId="626C65F1">
                  <w:pPr>
                    <w:pStyle w:val="93"/>
                    <w:keepNext w:val="0"/>
                    <w:keepLines w:val="0"/>
                    <w:suppressLineNumbers w:val="0"/>
                    <w:bidi w:val="0"/>
                    <w:spacing w:before="0" w:beforeAutospacing="0" w:after="0" w:afterAutospacing="0"/>
                    <w:ind w:left="0" w:right="0" w:firstLine="0" w:firstLineChars="0"/>
                    <w:jc w:val="both"/>
                    <w:rPr>
                      <w:rFonts w:hint="default" w:ascii="Times New Roman" w:hAnsi="Times New Roman" w:cs="Times New Roman"/>
                      <w:color w:val="auto"/>
                      <w:kern w:val="0"/>
                      <w:sz w:val="21"/>
                      <w:szCs w:val="21"/>
                      <w:highlight w:val="none"/>
                      <w:vertAlign w:val="baseline"/>
                      <w:lang w:val="en-US" w:eastAsia="zh-CN" w:bidi="ar-SA"/>
                    </w:rPr>
                  </w:pPr>
                  <w:r>
                    <w:rPr>
                      <w:rFonts w:hint="eastAsia" w:ascii="Times New Roman" w:hAnsi="Times New Roman" w:eastAsia="宋体" w:cs="Times New Roman"/>
                      <w:color w:val="auto"/>
                      <w:kern w:val="0"/>
                      <w:sz w:val="21"/>
                      <w:szCs w:val="21"/>
                      <w:highlight w:val="none"/>
                      <w:vertAlign w:val="baseline"/>
                      <w:lang w:val="en-US" w:eastAsia="zh-CN" w:bidi="ar-SA"/>
                    </w:rPr>
                    <w:t>粘稠有色液体，有淡淡的气味，pH值为8.3-8.5，密度（25</w:t>
                  </w:r>
                  <w:r>
                    <w:rPr>
                      <w:rFonts w:hint="default" w:ascii="Times New Roman" w:hAnsi="Times New Roman" w:cs="Times New Roman"/>
                      <w:color w:val="auto"/>
                      <w:kern w:val="0"/>
                      <w:sz w:val="21"/>
                      <w:szCs w:val="21"/>
                      <w:highlight w:val="none"/>
                      <w:vertAlign w:val="baseline"/>
                      <w:lang w:val="en-US" w:eastAsia="zh-CN" w:bidi="ar-SA"/>
                    </w:rPr>
                    <w:t>℃</w:t>
                  </w:r>
                  <w:r>
                    <w:rPr>
                      <w:rFonts w:hint="eastAsia" w:ascii="Times New Roman" w:hAnsi="Times New Roman" w:cs="Times New Roman"/>
                      <w:color w:val="auto"/>
                      <w:kern w:val="0"/>
                      <w:sz w:val="21"/>
                      <w:szCs w:val="21"/>
                      <w:highlight w:val="none"/>
                      <w:vertAlign w:val="baseline"/>
                      <w:lang w:val="en-US" w:eastAsia="zh-CN" w:bidi="ar-SA"/>
                    </w:rPr>
                    <w:t>）1.01-1.22，能与水混溶，</w:t>
                  </w:r>
                  <w:r>
                    <w:rPr>
                      <w:rFonts w:hint="default" w:ascii="Times New Roman" w:hAnsi="Times New Roman" w:eastAsia="宋体" w:cs="Times New Roman"/>
                      <w:color w:val="auto"/>
                      <w:kern w:val="0"/>
                      <w:sz w:val="21"/>
                      <w:szCs w:val="21"/>
                      <w:highlight w:val="none"/>
                      <w:vertAlign w:val="baseline"/>
                      <w:lang w:val="en-US" w:eastAsia="zh-CN" w:bidi="ar-SA"/>
                    </w:rPr>
                    <w:t>粘度（25℃）：25±5秒/涂-4杯，细度≤25μm，初干性：10-30mm/30s，附着牢度≥95</w:t>
                  </w:r>
                  <w:r>
                    <w:rPr>
                      <w:rFonts w:hint="eastAsia" w:ascii="宋体" w:hAnsi="宋体" w:eastAsia="宋体" w:cs="宋体"/>
                      <w:color w:val="auto"/>
                      <w:kern w:val="0"/>
                      <w:sz w:val="21"/>
                      <w:szCs w:val="21"/>
                      <w:highlight w:val="none"/>
                      <w:vertAlign w:val="baseline"/>
                      <w:lang w:val="en-US" w:eastAsia="zh-CN" w:bidi="ar-SA"/>
                    </w:rPr>
                    <w:t>。</w:t>
                  </w:r>
                  <w:r>
                    <w:rPr>
                      <w:rFonts w:hint="default" w:ascii="Times New Roman" w:hAnsi="Times New Roman" w:cs="Times New Roman"/>
                      <w:color w:val="auto"/>
                      <w:kern w:val="0"/>
                      <w:sz w:val="21"/>
                      <w:szCs w:val="20"/>
                      <w:highlight w:val="none"/>
                      <w:vertAlign w:val="baseline"/>
                      <w:lang w:val="en-US" w:eastAsia="zh-CN" w:bidi="ar-SA"/>
                    </w:rPr>
                    <w:t>主要由颜料、助剂、树脂、溶剂和水等部分组成，</w:t>
                  </w:r>
                  <w:r>
                    <w:rPr>
                      <w:rFonts w:hint="eastAsia" w:ascii="Times New Roman" w:cs="Times New Roman"/>
                      <w:color w:val="auto"/>
                      <w:kern w:val="0"/>
                      <w:sz w:val="21"/>
                      <w:szCs w:val="20"/>
                      <w:highlight w:val="none"/>
                      <w:vertAlign w:val="baseline"/>
                      <w:lang w:val="en-US" w:eastAsia="zh-CN" w:bidi="ar-SA"/>
                    </w:rPr>
                    <w:t>固体份63.8%，挥发分1.2%，水35%。</w:t>
                  </w:r>
                </w:p>
              </w:tc>
              <w:tc>
                <w:tcPr>
                  <w:tcW w:w="3005" w:type="dxa"/>
                  <w:noWrap w:val="0"/>
                  <w:vAlign w:val="center"/>
                </w:tcPr>
                <w:p w14:paraId="79C37EFE">
                  <w:pPr>
                    <w:pStyle w:val="93"/>
                    <w:keepNext w:val="0"/>
                    <w:keepLines w:val="0"/>
                    <w:suppressLineNumbers w:val="0"/>
                    <w:bidi w:val="0"/>
                    <w:spacing w:before="0" w:beforeAutospacing="0" w:after="0" w:afterAutospacing="0"/>
                    <w:ind w:left="0" w:right="0" w:firstLine="0" w:firstLineChars="0"/>
                    <w:jc w:val="both"/>
                    <w:rPr>
                      <w:rFonts w:hint="default" w:ascii="Times New Roman" w:hAnsi="Times New Roman" w:cs="Times New Roman"/>
                      <w:color w:val="auto"/>
                      <w:kern w:val="0"/>
                      <w:sz w:val="21"/>
                      <w:szCs w:val="21"/>
                      <w:highlight w:val="none"/>
                      <w:vertAlign w:val="baseline"/>
                      <w:lang w:val="en-US" w:eastAsia="zh-CN" w:bidi="ar-SA"/>
                    </w:rPr>
                  </w:pPr>
                  <w:r>
                    <w:rPr>
                      <w:rFonts w:hint="default" w:ascii="Times New Roman" w:hAnsi="Times New Roman" w:cs="Times New Roman"/>
                      <w:color w:val="auto"/>
                      <w:sz w:val="21"/>
                      <w:szCs w:val="21"/>
                      <w:highlight w:val="none"/>
                      <w:lang w:val="en-US" w:eastAsia="zh-CN"/>
                    </w:rPr>
                    <w:t>经</w:t>
                  </w:r>
                  <w:r>
                    <w:rPr>
                      <w:rFonts w:hint="eastAsia" w:ascii="Times New Roman" w:hAnsi="Times New Roman" w:cs="Times New Roman"/>
                      <w:color w:val="auto"/>
                      <w:sz w:val="21"/>
                      <w:szCs w:val="21"/>
                      <w:highlight w:val="none"/>
                      <w:lang w:val="en-US" w:eastAsia="zh-CN"/>
                    </w:rPr>
                    <w:t>上海华测品标检测技术有限公司</w:t>
                  </w:r>
                  <w:r>
                    <w:rPr>
                      <w:rFonts w:hint="default" w:ascii="Times New Roman" w:hAnsi="Times New Roman" w:cs="Times New Roman"/>
                      <w:color w:val="auto"/>
                      <w:sz w:val="21"/>
                      <w:szCs w:val="21"/>
                      <w:highlight w:val="none"/>
                      <w:lang w:val="en-US" w:eastAsia="zh-CN"/>
                    </w:rPr>
                    <w:t>检测（编号：</w:t>
                  </w:r>
                  <w:r>
                    <w:rPr>
                      <w:rFonts w:hint="eastAsia" w:ascii="Times New Roman" w:hAnsi="Times New Roman" w:cs="Times New Roman"/>
                      <w:color w:val="auto"/>
                      <w:sz w:val="21"/>
                      <w:szCs w:val="21"/>
                      <w:highlight w:val="none"/>
                      <w:lang w:val="en-US" w:eastAsia="zh-CN"/>
                    </w:rPr>
                    <w:t>A2210241655101001C</w:t>
                  </w:r>
                  <w:r>
                    <w:rPr>
                      <w:rFonts w:hint="default" w:ascii="Times New Roman" w:hAnsi="Times New Roman" w:cs="Times New Roman"/>
                      <w:color w:val="auto"/>
                      <w:sz w:val="21"/>
                      <w:szCs w:val="21"/>
                      <w:highlight w:val="none"/>
                      <w:lang w:val="en-US" w:eastAsia="zh-CN"/>
                    </w:rPr>
                    <w:t>），本品VOCs含量为</w:t>
                  </w:r>
                  <w:r>
                    <w:rPr>
                      <w:rFonts w:hint="eastAsia" w:ascii="Times New Roman" w:hAnsi="Times New Roman" w:cs="Times New Roman"/>
                      <w:color w:val="auto"/>
                      <w:sz w:val="21"/>
                      <w:szCs w:val="21"/>
                      <w:highlight w:val="none"/>
                      <w:lang w:val="en-US" w:eastAsia="zh-CN"/>
                    </w:rPr>
                    <w:t>1.2</w:t>
                  </w:r>
                  <w:r>
                    <w:rPr>
                      <w:rFonts w:hint="default" w:ascii="Times New Roman" w:hAnsi="Times New Roman" w:cs="Times New Roman"/>
                      <w:color w:val="auto"/>
                      <w:sz w:val="21"/>
                      <w:szCs w:val="21"/>
                      <w:highlight w:val="none"/>
                      <w:lang w:val="en-US" w:eastAsia="zh-CN"/>
                    </w:rPr>
                    <w:t>%，符合</w:t>
                  </w:r>
                  <w:r>
                    <w:rPr>
                      <w:rFonts w:hint="default" w:ascii="Times New Roman" w:hAnsi="Times New Roman" w:cs="Times New Roman"/>
                      <w:color w:val="auto"/>
                      <w:sz w:val="21"/>
                      <w:szCs w:val="21"/>
                      <w:highlight w:val="none"/>
                    </w:rPr>
                    <w:t>GB</w:t>
                  </w:r>
                  <w:r>
                    <w:rPr>
                      <w:rFonts w:hint="default" w:ascii="Times New Roman" w:hAnsi="Times New Roman" w:cs="Times New Roman"/>
                      <w:color w:val="auto"/>
                      <w:sz w:val="21"/>
                      <w:szCs w:val="21"/>
                      <w:highlight w:val="none"/>
                      <w:lang w:val="en-US" w:eastAsia="zh-CN"/>
                    </w:rPr>
                    <w:t>38507-2020表1中VOCs限值要求。</w:t>
                  </w:r>
                  <w:r>
                    <w:rPr>
                      <w:rFonts w:hint="eastAsia" w:ascii="Times New Roman" w:cs="Times New Roman"/>
                      <w:color w:val="auto"/>
                      <w:sz w:val="21"/>
                      <w:szCs w:val="21"/>
                      <w:highlight w:val="none"/>
                      <w:lang w:val="en-US" w:eastAsia="zh-CN"/>
                    </w:rPr>
                    <w:t>根据《印刷工业污染防治科性技术指南》（HJ1089-2020），水性凹印油墨替代技术适用于塑料表印、塑料轻包装及纸张凹版印刷工艺。本项目水性油墨为水性塑料凹印油墨，对塑料基材有优异的附着力。</w:t>
                  </w:r>
                </w:p>
              </w:tc>
            </w:tr>
            <w:tr w14:paraId="7FCA41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31" w:type="dxa"/>
                  <w:noWrap w:val="0"/>
                  <w:vAlign w:val="center"/>
                </w:tcPr>
                <w:p w14:paraId="520DD780">
                  <w:pPr>
                    <w:pStyle w:val="93"/>
                    <w:keepNext w:val="0"/>
                    <w:keepLines w:val="0"/>
                    <w:suppressLineNumbers w:val="0"/>
                    <w:bidi w:val="0"/>
                    <w:spacing w:before="0" w:beforeAutospacing="0" w:after="0" w:afterAutospacing="0"/>
                    <w:ind w:left="0" w:right="0"/>
                    <w:jc w:val="center"/>
                    <w:rPr>
                      <w:rFonts w:hint="default" w:ascii="Times New Roman" w:hAnsi="Times New Roman" w:cs="Times New Roman"/>
                      <w:color w:val="auto"/>
                      <w:kern w:val="0"/>
                      <w:sz w:val="21"/>
                      <w:szCs w:val="21"/>
                      <w:highlight w:val="none"/>
                      <w:lang w:val="en-US" w:eastAsia="zh-CN" w:bidi="ar-SA"/>
                    </w:rPr>
                  </w:pPr>
                  <w:r>
                    <w:rPr>
                      <w:rFonts w:hint="eastAsia" w:ascii="Times New Roman" w:cs="Times New Roman"/>
                      <w:color w:val="auto"/>
                      <w:sz w:val="21"/>
                      <w:szCs w:val="21"/>
                      <w:highlight w:val="none"/>
                      <w:lang w:val="en-US" w:eastAsia="zh-CN"/>
                    </w:rPr>
                    <w:t>4</w:t>
                  </w:r>
                </w:p>
              </w:tc>
              <w:tc>
                <w:tcPr>
                  <w:tcW w:w="767" w:type="dxa"/>
                  <w:noWrap w:val="0"/>
                  <w:vAlign w:val="center"/>
                </w:tcPr>
                <w:p w14:paraId="2F48ADD3">
                  <w:pPr>
                    <w:pStyle w:val="93"/>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cs="Times New Roman"/>
                      <w:color w:val="auto"/>
                      <w:sz w:val="21"/>
                      <w:szCs w:val="21"/>
                      <w:highlight w:val="none"/>
                      <w:lang w:eastAsia="zh-CN"/>
                    </w:rPr>
                    <w:t>无水乙醇</w:t>
                  </w:r>
                </w:p>
              </w:tc>
              <w:tc>
                <w:tcPr>
                  <w:tcW w:w="4053" w:type="dxa"/>
                  <w:noWrap w:val="0"/>
                  <w:vAlign w:val="center"/>
                </w:tcPr>
                <w:p w14:paraId="282816F0">
                  <w:pPr>
                    <w:pStyle w:val="93"/>
                    <w:keepNext w:val="0"/>
                    <w:keepLines w:val="0"/>
                    <w:suppressLineNumbers w:val="0"/>
                    <w:bidi w:val="0"/>
                    <w:spacing w:before="0" w:beforeAutospacing="0" w:after="0" w:afterAutospacing="0"/>
                    <w:ind w:left="0" w:right="0" w:firstLine="0" w:firstLineChars="0"/>
                    <w:jc w:val="both"/>
                    <w:rPr>
                      <w:rFonts w:hint="default" w:ascii="Times New Roman" w:hAnsi="Times New Roman" w:cs="Times New Roman"/>
                      <w:color w:val="auto"/>
                      <w:kern w:val="0"/>
                      <w:sz w:val="21"/>
                      <w:szCs w:val="21"/>
                      <w:highlight w:val="none"/>
                      <w:vertAlign w:val="baseline"/>
                      <w:lang w:val="en-US" w:eastAsia="zh-CN" w:bidi="ar-SA"/>
                    </w:rPr>
                  </w:pPr>
                  <w:r>
                    <w:rPr>
                      <w:rFonts w:hint="eastAsia" w:ascii="Times New Roman" w:cs="Times New Roman"/>
                      <w:color w:val="auto"/>
                      <w:kern w:val="0"/>
                      <w:sz w:val="21"/>
                      <w:szCs w:val="21"/>
                      <w:highlight w:val="none"/>
                      <w:vertAlign w:val="baseline"/>
                      <w:lang w:val="en-US" w:eastAsia="zh-CN" w:bidi="ar-SA"/>
                    </w:rPr>
                    <w:t>密度约0.789</w:t>
                  </w:r>
                  <w:r>
                    <w:rPr>
                      <w:rFonts w:hint="default" w:ascii="Times New Roman" w:hAnsi="Times New Roman" w:cs="Times New Roman"/>
                      <w:color w:val="auto"/>
                      <w:kern w:val="0"/>
                      <w:sz w:val="21"/>
                      <w:szCs w:val="21"/>
                      <w:highlight w:val="none"/>
                      <w:vertAlign w:val="baseline"/>
                      <w:lang w:val="en-US" w:eastAsia="zh-CN" w:bidi="ar-SA"/>
                    </w:rPr>
                    <w:t>g/cm³</w:t>
                  </w:r>
                  <w:r>
                    <w:rPr>
                      <w:rFonts w:hint="eastAsia" w:ascii="Times New Roman" w:cs="Times New Roman"/>
                      <w:color w:val="auto"/>
                      <w:kern w:val="0"/>
                      <w:sz w:val="21"/>
                      <w:szCs w:val="21"/>
                      <w:highlight w:val="none"/>
                      <w:vertAlign w:val="baseline"/>
                      <w:lang w:val="en-US" w:eastAsia="zh-CN" w:bidi="ar-SA"/>
                    </w:rPr>
                    <w:t>，</w:t>
                  </w:r>
                  <w:r>
                    <w:rPr>
                      <w:rFonts w:hint="default" w:ascii="Times New Roman" w:hAnsi="Times New Roman" w:cs="Times New Roman"/>
                      <w:color w:val="auto"/>
                      <w:kern w:val="0"/>
                      <w:sz w:val="21"/>
                      <w:szCs w:val="21"/>
                      <w:highlight w:val="none"/>
                      <w:vertAlign w:val="baseline"/>
                      <w:lang w:val="en-US" w:eastAsia="zh-CN" w:bidi="ar-SA"/>
                    </w:rPr>
                    <w:t>熔点-114.1℃，沸点78.3℃，与水混溶，可溶于醚、氯仿、甘油等多数有机溶剂。</w:t>
                  </w:r>
                </w:p>
              </w:tc>
              <w:tc>
                <w:tcPr>
                  <w:tcW w:w="3005" w:type="dxa"/>
                  <w:noWrap w:val="0"/>
                  <w:vAlign w:val="center"/>
                </w:tcPr>
                <w:p w14:paraId="1AF419F1">
                  <w:pPr>
                    <w:pStyle w:val="93"/>
                    <w:keepNext w:val="0"/>
                    <w:keepLines w:val="0"/>
                    <w:suppressLineNumbers w:val="0"/>
                    <w:bidi w:val="0"/>
                    <w:spacing w:before="0" w:beforeAutospacing="0" w:after="0" w:afterAutospacing="0"/>
                    <w:ind w:left="0" w:right="0" w:firstLine="0" w:firstLineChars="0"/>
                    <w:jc w:val="both"/>
                    <w:rPr>
                      <w:rFonts w:hint="default" w:ascii="Times New Roman" w:hAnsi="Times New Roman" w:cs="Times New Roman"/>
                      <w:color w:val="auto"/>
                      <w:kern w:val="0"/>
                      <w:sz w:val="21"/>
                      <w:szCs w:val="21"/>
                      <w:highlight w:val="none"/>
                      <w:vertAlign w:val="baseline"/>
                      <w:lang w:val="en-US" w:eastAsia="zh-CN" w:bidi="ar-SA"/>
                    </w:rPr>
                  </w:pPr>
                  <w:r>
                    <w:rPr>
                      <w:rFonts w:hint="eastAsia" w:ascii="Times New Roman" w:cs="Times New Roman"/>
                      <w:color w:val="auto"/>
                      <w:kern w:val="0"/>
                      <w:sz w:val="21"/>
                      <w:szCs w:val="21"/>
                      <w:highlight w:val="none"/>
                      <w:vertAlign w:val="baseline"/>
                      <w:lang w:val="en-US" w:eastAsia="zh-CN" w:bidi="ar-SA"/>
                    </w:rPr>
                    <w:t>调墨时</w:t>
                  </w:r>
                  <w:r>
                    <w:rPr>
                      <w:rFonts w:hint="default" w:ascii="Times New Roman" w:hAnsi="Times New Roman" w:cs="Times New Roman"/>
                      <w:color w:val="auto"/>
                      <w:kern w:val="0"/>
                      <w:sz w:val="21"/>
                      <w:szCs w:val="21"/>
                      <w:highlight w:val="none"/>
                      <w:vertAlign w:val="baseline"/>
                      <w:lang w:val="en-US" w:eastAsia="zh-CN" w:bidi="ar-SA"/>
                    </w:rPr>
                    <w:t>加入能有效降低油墨体系的整体挥发温度，在印刷后的干燥过程中率先挥发，带走热量，从而加速墨膜表干。非常适合印刷非吸收性基材（如塑料薄膜、铝箔）时使用，以克服水性油墨干燥慢的瓶颈。乙醇能降低水性油墨的表面张力，使其更容易在低表面能的塑料薄膜上润湿和铺展，减少“缩孔”、“鱼眼”等缺陷。</w:t>
                  </w:r>
                </w:p>
              </w:tc>
            </w:tr>
            <w:tr w14:paraId="1E55C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31" w:type="dxa"/>
                  <w:noWrap w:val="0"/>
                  <w:vAlign w:val="center"/>
                </w:tcPr>
                <w:p w14:paraId="4746741B">
                  <w:pPr>
                    <w:pStyle w:val="93"/>
                    <w:keepNext w:val="0"/>
                    <w:keepLines w:val="0"/>
                    <w:suppressLineNumbers w:val="0"/>
                    <w:bidi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eastAsia" w:ascii="Times New Roman" w:cs="Times New Roman"/>
                      <w:color w:val="auto"/>
                      <w:sz w:val="21"/>
                      <w:szCs w:val="21"/>
                      <w:highlight w:val="none"/>
                      <w:lang w:val="en-US" w:eastAsia="zh-CN"/>
                    </w:rPr>
                    <w:t>5</w:t>
                  </w:r>
                </w:p>
              </w:tc>
              <w:tc>
                <w:tcPr>
                  <w:tcW w:w="767" w:type="dxa"/>
                  <w:noWrap w:val="0"/>
                  <w:vAlign w:val="center"/>
                </w:tcPr>
                <w:p w14:paraId="5BE56EDF">
                  <w:pPr>
                    <w:pStyle w:val="93"/>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胶粘剂</w:t>
                  </w:r>
                </w:p>
              </w:tc>
              <w:tc>
                <w:tcPr>
                  <w:tcW w:w="4053" w:type="dxa"/>
                  <w:noWrap w:val="0"/>
                  <w:vAlign w:val="center"/>
                </w:tcPr>
                <w:p w14:paraId="0B59C4E6">
                  <w:pPr>
                    <w:pStyle w:val="93"/>
                    <w:keepNext w:val="0"/>
                    <w:keepLines w:val="0"/>
                    <w:suppressLineNumbers w:val="0"/>
                    <w:bidi w:val="0"/>
                    <w:spacing w:before="0" w:beforeAutospacing="0" w:after="0" w:afterAutospacing="0"/>
                    <w:ind w:left="0" w:right="0" w:firstLine="0" w:firstLineChars="0"/>
                    <w:jc w:val="both"/>
                    <w:rPr>
                      <w:rFonts w:hint="default" w:ascii="Times New Roman" w:hAnsi="Times New Roman" w:cs="Times New Roman"/>
                      <w:color w:val="auto"/>
                      <w:kern w:val="0"/>
                      <w:sz w:val="21"/>
                      <w:szCs w:val="21"/>
                      <w:highlight w:val="none"/>
                      <w:vertAlign w:val="baseline"/>
                      <w:lang w:val="en-US" w:eastAsia="zh-CN" w:bidi="ar-SA"/>
                    </w:rPr>
                  </w:pPr>
                  <w:r>
                    <w:rPr>
                      <w:rFonts w:hint="eastAsia" w:cs="Times New Roman"/>
                      <w:sz w:val="21"/>
                      <w:szCs w:val="21"/>
                      <w:lang w:eastAsia="zh-CN"/>
                    </w:rPr>
                    <w:t>双组分</w:t>
                  </w:r>
                  <w:r>
                    <w:rPr>
                      <w:rFonts w:hint="eastAsia" w:hAnsi="Times New Roman" w:cs="Times New Roman"/>
                      <w:sz w:val="21"/>
                      <w:szCs w:val="21"/>
                      <w:lang w:eastAsia="zh-CN"/>
                    </w:rPr>
                    <w:t>无溶剂</w:t>
                  </w:r>
                  <w:r>
                    <w:rPr>
                      <w:rFonts w:hint="eastAsia" w:hAnsi="Times New Roman" w:cs="Times New Roman"/>
                      <w:sz w:val="21"/>
                      <w:szCs w:val="21"/>
                      <w:lang w:val="en-US" w:eastAsia="zh-CN"/>
                    </w:rPr>
                    <w:t>聚氨酯复膜胶，由甲、乙组分按</w:t>
                  </w:r>
                  <w:r>
                    <w:rPr>
                      <w:rFonts w:hint="default" w:ascii="Times New Roman" w:hAnsi="Times New Roman" w:cs="Times New Roman"/>
                      <w:sz w:val="21"/>
                      <w:szCs w:val="21"/>
                      <w:lang w:val="en-US" w:eastAsia="zh-CN"/>
                    </w:rPr>
                    <w:t>1:1</w:t>
                  </w:r>
                  <w:r>
                    <w:rPr>
                      <w:rFonts w:hint="eastAsia" w:hAnsi="Times New Roman" w:cs="Times New Roman"/>
                      <w:sz w:val="21"/>
                      <w:szCs w:val="21"/>
                      <w:lang w:val="en-US" w:eastAsia="zh-CN"/>
                    </w:rPr>
                    <w:t>比例配制而成，甲组分主要为活泼氢组分，乙组分为含</w:t>
                  </w:r>
                  <w:r>
                    <w:rPr>
                      <w:rFonts w:hint="default" w:ascii="Times New Roman" w:hAnsi="Times New Roman" w:cs="Times New Roman"/>
                      <w:sz w:val="21"/>
                      <w:szCs w:val="21"/>
                      <w:lang w:val="en-US" w:eastAsia="zh-CN"/>
                    </w:rPr>
                    <w:t>-NCO</w:t>
                  </w:r>
                  <w:r>
                    <w:rPr>
                      <w:rFonts w:hint="eastAsia" w:hAnsi="Times New Roman" w:cs="Times New Roman"/>
                      <w:sz w:val="21"/>
                      <w:szCs w:val="21"/>
                      <w:lang w:val="en-US" w:eastAsia="zh-CN"/>
                    </w:rPr>
                    <w:t>基团的聚氨酯预聚体组分</w:t>
                  </w:r>
                  <w:r>
                    <w:rPr>
                      <w:rFonts w:hint="default" w:ascii="Times New Roman" w:hAnsi="Times New Roman" w:cs="Times New Roman"/>
                      <w:color w:val="auto"/>
                      <w:kern w:val="0"/>
                      <w:sz w:val="21"/>
                      <w:szCs w:val="21"/>
                      <w:highlight w:val="none"/>
                      <w:vertAlign w:val="baseline"/>
                      <w:lang w:val="en-US" w:eastAsia="zh-CN" w:bidi="ar-SA"/>
                    </w:rPr>
                    <w:t>，</w:t>
                  </w:r>
                  <w:r>
                    <w:rPr>
                      <w:rFonts w:hint="eastAsia" w:ascii="Times New Roman" w:hAnsi="Times New Roman" w:cs="Times New Roman"/>
                      <w:color w:val="auto"/>
                      <w:kern w:val="0"/>
                      <w:sz w:val="21"/>
                      <w:szCs w:val="21"/>
                      <w:highlight w:val="none"/>
                      <w:vertAlign w:val="baseline"/>
                      <w:lang w:val="en-US" w:eastAsia="zh-CN" w:bidi="ar-SA"/>
                    </w:rPr>
                    <w:t>为透明液体，黏度500-5000mPa</w:t>
                  </w:r>
                  <w:r>
                    <w:rPr>
                      <w:rFonts w:hint="default" w:ascii="Times New Roman" w:hAnsi="Times New Roman" w:cs="Times New Roman"/>
                      <w:color w:val="auto"/>
                      <w:kern w:val="0"/>
                      <w:sz w:val="21"/>
                      <w:szCs w:val="21"/>
                      <w:highlight w:val="none"/>
                      <w:vertAlign w:val="baseline"/>
                      <w:lang w:val="en-US" w:eastAsia="zh-CN" w:bidi="ar-SA"/>
                    </w:rPr>
                    <w:t>·</w:t>
                  </w:r>
                  <w:r>
                    <w:rPr>
                      <w:rFonts w:hint="eastAsia" w:ascii="Times New Roman" w:hAnsi="Times New Roman" w:cs="Times New Roman"/>
                      <w:color w:val="auto"/>
                      <w:kern w:val="0"/>
                      <w:sz w:val="21"/>
                      <w:szCs w:val="21"/>
                      <w:highlight w:val="none"/>
                      <w:vertAlign w:val="baseline"/>
                      <w:lang w:val="en-US" w:eastAsia="zh-CN" w:bidi="ar-SA"/>
                    </w:rPr>
                    <w:t>s，闪点&gt;200</w:t>
                  </w:r>
                  <w:r>
                    <w:rPr>
                      <w:rFonts w:hint="default" w:ascii="Times New Roman" w:hAnsi="Times New Roman" w:cs="Times New Roman"/>
                      <w:color w:val="auto"/>
                      <w:kern w:val="0"/>
                      <w:sz w:val="21"/>
                      <w:szCs w:val="21"/>
                      <w:highlight w:val="none"/>
                      <w:vertAlign w:val="baseline"/>
                      <w:lang w:val="en-US" w:eastAsia="zh-CN" w:bidi="ar-SA"/>
                    </w:rPr>
                    <w:t>℃</w:t>
                  </w:r>
                  <w:r>
                    <w:rPr>
                      <w:rFonts w:hint="eastAsia" w:ascii="Times New Roman" w:hAnsi="Times New Roman" w:cs="Times New Roman"/>
                      <w:color w:val="auto"/>
                      <w:kern w:val="0"/>
                      <w:sz w:val="21"/>
                      <w:szCs w:val="21"/>
                      <w:highlight w:val="none"/>
                      <w:vertAlign w:val="baseline"/>
                      <w:lang w:val="en-US" w:eastAsia="zh-CN" w:bidi="ar-SA"/>
                    </w:rPr>
                    <w:t>，熔点&lt;-20</w:t>
                  </w:r>
                  <w:r>
                    <w:rPr>
                      <w:rFonts w:hint="default" w:ascii="Times New Roman" w:hAnsi="Times New Roman" w:cs="Times New Roman"/>
                      <w:color w:val="auto"/>
                      <w:kern w:val="0"/>
                      <w:sz w:val="21"/>
                      <w:szCs w:val="21"/>
                      <w:highlight w:val="none"/>
                      <w:vertAlign w:val="baseline"/>
                      <w:lang w:val="en-US" w:eastAsia="zh-CN" w:bidi="ar-SA"/>
                    </w:rPr>
                    <w:t>℃</w:t>
                  </w:r>
                  <w:r>
                    <w:rPr>
                      <w:rFonts w:hint="eastAsia" w:ascii="Times New Roman" w:hAnsi="Times New Roman" w:cs="Times New Roman"/>
                      <w:color w:val="auto"/>
                      <w:kern w:val="0"/>
                      <w:sz w:val="21"/>
                      <w:szCs w:val="21"/>
                      <w:highlight w:val="none"/>
                      <w:vertAlign w:val="baseline"/>
                      <w:lang w:val="en-US" w:eastAsia="zh-CN" w:bidi="ar-SA"/>
                    </w:rPr>
                    <w:t>，相对密度</w:t>
                  </w:r>
                  <w:r>
                    <w:rPr>
                      <w:rFonts w:hint="default" w:ascii="Times New Roman" w:hAnsi="Times New Roman" w:cs="Times New Roman"/>
                      <w:color w:val="auto"/>
                      <w:kern w:val="0"/>
                      <w:sz w:val="21"/>
                      <w:szCs w:val="21"/>
                      <w:highlight w:val="none"/>
                      <w:vertAlign w:val="baseline"/>
                      <w:lang w:val="en-US" w:eastAsia="zh-CN" w:bidi="ar-SA"/>
                    </w:rPr>
                    <w:t>（水=1）</w:t>
                  </w:r>
                  <w:r>
                    <w:rPr>
                      <w:rFonts w:hint="eastAsia" w:ascii="Times New Roman" w:hAnsi="Times New Roman" w:cs="Times New Roman"/>
                      <w:color w:val="auto"/>
                      <w:kern w:val="0"/>
                      <w:sz w:val="21"/>
                      <w:szCs w:val="21"/>
                      <w:highlight w:val="none"/>
                      <w:vertAlign w:val="baseline"/>
                      <w:lang w:val="en-US" w:eastAsia="zh-CN" w:bidi="ar-SA"/>
                    </w:rPr>
                    <w:t>0.98-1.2，沸点&gt;200</w:t>
                  </w:r>
                  <w:r>
                    <w:rPr>
                      <w:rFonts w:hint="default" w:ascii="Times New Roman" w:hAnsi="Times New Roman" w:cs="Times New Roman"/>
                      <w:color w:val="auto"/>
                      <w:kern w:val="0"/>
                      <w:sz w:val="21"/>
                      <w:szCs w:val="21"/>
                      <w:highlight w:val="none"/>
                      <w:vertAlign w:val="baseline"/>
                      <w:lang w:val="en-US" w:eastAsia="zh-CN" w:bidi="ar-SA"/>
                    </w:rPr>
                    <w:t>℃</w:t>
                  </w:r>
                  <w:r>
                    <w:rPr>
                      <w:rFonts w:hint="eastAsia" w:ascii="Times New Roman" w:hAnsi="Times New Roman" w:cs="Times New Roman"/>
                      <w:color w:val="auto"/>
                      <w:kern w:val="0"/>
                      <w:sz w:val="21"/>
                      <w:szCs w:val="21"/>
                      <w:highlight w:val="none"/>
                      <w:vertAlign w:val="baseline"/>
                      <w:lang w:val="en-US" w:eastAsia="zh-CN" w:bidi="ar-SA"/>
                    </w:rPr>
                    <w:t>，可燃，溶于乙酸乙酯等溶剂，二苯基甲烷二异氰酸酯（MDI）浓度范围25%~45%，聚醚多元醇20%~55%，聚酯多元醇5%~30%，固化速度调节剂0.05%~1%。</w:t>
                  </w:r>
                </w:p>
              </w:tc>
              <w:tc>
                <w:tcPr>
                  <w:tcW w:w="3005" w:type="dxa"/>
                  <w:noWrap w:val="0"/>
                  <w:vAlign w:val="center"/>
                </w:tcPr>
                <w:p w14:paraId="56D57ED9">
                  <w:pPr>
                    <w:pStyle w:val="93"/>
                    <w:keepNext w:val="0"/>
                    <w:keepLines w:val="0"/>
                    <w:suppressLineNumbers w:val="0"/>
                    <w:bidi w:val="0"/>
                    <w:spacing w:before="0" w:beforeAutospacing="0" w:after="0" w:afterAutospacing="0"/>
                    <w:ind w:left="0" w:right="0" w:firstLine="0" w:firstLineChars="0"/>
                    <w:jc w:val="center"/>
                    <w:rPr>
                      <w:rFonts w:hint="default" w:ascii="Times New Roman" w:hAnsi="Times New Roman" w:cs="Times New Roman"/>
                      <w:color w:val="FF0000"/>
                      <w:sz w:val="21"/>
                      <w:szCs w:val="21"/>
                      <w:lang w:val="en-US" w:eastAsia="zh-CN"/>
                    </w:rPr>
                  </w:pPr>
                  <w:r>
                    <w:rPr>
                      <w:rFonts w:hint="eastAsia" w:ascii="Times New Roman" w:hAnsi="Times New Roman" w:cs="Times New Roman"/>
                      <w:color w:val="auto"/>
                      <w:sz w:val="21"/>
                      <w:szCs w:val="21"/>
                      <w:lang w:val="en-US" w:eastAsia="zh-CN"/>
                    </w:rPr>
                    <w:t>/</w:t>
                  </w:r>
                </w:p>
              </w:tc>
            </w:tr>
          </w:tbl>
          <w:p w14:paraId="0F67341B">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ind w:left="0" w:right="0"/>
              <w:jc w:val="center"/>
              <w:textAlignment w:val="auto"/>
              <w:rPr>
                <w:rFonts w:hint="default" w:ascii="Times New Roman" w:hAnsi="Times New Roman" w:cs="Times New Roman"/>
                <w:b/>
                <w:color w:val="auto"/>
                <w:szCs w:val="21"/>
                <w:highlight w:val="none"/>
                <w:lang w:val="en-US" w:eastAsia="zh-CN"/>
              </w:rPr>
            </w:pPr>
          </w:p>
          <w:p w14:paraId="2414A692">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ind w:left="0" w:right="0"/>
              <w:jc w:val="center"/>
              <w:textAlignment w:val="auto"/>
              <w:rPr>
                <w:rFonts w:hint="default" w:ascii="Times New Roman" w:hAnsi="Times New Roman" w:cs="Times New Roman"/>
                <w:b/>
                <w:color w:val="auto"/>
                <w:szCs w:val="21"/>
                <w:highlight w:val="none"/>
                <w:lang w:val="en-US" w:eastAsia="zh-CN"/>
              </w:rPr>
            </w:pPr>
          </w:p>
          <w:p w14:paraId="10C9D919">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ind w:left="0" w:right="0"/>
              <w:jc w:val="center"/>
              <w:textAlignment w:val="auto"/>
              <w:rPr>
                <w:rFonts w:hint="eastAsia" w:ascii="Times New Roman" w:hAnsi="Times New Roman" w:eastAsia="宋体" w:cs="Times New Roman"/>
                <w:b/>
                <w:color w:val="auto"/>
                <w:szCs w:val="21"/>
                <w:highlight w:val="none"/>
                <w:lang w:eastAsia="zh-CN"/>
              </w:rPr>
            </w:pPr>
            <w:r>
              <w:rPr>
                <w:rFonts w:hint="default" w:ascii="Times New Roman" w:hAnsi="Times New Roman" w:cs="Times New Roman"/>
                <w:b/>
                <w:color w:val="auto"/>
                <w:szCs w:val="21"/>
                <w:highlight w:val="none"/>
                <w:lang w:val="en-US" w:eastAsia="zh-CN"/>
              </w:rPr>
              <w:t>项目</w:t>
            </w:r>
            <w:r>
              <w:rPr>
                <w:rFonts w:hint="eastAsia" w:cs="Times New Roman"/>
                <w:b/>
                <w:color w:val="auto"/>
                <w:szCs w:val="21"/>
                <w:highlight w:val="none"/>
                <w:lang w:val="en-US" w:eastAsia="zh-CN"/>
              </w:rPr>
              <w:t>洁净车间</w:t>
            </w:r>
            <w:r>
              <w:rPr>
                <w:rFonts w:hint="eastAsia" w:ascii="Times New Roman" w:hAnsi="Times New Roman" w:cs="Times New Roman"/>
                <w:b/>
                <w:color w:val="auto"/>
                <w:szCs w:val="21"/>
                <w:highlight w:val="none"/>
                <w:lang w:val="en-US" w:eastAsia="zh-CN"/>
              </w:rPr>
              <w:t>水性油墨物料</w:t>
            </w:r>
            <w:r>
              <w:rPr>
                <w:rFonts w:hint="default" w:ascii="Times New Roman" w:hAnsi="Times New Roman" w:cs="Times New Roman"/>
                <w:b/>
                <w:color w:val="auto"/>
                <w:szCs w:val="21"/>
                <w:highlight w:val="none"/>
                <w:lang w:val="en-US" w:eastAsia="zh-CN"/>
              </w:rPr>
              <w:t>平衡</w:t>
            </w:r>
            <w:r>
              <w:rPr>
                <w:rFonts w:hint="default" w:ascii="Times New Roman" w:hAnsi="Times New Roman" w:cs="Times New Roman"/>
                <w:b/>
                <w:color w:val="auto"/>
                <w:szCs w:val="21"/>
                <w:highlight w:val="none"/>
              </w:rPr>
              <w:t>一览表</w:t>
            </w:r>
            <w:r>
              <w:rPr>
                <w:rFonts w:hint="eastAsia" w:ascii="Times New Roman" w:hAnsi="Times New Roman" w:eastAsia="宋体" w:cs="Times New Roman"/>
                <w:b/>
                <w:color w:val="auto"/>
                <w:szCs w:val="21"/>
                <w:highlight w:val="none"/>
                <w:lang w:eastAsia="zh-CN"/>
              </w:rPr>
              <w:t>（</w:t>
            </w:r>
            <w:r>
              <w:rPr>
                <w:rFonts w:hint="eastAsia" w:ascii="Times New Roman" w:hAnsi="Times New Roman" w:eastAsia="宋体" w:cs="Times New Roman"/>
                <w:b/>
                <w:color w:val="auto"/>
                <w:szCs w:val="21"/>
                <w:highlight w:val="none"/>
                <w:lang w:val="en-US" w:eastAsia="zh-CN"/>
              </w:rPr>
              <w:t>单位：t/a</w:t>
            </w:r>
            <w:r>
              <w:rPr>
                <w:rFonts w:hint="eastAsia" w:ascii="Times New Roman" w:hAnsi="Times New Roman" w:eastAsia="宋体" w:cs="Times New Roman"/>
                <w:b/>
                <w:color w:val="auto"/>
                <w:szCs w:val="21"/>
                <w:highlight w:val="none"/>
                <w:lang w:eastAsia="zh-CN"/>
              </w:rPr>
              <w:t>）</w:t>
            </w:r>
          </w:p>
          <w:tbl>
            <w:tblPr>
              <w:tblStyle w:val="38"/>
              <w:tblW w:w="498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4"/>
              <w:gridCol w:w="1151"/>
              <w:gridCol w:w="1644"/>
              <w:gridCol w:w="1644"/>
              <w:gridCol w:w="1644"/>
              <w:gridCol w:w="1644"/>
            </w:tblGrid>
            <w:tr w14:paraId="48306C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trPr>
              <w:tc>
                <w:tcPr>
                  <w:tcW w:w="311" w:type="pct"/>
                  <w:vMerge w:val="restart"/>
                  <w:noWrap w:val="0"/>
                  <w:vAlign w:val="center"/>
                </w:tcPr>
                <w:p w14:paraId="1EF2B8ED">
                  <w:pPr>
                    <w:keepNext w:val="0"/>
                    <w:keepLines w:val="0"/>
                    <w:suppressLineNumbers w:val="0"/>
                    <w:spacing w:before="0" w:beforeAutospacing="0" w:after="0" w:afterAutospacing="0"/>
                    <w:ind w:left="0" w:right="0"/>
                    <w:jc w:val="center"/>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序号</w:t>
                  </w:r>
                </w:p>
              </w:tc>
              <w:tc>
                <w:tcPr>
                  <w:tcW w:w="698" w:type="pct"/>
                  <w:vMerge w:val="restart"/>
                  <w:noWrap w:val="0"/>
                  <w:vAlign w:val="center"/>
                </w:tcPr>
                <w:p w14:paraId="67EC1045">
                  <w:pPr>
                    <w:keepNext w:val="0"/>
                    <w:keepLines w:val="0"/>
                    <w:suppressLineNumbers w:val="0"/>
                    <w:spacing w:before="0" w:beforeAutospacing="0" w:after="0" w:afterAutospacing="0"/>
                    <w:ind w:left="0" w:right="0"/>
                    <w:jc w:val="center"/>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项目</w:t>
                  </w:r>
                </w:p>
              </w:tc>
              <w:tc>
                <w:tcPr>
                  <w:tcW w:w="997" w:type="pct"/>
                  <w:noWrap w:val="0"/>
                  <w:vAlign w:val="center"/>
                </w:tcPr>
                <w:p w14:paraId="205BBA91">
                  <w:pPr>
                    <w:keepNext w:val="0"/>
                    <w:keepLines w:val="0"/>
                    <w:suppressLineNumbers w:val="0"/>
                    <w:spacing w:before="0" w:beforeAutospacing="0" w:after="0" w:afterAutospacing="0"/>
                    <w:ind w:left="0" w:right="0"/>
                    <w:jc w:val="center"/>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收入项</w:t>
                  </w:r>
                </w:p>
              </w:tc>
              <w:tc>
                <w:tcPr>
                  <w:tcW w:w="2992" w:type="pct"/>
                  <w:gridSpan w:val="3"/>
                  <w:noWrap w:val="0"/>
                  <w:vAlign w:val="center"/>
                </w:tcPr>
                <w:p w14:paraId="2A8506D2">
                  <w:pPr>
                    <w:keepNext w:val="0"/>
                    <w:keepLines w:val="0"/>
                    <w:suppressLineNumbers w:val="0"/>
                    <w:spacing w:before="0" w:beforeAutospacing="0" w:after="0" w:afterAutospacing="0"/>
                    <w:ind w:left="0" w:right="0"/>
                    <w:jc w:val="center"/>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支出项</w:t>
                  </w:r>
                </w:p>
              </w:tc>
            </w:tr>
            <w:tr w14:paraId="54B49B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11" w:type="pct"/>
                  <w:vMerge w:val="continue"/>
                  <w:noWrap w:val="0"/>
                  <w:vAlign w:val="center"/>
                </w:tcPr>
                <w:p w14:paraId="709AD550">
                  <w:pPr>
                    <w:keepNext w:val="0"/>
                    <w:keepLines w:val="0"/>
                    <w:suppressLineNumbers w:val="0"/>
                    <w:spacing w:before="0" w:beforeAutospacing="0" w:after="0" w:afterAutospacing="0"/>
                    <w:ind w:left="0" w:right="0"/>
                    <w:jc w:val="center"/>
                    <w:rPr>
                      <w:rFonts w:hint="eastAsia" w:ascii="宋体" w:hAnsi="宋体" w:eastAsia="宋体" w:cs="宋体"/>
                      <w:b w:val="0"/>
                      <w:bCs/>
                      <w:color w:val="auto"/>
                      <w:sz w:val="21"/>
                      <w:szCs w:val="21"/>
                    </w:rPr>
                  </w:pPr>
                </w:p>
              </w:tc>
              <w:tc>
                <w:tcPr>
                  <w:tcW w:w="698" w:type="pct"/>
                  <w:vMerge w:val="continue"/>
                  <w:noWrap w:val="0"/>
                  <w:vAlign w:val="center"/>
                </w:tcPr>
                <w:p w14:paraId="4236A61F">
                  <w:pPr>
                    <w:keepNext w:val="0"/>
                    <w:keepLines w:val="0"/>
                    <w:suppressLineNumbers w:val="0"/>
                    <w:spacing w:before="0" w:beforeAutospacing="0" w:after="0" w:afterAutospacing="0"/>
                    <w:ind w:left="0" w:right="0"/>
                    <w:jc w:val="center"/>
                    <w:rPr>
                      <w:rFonts w:hint="eastAsia" w:ascii="宋体" w:hAnsi="宋体" w:eastAsia="宋体" w:cs="宋体"/>
                      <w:b w:val="0"/>
                      <w:bCs/>
                      <w:color w:val="auto"/>
                      <w:sz w:val="21"/>
                      <w:szCs w:val="21"/>
                    </w:rPr>
                  </w:pPr>
                </w:p>
              </w:tc>
              <w:tc>
                <w:tcPr>
                  <w:tcW w:w="997" w:type="pct"/>
                  <w:noWrap w:val="0"/>
                  <w:vAlign w:val="center"/>
                </w:tcPr>
                <w:p w14:paraId="23BF8EE0">
                  <w:pPr>
                    <w:keepNext w:val="0"/>
                    <w:keepLines w:val="0"/>
                    <w:suppressLineNumbers w:val="0"/>
                    <w:spacing w:before="0" w:beforeAutospacing="0" w:after="0" w:afterAutospacing="0"/>
                    <w:ind w:left="0" w:right="0"/>
                    <w:jc w:val="center"/>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eastAsia="zh-CN"/>
                    </w:rPr>
                    <w:t>使用量</w:t>
                  </w:r>
                </w:p>
              </w:tc>
              <w:tc>
                <w:tcPr>
                  <w:tcW w:w="997" w:type="pct"/>
                  <w:noWrap w:val="0"/>
                  <w:vAlign w:val="center"/>
                </w:tcPr>
                <w:p w14:paraId="5FB32121">
                  <w:pPr>
                    <w:keepNext w:val="0"/>
                    <w:keepLines w:val="0"/>
                    <w:suppressLineNumbers w:val="0"/>
                    <w:spacing w:before="0" w:beforeAutospacing="0" w:after="0" w:afterAutospacing="0"/>
                    <w:ind w:left="0" w:right="0"/>
                    <w:jc w:val="center"/>
                    <w:rPr>
                      <w:rFonts w:hint="eastAsia" w:ascii="宋体" w:hAnsi="宋体" w:eastAsia="宋体" w:cs="宋体"/>
                      <w:b w:val="0"/>
                      <w:bCs/>
                      <w:color w:val="auto"/>
                      <w:sz w:val="21"/>
                      <w:szCs w:val="21"/>
                      <w:lang w:eastAsia="zh-CN"/>
                    </w:rPr>
                  </w:pPr>
                  <w:r>
                    <w:rPr>
                      <w:rFonts w:hint="eastAsia"/>
                      <w:lang w:eastAsia="zh-CN"/>
                    </w:rPr>
                    <w:t>水蒸气</w:t>
                  </w:r>
                </w:p>
              </w:tc>
              <w:tc>
                <w:tcPr>
                  <w:tcW w:w="997" w:type="pct"/>
                  <w:shd w:val="clear" w:color="auto" w:fill="auto"/>
                  <w:noWrap w:val="0"/>
                  <w:vAlign w:val="center"/>
                </w:tcPr>
                <w:p w14:paraId="70079328">
                  <w:pPr>
                    <w:keepNext w:val="0"/>
                    <w:keepLines w:val="0"/>
                    <w:suppressLineNumbers w:val="0"/>
                    <w:spacing w:before="0" w:beforeAutospacing="0" w:after="0" w:afterAutospacing="0"/>
                    <w:ind w:left="0" w:leftChars="0" w:right="0" w:rightChars="0"/>
                    <w:jc w:val="center"/>
                    <w:rPr>
                      <w:rFonts w:hint="eastAsia" w:ascii="宋体" w:hAnsi="宋体" w:eastAsia="宋体" w:cs="宋体"/>
                      <w:b w:val="0"/>
                      <w:bCs/>
                      <w:color w:val="auto"/>
                      <w:kern w:val="2"/>
                      <w:sz w:val="21"/>
                      <w:szCs w:val="21"/>
                      <w:lang w:val="en-US" w:eastAsia="zh-CN" w:bidi="ar-SA"/>
                    </w:rPr>
                  </w:pPr>
                  <w:r>
                    <w:rPr>
                      <w:rFonts w:hint="eastAsia" w:ascii="宋体" w:hAnsi="宋体" w:cs="宋体"/>
                      <w:b w:val="0"/>
                      <w:bCs/>
                      <w:color w:val="auto"/>
                      <w:sz w:val="21"/>
                      <w:szCs w:val="21"/>
                      <w:lang w:eastAsia="zh-CN"/>
                    </w:rPr>
                    <w:t>挥发量</w:t>
                  </w:r>
                </w:p>
              </w:tc>
              <w:tc>
                <w:tcPr>
                  <w:tcW w:w="997" w:type="pct"/>
                  <w:noWrap w:val="0"/>
                  <w:vAlign w:val="center"/>
                </w:tcPr>
                <w:p w14:paraId="70F27F97">
                  <w:pPr>
                    <w:keepNext w:val="0"/>
                    <w:keepLines w:val="0"/>
                    <w:suppressLineNumbers w:val="0"/>
                    <w:spacing w:before="0" w:beforeAutospacing="0" w:after="0" w:afterAutospacing="0"/>
                    <w:ind w:left="0" w:right="0"/>
                    <w:jc w:val="center"/>
                    <w:rPr>
                      <w:rFonts w:hint="eastAsia" w:ascii="宋体" w:hAnsi="宋体" w:eastAsia="宋体" w:cs="宋体"/>
                      <w:b w:val="0"/>
                      <w:bCs/>
                      <w:color w:val="auto"/>
                      <w:kern w:val="2"/>
                      <w:sz w:val="21"/>
                      <w:szCs w:val="21"/>
                      <w:lang w:val="en-US" w:eastAsia="zh-CN" w:bidi="ar-SA"/>
                    </w:rPr>
                  </w:pPr>
                  <w:r>
                    <w:rPr>
                      <w:rFonts w:hint="eastAsia" w:ascii="宋体" w:hAnsi="宋体" w:eastAsia="宋体" w:cs="宋体"/>
                      <w:b w:val="0"/>
                      <w:bCs/>
                      <w:color w:val="auto"/>
                      <w:sz w:val="21"/>
                      <w:szCs w:val="21"/>
                      <w:lang w:eastAsia="zh-CN"/>
                    </w:rPr>
                    <w:t>带入产品</w:t>
                  </w:r>
                </w:p>
              </w:tc>
            </w:tr>
            <w:tr w14:paraId="6C72A9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exact"/>
              </w:trPr>
              <w:tc>
                <w:tcPr>
                  <w:tcW w:w="311" w:type="pct"/>
                  <w:noWrap w:val="0"/>
                  <w:vAlign w:val="center"/>
                </w:tcPr>
                <w:p w14:paraId="7043A64D">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1</w:t>
                  </w:r>
                </w:p>
              </w:tc>
              <w:tc>
                <w:tcPr>
                  <w:tcW w:w="698" w:type="pct"/>
                  <w:noWrap w:val="0"/>
                  <w:vAlign w:val="center"/>
                </w:tcPr>
                <w:p w14:paraId="7037E83E">
                  <w:pPr>
                    <w:keepNext w:val="0"/>
                    <w:keepLines w:val="0"/>
                    <w:suppressLineNumbers w:val="0"/>
                    <w:spacing w:before="0" w:beforeAutospacing="0" w:after="0" w:afterAutospacing="0"/>
                    <w:ind w:left="0" w:right="0"/>
                    <w:jc w:val="center"/>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水性油墨</w:t>
                  </w:r>
                </w:p>
              </w:tc>
              <w:tc>
                <w:tcPr>
                  <w:tcW w:w="1644" w:type="dxa"/>
                  <w:noWrap w:val="0"/>
                  <w:vAlign w:val="center"/>
                </w:tcPr>
                <w:p w14:paraId="47EF614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6.818</w:t>
                  </w:r>
                </w:p>
              </w:tc>
              <w:tc>
                <w:tcPr>
                  <w:tcW w:w="1644" w:type="dxa"/>
                  <w:noWrap w:val="0"/>
                  <w:vAlign w:val="center"/>
                </w:tcPr>
                <w:p w14:paraId="7B40B45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i w:val="0"/>
                      <w:iCs w:val="0"/>
                      <w:color w:val="000000"/>
                      <w:kern w:val="0"/>
                      <w:sz w:val="22"/>
                      <w:szCs w:val="22"/>
                      <w:u w:val="none"/>
                      <w:lang w:val="en-US" w:eastAsia="zh-CN" w:bidi="ar"/>
                    </w:rPr>
                    <w:t>2.386</w:t>
                  </w:r>
                </w:p>
              </w:tc>
              <w:tc>
                <w:tcPr>
                  <w:tcW w:w="1644" w:type="dxa"/>
                  <w:shd w:val="clear" w:color="auto" w:fill="auto"/>
                  <w:noWrap w:val="0"/>
                  <w:vAlign w:val="center"/>
                </w:tcPr>
                <w:p w14:paraId="246B7BE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0.082</w:t>
                  </w:r>
                </w:p>
              </w:tc>
              <w:tc>
                <w:tcPr>
                  <w:tcW w:w="1644" w:type="dxa"/>
                  <w:noWrap w:val="0"/>
                  <w:vAlign w:val="center"/>
                </w:tcPr>
                <w:p w14:paraId="4D9F0F5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i w:val="0"/>
                      <w:iCs w:val="0"/>
                      <w:color w:val="000000"/>
                      <w:kern w:val="0"/>
                      <w:sz w:val="22"/>
                      <w:szCs w:val="22"/>
                      <w:u w:val="none"/>
                      <w:lang w:val="en-US" w:eastAsia="zh-CN" w:bidi="ar"/>
                    </w:rPr>
                    <w:t>4.350</w:t>
                  </w:r>
                </w:p>
              </w:tc>
            </w:tr>
            <w:tr w14:paraId="495868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exact"/>
              </w:trPr>
              <w:tc>
                <w:tcPr>
                  <w:tcW w:w="311" w:type="pct"/>
                  <w:noWrap w:val="0"/>
                  <w:vAlign w:val="center"/>
                </w:tcPr>
                <w:p w14:paraId="5D38B148">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lang w:val="en-US" w:eastAsia="zh-CN"/>
                    </w:rPr>
                    <w:t>2</w:t>
                  </w:r>
                </w:p>
              </w:tc>
              <w:tc>
                <w:tcPr>
                  <w:tcW w:w="698" w:type="pct"/>
                  <w:noWrap w:val="0"/>
                  <w:vAlign w:val="center"/>
                </w:tcPr>
                <w:p w14:paraId="2CEA879F">
                  <w:pPr>
                    <w:keepNext w:val="0"/>
                    <w:keepLines w:val="0"/>
                    <w:suppressLineNumbers w:val="0"/>
                    <w:spacing w:before="0" w:beforeAutospacing="0" w:after="0" w:afterAutospacing="0"/>
                    <w:ind w:left="0" w:right="0"/>
                    <w:jc w:val="center"/>
                    <w:rPr>
                      <w:rFonts w:hint="default" w:ascii="宋体" w:hAnsi="宋体" w:eastAsia="宋体" w:cs="宋体"/>
                      <w:b w:val="0"/>
                      <w:bCs/>
                      <w:color w:val="auto"/>
                      <w:sz w:val="21"/>
                      <w:szCs w:val="21"/>
                      <w:lang w:val="en-US" w:eastAsia="zh-CN"/>
                    </w:rPr>
                  </w:pPr>
                  <w:r>
                    <w:rPr>
                      <w:rFonts w:hint="eastAsia" w:ascii="宋体" w:hAnsi="宋体" w:cs="宋体"/>
                      <w:b w:val="0"/>
                      <w:bCs/>
                      <w:color w:val="auto"/>
                      <w:sz w:val="21"/>
                      <w:szCs w:val="21"/>
                      <w:lang w:val="en-US" w:eastAsia="zh-CN"/>
                    </w:rPr>
                    <w:t>无水乙醇</w:t>
                  </w:r>
                </w:p>
              </w:tc>
              <w:tc>
                <w:tcPr>
                  <w:tcW w:w="1644" w:type="dxa"/>
                  <w:noWrap w:val="0"/>
                  <w:vAlign w:val="center"/>
                </w:tcPr>
                <w:p w14:paraId="3D766EE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0.227</w:t>
                  </w:r>
                </w:p>
              </w:tc>
              <w:tc>
                <w:tcPr>
                  <w:tcW w:w="1644" w:type="dxa"/>
                  <w:noWrap w:val="0"/>
                  <w:vAlign w:val="center"/>
                </w:tcPr>
                <w:p w14:paraId="2E743A9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shd w:val="clear" w:color="auto" w:fill="auto"/>
                  <w:noWrap w:val="0"/>
                  <w:vAlign w:val="center"/>
                </w:tcPr>
                <w:p w14:paraId="049C77F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0.227</w:t>
                  </w:r>
                </w:p>
              </w:tc>
              <w:tc>
                <w:tcPr>
                  <w:tcW w:w="1644" w:type="dxa"/>
                  <w:noWrap w:val="0"/>
                  <w:vAlign w:val="center"/>
                </w:tcPr>
                <w:p w14:paraId="6B80461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0D9F42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exact"/>
              </w:trPr>
              <w:tc>
                <w:tcPr>
                  <w:tcW w:w="311" w:type="pct"/>
                  <w:noWrap w:val="0"/>
                  <w:vAlign w:val="center"/>
                </w:tcPr>
                <w:p w14:paraId="3953523A">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lang w:val="en-US" w:eastAsia="zh-CN"/>
                    </w:rPr>
                    <w:t>3</w:t>
                  </w:r>
                </w:p>
              </w:tc>
              <w:tc>
                <w:tcPr>
                  <w:tcW w:w="698" w:type="pct"/>
                  <w:noWrap w:val="0"/>
                  <w:vAlign w:val="center"/>
                </w:tcPr>
                <w:p w14:paraId="5193ACFE">
                  <w:pPr>
                    <w:keepNext w:val="0"/>
                    <w:keepLines w:val="0"/>
                    <w:suppressLineNumbers w:val="0"/>
                    <w:spacing w:before="0" w:beforeAutospacing="0" w:after="0" w:afterAutospacing="0"/>
                    <w:ind w:left="0" w:right="0"/>
                    <w:jc w:val="center"/>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纯水</w:t>
                  </w:r>
                </w:p>
              </w:tc>
              <w:tc>
                <w:tcPr>
                  <w:tcW w:w="1644" w:type="dxa"/>
                  <w:noWrap w:val="0"/>
                  <w:vAlign w:val="center"/>
                </w:tcPr>
                <w:p w14:paraId="0E3EAA5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1.136</w:t>
                  </w:r>
                </w:p>
              </w:tc>
              <w:tc>
                <w:tcPr>
                  <w:tcW w:w="1644" w:type="dxa"/>
                  <w:noWrap w:val="0"/>
                  <w:vAlign w:val="center"/>
                </w:tcPr>
                <w:p w14:paraId="46C277D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i w:val="0"/>
                      <w:iCs w:val="0"/>
                      <w:color w:val="000000"/>
                      <w:kern w:val="0"/>
                      <w:sz w:val="22"/>
                      <w:szCs w:val="22"/>
                      <w:u w:val="none"/>
                      <w:lang w:val="en-US" w:eastAsia="zh-CN" w:bidi="ar"/>
                    </w:rPr>
                    <w:t>1.136</w:t>
                  </w:r>
                </w:p>
              </w:tc>
              <w:tc>
                <w:tcPr>
                  <w:tcW w:w="1644" w:type="dxa"/>
                  <w:shd w:val="clear" w:color="auto" w:fill="auto"/>
                  <w:noWrap w:val="0"/>
                  <w:vAlign w:val="center"/>
                </w:tcPr>
                <w:p w14:paraId="016FFEF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noWrap w:val="0"/>
                  <w:vAlign w:val="center"/>
                </w:tcPr>
                <w:p w14:paraId="6F85CFA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4BBFB3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exact"/>
              </w:trPr>
              <w:tc>
                <w:tcPr>
                  <w:tcW w:w="1010" w:type="pct"/>
                  <w:gridSpan w:val="2"/>
                  <w:noWrap w:val="0"/>
                  <w:vAlign w:val="center"/>
                </w:tcPr>
                <w:p w14:paraId="1B85BD89">
                  <w:pPr>
                    <w:keepNext w:val="0"/>
                    <w:keepLines w:val="0"/>
                    <w:suppressLineNumbers w:val="0"/>
                    <w:spacing w:before="0" w:beforeAutospacing="0" w:after="0" w:afterAutospacing="0"/>
                    <w:ind w:left="0" w:right="0"/>
                    <w:jc w:val="center"/>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合计</w:t>
                  </w:r>
                </w:p>
              </w:tc>
              <w:tc>
                <w:tcPr>
                  <w:tcW w:w="1644" w:type="dxa"/>
                  <w:noWrap w:val="0"/>
                  <w:vAlign w:val="center"/>
                </w:tcPr>
                <w:p w14:paraId="2E1C982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8.181</w:t>
                  </w:r>
                </w:p>
              </w:tc>
              <w:tc>
                <w:tcPr>
                  <w:tcW w:w="1644" w:type="dxa"/>
                  <w:noWrap w:val="0"/>
                  <w:vAlign w:val="center"/>
                </w:tcPr>
                <w:p w14:paraId="3AC79B8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3.522</w:t>
                  </w:r>
                </w:p>
              </w:tc>
              <w:tc>
                <w:tcPr>
                  <w:tcW w:w="1644" w:type="dxa"/>
                  <w:noWrap w:val="0"/>
                  <w:vAlign w:val="center"/>
                </w:tcPr>
                <w:p w14:paraId="60DD8DBC">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b w:val="0"/>
                      <w:bCs/>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0.309</w:t>
                  </w:r>
                </w:p>
              </w:tc>
              <w:tc>
                <w:tcPr>
                  <w:tcW w:w="1644" w:type="dxa"/>
                  <w:noWrap w:val="0"/>
                  <w:vAlign w:val="center"/>
                </w:tcPr>
                <w:p w14:paraId="6BA911D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4.350</w:t>
                  </w:r>
                </w:p>
              </w:tc>
            </w:tr>
          </w:tbl>
          <w:p w14:paraId="08E0F70C">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ind w:left="0" w:right="0"/>
              <w:jc w:val="center"/>
              <w:textAlignment w:val="auto"/>
              <w:rPr>
                <w:rFonts w:hint="eastAsia" w:ascii="Times New Roman" w:hAnsi="Times New Roman" w:eastAsia="宋体" w:cs="Times New Roman"/>
                <w:b/>
                <w:color w:val="auto"/>
                <w:szCs w:val="21"/>
                <w:highlight w:val="none"/>
                <w:lang w:eastAsia="zh-CN"/>
              </w:rPr>
            </w:pPr>
            <w:r>
              <w:rPr>
                <w:rFonts w:hint="default" w:ascii="Times New Roman" w:hAnsi="Times New Roman" w:cs="Times New Roman"/>
                <w:b/>
                <w:color w:val="auto"/>
                <w:szCs w:val="21"/>
                <w:highlight w:val="none"/>
                <w:lang w:val="en-US" w:eastAsia="zh-CN"/>
              </w:rPr>
              <w:t>项目</w:t>
            </w:r>
            <w:r>
              <w:rPr>
                <w:rFonts w:hint="eastAsia" w:cs="Times New Roman"/>
                <w:b/>
                <w:color w:val="auto"/>
                <w:szCs w:val="21"/>
                <w:highlight w:val="none"/>
                <w:lang w:val="en-US" w:eastAsia="zh-CN"/>
              </w:rPr>
              <w:t>非洁净车间</w:t>
            </w:r>
            <w:r>
              <w:rPr>
                <w:rFonts w:hint="eastAsia" w:ascii="Times New Roman" w:hAnsi="Times New Roman" w:cs="Times New Roman"/>
                <w:b/>
                <w:color w:val="auto"/>
                <w:szCs w:val="21"/>
                <w:highlight w:val="none"/>
                <w:lang w:val="en-US" w:eastAsia="zh-CN"/>
              </w:rPr>
              <w:t>水性油墨物料</w:t>
            </w:r>
            <w:r>
              <w:rPr>
                <w:rFonts w:hint="default" w:ascii="Times New Roman" w:hAnsi="Times New Roman" w:cs="Times New Roman"/>
                <w:b/>
                <w:color w:val="auto"/>
                <w:szCs w:val="21"/>
                <w:highlight w:val="none"/>
                <w:lang w:val="en-US" w:eastAsia="zh-CN"/>
              </w:rPr>
              <w:t>平衡</w:t>
            </w:r>
            <w:r>
              <w:rPr>
                <w:rFonts w:hint="default" w:ascii="Times New Roman" w:hAnsi="Times New Roman" w:cs="Times New Roman"/>
                <w:b/>
                <w:color w:val="auto"/>
                <w:szCs w:val="21"/>
                <w:highlight w:val="none"/>
              </w:rPr>
              <w:t>一览表</w:t>
            </w:r>
            <w:r>
              <w:rPr>
                <w:rFonts w:hint="eastAsia" w:ascii="Times New Roman" w:hAnsi="Times New Roman" w:eastAsia="宋体" w:cs="Times New Roman"/>
                <w:b/>
                <w:color w:val="auto"/>
                <w:szCs w:val="21"/>
                <w:highlight w:val="none"/>
                <w:lang w:eastAsia="zh-CN"/>
              </w:rPr>
              <w:t>（</w:t>
            </w:r>
            <w:r>
              <w:rPr>
                <w:rFonts w:hint="eastAsia" w:ascii="Times New Roman" w:hAnsi="Times New Roman" w:eastAsia="宋体" w:cs="Times New Roman"/>
                <w:b/>
                <w:color w:val="auto"/>
                <w:szCs w:val="21"/>
                <w:highlight w:val="none"/>
                <w:lang w:val="en-US" w:eastAsia="zh-CN"/>
              </w:rPr>
              <w:t>单位：t/a</w:t>
            </w:r>
            <w:r>
              <w:rPr>
                <w:rFonts w:hint="eastAsia" w:ascii="Times New Roman" w:hAnsi="Times New Roman" w:eastAsia="宋体" w:cs="Times New Roman"/>
                <w:b/>
                <w:color w:val="auto"/>
                <w:szCs w:val="21"/>
                <w:highlight w:val="none"/>
                <w:lang w:eastAsia="zh-CN"/>
              </w:rPr>
              <w:t>）</w:t>
            </w:r>
          </w:p>
          <w:tbl>
            <w:tblPr>
              <w:tblStyle w:val="38"/>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5"/>
              <w:gridCol w:w="1154"/>
              <w:gridCol w:w="1648"/>
              <w:gridCol w:w="1636"/>
              <w:gridCol w:w="1644"/>
              <w:gridCol w:w="1664"/>
            </w:tblGrid>
            <w:tr w14:paraId="42D2F5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trPr>
              <w:tc>
                <w:tcPr>
                  <w:tcW w:w="311" w:type="pct"/>
                  <w:vMerge w:val="restart"/>
                  <w:noWrap w:val="0"/>
                  <w:vAlign w:val="center"/>
                </w:tcPr>
                <w:p w14:paraId="12F31BFE">
                  <w:pPr>
                    <w:keepNext w:val="0"/>
                    <w:keepLines w:val="0"/>
                    <w:suppressLineNumbers w:val="0"/>
                    <w:spacing w:before="0" w:beforeAutospacing="0" w:after="0" w:afterAutospacing="0"/>
                    <w:ind w:left="0" w:right="0"/>
                    <w:jc w:val="center"/>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序号</w:t>
                  </w:r>
                </w:p>
              </w:tc>
              <w:tc>
                <w:tcPr>
                  <w:tcW w:w="696" w:type="pct"/>
                  <w:vMerge w:val="restart"/>
                  <w:noWrap w:val="0"/>
                  <w:vAlign w:val="center"/>
                </w:tcPr>
                <w:p w14:paraId="408912D0">
                  <w:pPr>
                    <w:keepNext w:val="0"/>
                    <w:keepLines w:val="0"/>
                    <w:suppressLineNumbers w:val="0"/>
                    <w:spacing w:before="0" w:beforeAutospacing="0" w:after="0" w:afterAutospacing="0"/>
                    <w:ind w:left="0" w:right="0"/>
                    <w:jc w:val="center"/>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项目</w:t>
                  </w:r>
                </w:p>
              </w:tc>
              <w:tc>
                <w:tcPr>
                  <w:tcW w:w="995" w:type="pct"/>
                  <w:noWrap w:val="0"/>
                  <w:vAlign w:val="center"/>
                </w:tcPr>
                <w:p w14:paraId="2A3BE56F">
                  <w:pPr>
                    <w:keepNext w:val="0"/>
                    <w:keepLines w:val="0"/>
                    <w:suppressLineNumbers w:val="0"/>
                    <w:spacing w:before="0" w:beforeAutospacing="0" w:after="0" w:afterAutospacing="0"/>
                    <w:ind w:left="0" w:right="0"/>
                    <w:jc w:val="center"/>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收入项</w:t>
                  </w:r>
                </w:p>
              </w:tc>
              <w:tc>
                <w:tcPr>
                  <w:tcW w:w="2985" w:type="pct"/>
                  <w:gridSpan w:val="3"/>
                  <w:noWrap w:val="0"/>
                  <w:vAlign w:val="center"/>
                </w:tcPr>
                <w:p w14:paraId="496EA1AC">
                  <w:pPr>
                    <w:keepNext w:val="0"/>
                    <w:keepLines w:val="0"/>
                    <w:suppressLineNumbers w:val="0"/>
                    <w:spacing w:before="0" w:beforeAutospacing="0" w:after="0" w:afterAutospacing="0"/>
                    <w:ind w:left="0" w:right="0"/>
                    <w:jc w:val="center"/>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支出项</w:t>
                  </w:r>
                </w:p>
              </w:tc>
            </w:tr>
            <w:tr w14:paraId="2F2248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11" w:type="pct"/>
                  <w:vMerge w:val="continue"/>
                  <w:noWrap w:val="0"/>
                  <w:vAlign w:val="center"/>
                </w:tcPr>
                <w:p w14:paraId="53A0DF2E">
                  <w:pPr>
                    <w:keepNext w:val="0"/>
                    <w:keepLines w:val="0"/>
                    <w:suppressLineNumbers w:val="0"/>
                    <w:spacing w:before="0" w:beforeAutospacing="0" w:after="0" w:afterAutospacing="0"/>
                    <w:ind w:left="0" w:right="0"/>
                    <w:jc w:val="center"/>
                    <w:rPr>
                      <w:rFonts w:hint="eastAsia" w:ascii="宋体" w:hAnsi="宋体" w:eastAsia="宋体" w:cs="宋体"/>
                      <w:b w:val="0"/>
                      <w:bCs/>
                      <w:color w:val="auto"/>
                      <w:sz w:val="21"/>
                      <w:szCs w:val="21"/>
                    </w:rPr>
                  </w:pPr>
                </w:p>
              </w:tc>
              <w:tc>
                <w:tcPr>
                  <w:tcW w:w="696" w:type="pct"/>
                  <w:vMerge w:val="continue"/>
                  <w:noWrap w:val="0"/>
                  <w:vAlign w:val="center"/>
                </w:tcPr>
                <w:p w14:paraId="608F50D6">
                  <w:pPr>
                    <w:keepNext w:val="0"/>
                    <w:keepLines w:val="0"/>
                    <w:suppressLineNumbers w:val="0"/>
                    <w:spacing w:before="0" w:beforeAutospacing="0" w:after="0" w:afterAutospacing="0"/>
                    <w:ind w:left="0" w:right="0"/>
                    <w:jc w:val="center"/>
                    <w:rPr>
                      <w:rFonts w:hint="eastAsia" w:ascii="宋体" w:hAnsi="宋体" w:eastAsia="宋体" w:cs="宋体"/>
                      <w:b w:val="0"/>
                      <w:bCs/>
                      <w:color w:val="auto"/>
                      <w:sz w:val="21"/>
                      <w:szCs w:val="21"/>
                    </w:rPr>
                  </w:pPr>
                </w:p>
              </w:tc>
              <w:tc>
                <w:tcPr>
                  <w:tcW w:w="995" w:type="pct"/>
                  <w:noWrap w:val="0"/>
                  <w:vAlign w:val="center"/>
                </w:tcPr>
                <w:p w14:paraId="70BB5BFD">
                  <w:pPr>
                    <w:keepNext w:val="0"/>
                    <w:keepLines w:val="0"/>
                    <w:suppressLineNumbers w:val="0"/>
                    <w:spacing w:before="0" w:beforeAutospacing="0" w:after="0" w:afterAutospacing="0"/>
                    <w:ind w:left="0" w:right="0"/>
                    <w:jc w:val="center"/>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eastAsia="zh-CN"/>
                    </w:rPr>
                    <w:t>使用量</w:t>
                  </w:r>
                </w:p>
              </w:tc>
              <w:tc>
                <w:tcPr>
                  <w:tcW w:w="995" w:type="pct"/>
                  <w:noWrap w:val="0"/>
                  <w:vAlign w:val="center"/>
                </w:tcPr>
                <w:p w14:paraId="758DB4E6">
                  <w:pPr>
                    <w:keepNext w:val="0"/>
                    <w:keepLines w:val="0"/>
                    <w:suppressLineNumbers w:val="0"/>
                    <w:spacing w:before="0" w:beforeAutospacing="0" w:after="0" w:afterAutospacing="0"/>
                    <w:ind w:left="0" w:right="0"/>
                    <w:jc w:val="center"/>
                    <w:rPr>
                      <w:rFonts w:hint="eastAsia" w:ascii="宋体" w:hAnsi="宋体" w:eastAsia="宋体" w:cs="宋体"/>
                      <w:b w:val="0"/>
                      <w:bCs/>
                      <w:color w:val="auto"/>
                      <w:sz w:val="21"/>
                      <w:szCs w:val="21"/>
                      <w:lang w:eastAsia="zh-CN"/>
                    </w:rPr>
                  </w:pPr>
                  <w:r>
                    <w:rPr>
                      <w:rFonts w:hint="eastAsia"/>
                      <w:lang w:eastAsia="zh-CN"/>
                    </w:rPr>
                    <w:t>水蒸气</w:t>
                  </w:r>
                </w:p>
              </w:tc>
              <w:tc>
                <w:tcPr>
                  <w:tcW w:w="995" w:type="pct"/>
                  <w:shd w:val="clear" w:color="auto" w:fill="auto"/>
                  <w:noWrap w:val="0"/>
                  <w:vAlign w:val="center"/>
                </w:tcPr>
                <w:p w14:paraId="7D548717">
                  <w:pPr>
                    <w:keepNext w:val="0"/>
                    <w:keepLines w:val="0"/>
                    <w:suppressLineNumbers w:val="0"/>
                    <w:spacing w:before="0" w:beforeAutospacing="0" w:after="0" w:afterAutospacing="0"/>
                    <w:ind w:left="0" w:leftChars="0" w:right="0" w:rightChars="0"/>
                    <w:jc w:val="center"/>
                    <w:rPr>
                      <w:rFonts w:hint="eastAsia" w:ascii="宋体" w:hAnsi="宋体" w:eastAsia="宋体" w:cs="宋体"/>
                      <w:b w:val="0"/>
                      <w:bCs/>
                      <w:color w:val="auto"/>
                      <w:kern w:val="2"/>
                      <w:sz w:val="21"/>
                      <w:szCs w:val="21"/>
                      <w:lang w:val="en-US" w:eastAsia="zh-CN" w:bidi="ar-SA"/>
                    </w:rPr>
                  </w:pPr>
                  <w:r>
                    <w:rPr>
                      <w:rFonts w:hint="eastAsia" w:ascii="宋体" w:hAnsi="宋体" w:cs="宋体"/>
                      <w:b w:val="0"/>
                      <w:bCs/>
                      <w:color w:val="auto"/>
                      <w:sz w:val="21"/>
                      <w:szCs w:val="21"/>
                      <w:lang w:eastAsia="zh-CN"/>
                    </w:rPr>
                    <w:t>挥发量</w:t>
                  </w:r>
                </w:p>
              </w:tc>
              <w:tc>
                <w:tcPr>
                  <w:tcW w:w="995" w:type="pct"/>
                  <w:noWrap w:val="0"/>
                  <w:vAlign w:val="center"/>
                </w:tcPr>
                <w:p w14:paraId="52C027A5">
                  <w:pPr>
                    <w:keepNext w:val="0"/>
                    <w:keepLines w:val="0"/>
                    <w:suppressLineNumbers w:val="0"/>
                    <w:spacing w:before="0" w:beforeAutospacing="0" w:after="0" w:afterAutospacing="0"/>
                    <w:ind w:left="0" w:right="0"/>
                    <w:jc w:val="center"/>
                    <w:rPr>
                      <w:rFonts w:hint="eastAsia" w:ascii="宋体" w:hAnsi="宋体" w:eastAsia="宋体" w:cs="宋体"/>
                      <w:b w:val="0"/>
                      <w:bCs/>
                      <w:color w:val="auto"/>
                      <w:kern w:val="2"/>
                      <w:sz w:val="21"/>
                      <w:szCs w:val="21"/>
                      <w:lang w:val="en-US" w:eastAsia="zh-CN" w:bidi="ar-SA"/>
                    </w:rPr>
                  </w:pPr>
                  <w:r>
                    <w:rPr>
                      <w:rFonts w:hint="eastAsia" w:ascii="宋体" w:hAnsi="宋体" w:eastAsia="宋体" w:cs="宋体"/>
                      <w:b w:val="0"/>
                      <w:bCs/>
                      <w:color w:val="auto"/>
                      <w:sz w:val="21"/>
                      <w:szCs w:val="21"/>
                      <w:lang w:eastAsia="zh-CN"/>
                    </w:rPr>
                    <w:t>带入产品</w:t>
                  </w:r>
                </w:p>
              </w:tc>
            </w:tr>
            <w:tr w14:paraId="4AB113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exact"/>
              </w:trPr>
              <w:tc>
                <w:tcPr>
                  <w:tcW w:w="311" w:type="pct"/>
                  <w:noWrap w:val="0"/>
                  <w:vAlign w:val="center"/>
                </w:tcPr>
                <w:p w14:paraId="612687BB">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1</w:t>
                  </w:r>
                </w:p>
              </w:tc>
              <w:tc>
                <w:tcPr>
                  <w:tcW w:w="696" w:type="pct"/>
                  <w:noWrap w:val="0"/>
                  <w:vAlign w:val="center"/>
                </w:tcPr>
                <w:p w14:paraId="6F779746">
                  <w:pPr>
                    <w:keepNext w:val="0"/>
                    <w:keepLines w:val="0"/>
                    <w:suppressLineNumbers w:val="0"/>
                    <w:spacing w:before="0" w:beforeAutospacing="0" w:after="0" w:afterAutospacing="0"/>
                    <w:ind w:left="0" w:right="0"/>
                    <w:jc w:val="center"/>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水性油墨</w:t>
                  </w:r>
                </w:p>
              </w:tc>
              <w:tc>
                <w:tcPr>
                  <w:tcW w:w="1644" w:type="dxa"/>
                  <w:noWrap w:val="0"/>
                  <w:vAlign w:val="center"/>
                </w:tcPr>
                <w:p w14:paraId="6FCB739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23.182</w:t>
                  </w:r>
                </w:p>
              </w:tc>
              <w:tc>
                <w:tcPr>
                  <w:tcW w:w="1644" w:type="dxa"/>
                  <w:noWrap w:val="0"/>
                  <w:vAlign w:val="center"/>
                </w:tcPr>
                <w:p w14:paraId="133DB66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i w:val="0"/>
                      <w:iCs w:val="0"/>
                      <w:color w:val="000000"/>
                      <w:kern w:val="0"/>
                      <w:sz w:val="22"/>
                      <w:szCs w:val="22"/>
                      <w:u w:val="none"/>
                      <w:lang w:val="en-US" w:eastAsia="zh-CN" w:bidi="ar"/>
                    </w:rPr>
                    <w:t>8.114</w:t>
                  </w:r>
                </w:p>
              </w:tc>
              <w:tc>
                <w:tcPr>
                  <w:tcW w:w="1644" w:type="dxa"/>
                  <w:shd w:val="clear" w:color="auto" w:fill="auto"/>
                  <w:noWrap w:val="0"/>
                  <w:vAlign w:val="center"/>
                </w:tcPr>
                <w:p w14:paraId="77D8792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0.278</w:t>
                  </w:r>
                </w:p>
              </w:tc>
              <w:tc>
                <w:tcPr>
                  <w:tcW w:w="1644" w:type="dxa"/>
                  <w:noWrap w:val="0"/>
                  <w:vAlign w:val="center"/>
                </w:tcPr>
                <w:p w14:paraId="08FE3EF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i w:val="0"/>
                      <w:iCs w:val="0"/>
                      <w:color w:val="000000"/>
                      <w:kern w:val="0"/>
                      <w:sz w:val="22"/>
                      <w:szCs w:val="22"/>
                      <w:u w:val="none"/>
                      <w:lang w:val="en-US" w:eastAsia="zh-CN" w:bidi="ar"/>
                    </w:rPr>
                    <w:t>14.790</w:t>
                  </w:r>
                </w:p>
              </w:tc>
            </w:tr>
            <w:tr w14:paraId="43778E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exact"/>
              </w:trPr>
              <w:tc>
                <w:tcPr>
                  <w:tcW w:w="311" w:type="pct"/>
                  <w:noWrap w:val="0"/>
                  <w:vAlign w:val="center"/>
                </w:tcPr>
                <w:p w14:paraId="7C97EB2B">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lang w:val="en-US" w:eastAsia="zh-CN"/>
                    </w:rPr>
                    <w:t>2</w:t>
                  </w:r>
                </w:p>
              </w:tc>
              <w:tc>
                <w:tcPr>
                  <w:tcW w:w="696" w:type="pct"/>
                  <w:noWrap w:val="0"/>
                  <w:vAlign w:val="center"/>
                </w:tcPr>
                <w:p w14:paraId="6BF00147">
                  <w:pPr>
                    <w:keepNext w:val="0"/>
                    <w:keepLines w:val="0"/>
                    <w:suppressLineNumbers w:val="0"/>
                    <w:spacing w:before="0" w:beforeAutospacing="0" w:after="0" w:afterAutospacing="0"/>
                    <w:ind w:left="0" w:right="0"/>
                    <w:jc w:val="center"/>
                    <w:rPr>
                      <w:rFonts w:hint="default" w:ascii="宋体" w:hAnsi="宋体" w:eastAsia="宋体" w:cs="宋体"/>
                      <w:b w:val="0"/>
                      <w:bCs/>
                      <w:color w:val="auto"/>
                      <w:sz w:val="21"/>
                      <w:szCs w:val="21"/>
                      <w:lang w:val="en-US" w:eastAsia="zh-CN"/>
                    </w:rPr>
                  </w:pPr>
                  <w:r>
                    <w:rPr>
                      <w:rFonts w:hint="eastAsia" w:ascii="宋体" w:hAnsi="宋体" w:cs="宋体"/>
                      <w:b w:val="0"/>
                      <w:bCs/>
                      <w:color w:val="auto"/>
                      <w:sz w:val="21"/>
                      <w:szCs w:val="21"/>
                      <w:lang w:val="en-US" w:eastAsia="zh-CN"/>
                    </w:rPr>
                    <w:t>无水乙醇</w:t>
                  </w:r>
                </w:p>
              </w:tc>
              <w:tc>
                <w:tcPr>
                  <w:tcW w:w="1644" w:type="dxa"/>
                  <w:noWrap w:val="0"/>
                  <w:vAlign w:val="center"/>
                </w:tcPr>
                <w:p w14:paraId="7349D78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0.773</w:t>
                  </w:r>
                </w:p>
              </w:tc>
              <w:tc>
                <w:tcPr>
                  <w:tcW w:w="1644" w:type="dxa"/>
                  <w:noWrap w:val="0"/>
                  <w:vAlign w:val="center"/>
                </w:tcPr>
                <w:p w14:paraId="7708330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shd w:val="clear" w:color="auto" w:fill="auto"/>
                  <w:noWrap w:val="0"/>
                  <w:vAlign w:val="center"/>
                </w:tcPr>
                <w:p w14:paraId="504ABCA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0.773</w:t>
                  </w:r>
                </w:p>
              </w:tc>
              <w:tc>
                <w:tcPr>
                  <w:tcW w:w="1644" w:type="dxa"/>
                  <w:noWrap w:val="0"/>
                  <w:vAlign w:val="center"/>
                </w:tcPr>
                <w:p w14:paraId="1B95A19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5D7104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exact"/>
              </w:trPr>
              <w:tc>
                <w:tcPr>
                  <w:tcW w:w="311" w:type="pct"/>
                  <w:noWrap w:val="0"/>
                  <w:vAlign w:val="center"/>
                </w:tcPr>
                <w:p w14:paraId="4033028D">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lang w:val="en-US" w:eastAsia="zh-CN"/>
                    </w:rPr>
                    <w:t>3</w:t>
                  </w:r>
                </w:p>
              </w:tc>
              <w:tc>
                <w:tcPr>
                  <w:tcW w:w="696" w:type="pct"/>
                  <w:noWrap w:val="0"/>
                  <w:vAlign w:val="center"/>
                </w:tcPr>
                <w:p w14:paraId="52857259">
                  <w:pPr>
                    <w:keepNext w:val="0"/>
                    <w:keepLines w:val="0"/>
                    <w:suppressLineNumbers w:val="0"/>
                    <w:spacing w:before="0" w:beforeAutospacing="0" w:after="0" w:afterAutospacing="0"/>
                    <w:ind w:left="0" w:right="0"/>
                    <w:jc w:val="center"/>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纯水</w:t>
                  </w:r>
                </w:p>
              </w:tc>
              <w:tc>
                <w:tcPr>
                  <w:tcW w:w="1644" w:type="dxa"/>
                  <w:noWrap w:val="0"/>
                  <w:vAlign w:val="center"/>
                </w:tcPr>
                <w:p w14:paraId="75A6229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3.864</w:t>
                  </w:r>
                </w:p>
              </w:tc>
              <w:tc>
                <w:tcPr>
                  <w:tcW w:w="1644" w:type="dxa"/>
                  <w:noWrap w:val="0"/>
                  <w:vAlign w:val="center"/>
                </w:tcPr>
                <w:p w14:paraId="6EDB500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i w:val="0"/>
                      <w:iCs w:val="0"/>
                      <w:color w:val="000000"/>
                      <w:kern w:val="0"/>
                      <w:sz w:val="22"/>
                      <w:szCs w:val="22"/>
                      <w:u w:val="none"/>
                      <w:lang w:val="en-US" w:eastAsia="zh-CN" w:bidi="ar"/>
                    </w:rPr>
                    <w:t>3.864</w:t>
                  </w:r>
                </w:p>
              </w:tc>
              <w:tc>
                <w:tcPr>
                  <w:tcW w:w="1644" w:type="dxa"/>
                  <w:shd w:val="clear" w:color="auto" w:fill="auto"/>
                  <w:noWrap w:val="0"/>
                  <w:vAlign w:val="center"/>
                </w:tcPr>
                <w:p w14:paraId="7551FD2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noWrap w:val="0"/>
                  <w:vAlign w:val="center"/>
                </w:tcPr>
                <w:p w14:paraId="7EE9222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52BD29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exact"/>
              </w:trPr>
              <w:tc>
                <w:tcPr>
                  <w:tcW w:w="1007" w:type="pct"/>
                  <w:gridSpan w:val="2"/>
                  <w:noWrap w:val="0"/>
                  <w:vAlign w:val="center"/>
                </w:tcPr>
                <w:p w14:paraId="5E4B46F7">
                  <w:pPr>
                    <w:keepNext w:val="0"/>
                    <w:keepLines w:val="0"/>
                    <w:suppressLineNumbers w:val="0"/>
                    <w:spacing w:before="0" w:beforeAutospacing="0" w:after="0" w:afterAutospacing="0"/>
                    <w:ind w:left="0" w:right="0"/>
                    <w:jc w:val="center"/>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合计</w:t>
                  </w:r>
                </w:p>
              </w:tc>
              <w:tc>
                <w:tcPr>
                  <w:tcW w:w="1644" w:type="dxa"/>
                  <w:noWrap w:val="0"/>
                  <w:vAlign w:val="center"/>
                </w:tcPr>
                <w:p w14:paraId="5751B26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27.819</w:t>
                  </w:r>
                </w:p>
              </w:tc>
              <w:tc>
                <w:tcPr>
                  <w:tcW w:w="1644" w:type="dxa"/>
                  <w:noWrap w:val="0"/>
                  <w:vAlign w:val="center"/>
                </w:tcPr>
                <w:p w14:paraId="21F82D6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11.978</w:t>
                  </w:r>
                </w:p>
              </w:tc>
              <w:tc>
                <w:tcPr>
                  <w:tcW w:w="1644" w:type="dxa"/>
                  <w:noWrap w:val="0"/>
                  <w:vAlign w:val="center"/>
                </w:tcPr>
                <w:p w14:paraId="68C34267">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b w:val="0"/>
                      <w:bCs/>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1.051</w:t>
                  </w:r>
                </w:p>
              </w:tc>
              <w:tc>
                <w:tcPr>
                  <w:tcW w:w="1644" w:type="dxa"/>
                  <w:noWrap w:val="0"/>
                  <w:vAlign w:val="center"/>
                </w:tcPr>
                <w:p w14:paraId="0056F5D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14.790</w:t>
                  </w:r>
                </w:p>
              </w:tc>
            </w:tr>
          </w:tbl>
          <w:p w14:paraId="759162D4">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textAlignment w:val="auto"/>
              <w:outlineLvl w:val="2"/>
              <w:rPr>
                <w:rFonts w:hint="default" w:ascii="Times New Roman" w:hAnsi="Times New Roman" w:cs="Times New Roman"/>
                <w:color w:val="auto"/>
                <w:sz w:val="24"/>
                <w:szCs w:val="22"/>
              </w:rPr>
            </w:pPr>
            <w:r>
              <w:rPr>
                <w:rFonts w:hint="eastAsia" w:ascii="Times New Roman" w:hAnsi="Times New Roman" w:cs="Times New Roman"/>
                <w:b/>
                <w:bCs/>
                <w:color w:val="auto"/>
                <w:sz w:val="24"/>
                <w:szCs w:val="22"/>
                <w:lang w:val="en-US" w:eastAsia="zh-CN"/>
              </w:rPr>
              <w:t>6、</w:t>
            </w:r>
            <w:r>
              <w:rPr>
                <w:rFonts w:hint="default" w:ascii="Times New Roman" w:hAnsi="Times New Roman" w:cs="Times New Roman"/>
                <w:b/>
                <w:bCs/>
                <w:color w:val="auto"/>
                <w:sz w:val="24"/>
                <w:szCs w:val="22"/>
              </w:rPr>
              <w:t>给排水</w:t>
            </w:r>
          </w:p>
          <w:p w14:paraId="6865067F">
            <w:pPr>
              <w:keepNext w:val="0"/>
              <w:keepLines w:val="0"/>
              <w:suppressLineNumbers w:val="0"/>
              <w:spacing w:before="0" w:beforeAutospacing="0" w:after="0" w:afterAutospacing="0" w:line="360" w:lineRule="auto"/>
              <w:ind w:left="0" w:right="0"/>
              <w:rPr>
                <w:rFonts w:hint="eastAsia" w:ascii="Times New Roman" w:hAnsi="Times New Roman" w:cs="Times New Roman"/>
                <w:sz w:val="24"/>
                <w:szCs w:val="22"/>
                <w:lang w:val="en-US" w:eastAsia="zh-CN"/>
              </w:rPr>
            </w:pPr>
            <w:r>
              <w:rPr>
                <w:rFonts w:hint="eastAsia" w:ascii="Times New Roman" w:hAnsi="Times New Roman" w:cs="Times New Roman"/>
                <w:b/>
                <w:bCs/>
                <w:sz w:val="24"/>
                <w:szCs w:val="22"/>
                <w:lang w:val="en-US" w:eastAsia="zh-CN"/>
              </w:rPr>
              <w:t>6.1现有工程给排水</w:t>
            </w:r>
          </w:p>
          <w:p w14:paraId="49E73267">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sz w:val="24"/>
                <w:szCs w:val="22"/>
              </w:rPr>
            </w:pPr>
            <w:r>
              <w:rPr>
                <w:rFonts w:hint="default" w:ascii="Times New Roman" w:hAnsi="Times New Roman" w:cs="Times New Roman"/>
                <w:sz w:val="24"/>
                <w:szCs w:val="22"/>
              </w:rPr>
              <w:fldChar w:fldCharType="begin"/>
            </w:r>
            <w:r>
              <w:rPr>
                <w:rFonts w:hint="default" w:ascii="Times New Roman" w:hAnsi="Times New Roman" w:cs="Times New Roman"/>
                <w:sz w:val="24"/>
                <w:szCs w:val="22"/>
              </w:rPr>
              <w:instrText xml:space="preserve">= 1 \* GB3</w:instrText>
            </w:r>
            <w:r>
              <w:rPr>
                <w:rFonts w:hint="default" w:ascii="Times New Roman" w:hAnsi="Times New Roman" w:cs="Times New Roman"/>
                <w:sz w:val="24"/>
                <w:szCs w:val="22"/>
              </w:rPr>
              <w:fldChar w:fldCharType="separate"/>
            </w:r>
            <w:r>
              <w:rPr>
                <w:rFonts w:hint="eastAsia" w:ascii="宋体" w:hAnsi="宋体" w:cs="宋体"/>
                <w:sz w:val="24"/>
                <w:szCs w:val="22"/>
              </w:rPr>
              <w:t>①</w:t>
            </w:r>
            <w:r>
              <w:rPr>
                <w:rFonts w:hint="default" w:ascii="Times New Roman" w:hAnsi="Times New Roman" w:cs="Times New Roman"/>
                <w:sz w:val="24"/>
                <w:szCs w:val="22"/>
              </w:rPr>
              <w:fldChar w:fldCharType="end"/>
            </w:r>
            <w:r>
              <w:rPr>
                <w:rFonts w:hint="default" w:ascii="Times New Roman" w:hAnsi="Times New Roman" w:cs="Times New Roman"/>
                <w:sz w:val="24"/>
                <w:szCs w:val="22"/>
              </w:rPr>
              <w:t>给水</w:t>
            </w:r>
          </w:p>
          <w:p w14:paraId="44F41973">
            <w:pPr>
              <w:keepNext w:val="0"/>
              <w:keepLines w:val="0"/>
              <w:suppressLineNumbers w:val="0"/>
              <w:spacing w:before="0" w:beforeAutospacing="0" w:after="0" w:afterAutospacing="0" w:line="360" w:lineRule="auto"/>
              <w:ind w:left="0" w:right="0" w:firstLine="480" w:firstLineChars="200"/>
              <w:rPr>
                <w:rFonts w:hint="eastAsia" w:ascii="Times New Roman" w:hAnsi="Times New Roman" w:cs="Times New Roman"/>
                <w:sz w:val="24"/>
                <w:szCs w:val="22"/>
                <w:lang w:val="en-US" w:eastAsia="zh-CN"/>
              </w:rPr>
            </w:pPr>
            <w:r>
              <w:rPr>
                <w:rFonts w:hint="eastAsia" w:ascii="Times New Roman" w:hAnsi="Times New Roman" w:cs="Times New Roman"/>
                <w:sz w:val="24"/>
                <w:szCs w:val="22"/>
                <w:lang w:val="en-US" w:eastAsia="zh-CN"/>
              </w:rPr>
              <w:t>现有工程用水</w:t>
            </w:r>
            <w:r>
              <w:rPr>
                <w:rFonts w:hint="eastAsia" w:cs="Times New Roman"/>
                <w:sz w:val="24"/>
                <w:szCs w:val="22"/>
                <w:lang w:val="en-US" w:eastAsia="zh-CN"/>
              </w:rPr>
              <w:t>为水性油墨配制用纯水（外购）和</w:t>
            </w:r>
            <w:r>
              <w:rPr>
                <w:rFonts w:hint="eastAsia" w:ascii="Times New Roman" w:hAnsi="Times New Roman" w:cs="Times New Roman"/>
                <w:sz w:val="24"/>
                <w:szCs w:val="22"/>
                <w:lang w:val="en-US" w:eastAsia="zh-CN"/>
              </w:rPr>
              <w:t>生活用水；</w:t>
            </w:r>
          </w:p>
          <w:p w14:paraId="1DE82582">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sz w:val="24"/>
                <w:szCs w:val="22"/>
                <w:lang w:eastAsia="zh-CN"/>
              </w:rPr>
            </w:pPr>
            <w:r>
              <w:rPr>
                <w:rFonts w:hint="eastAsia" w:ascii="Times New Roman" w:hAnsi="Times New Roman" w:cs="Times New Roman"/>
                <w:sz w:val="24"/>
                <w:szCs w:val="22"/>
                <w:lang w:val="en-US" w:eastAsia="zh-CN"/>
              </w:rPr>
              <w:t>依据原环评及验收文件，现有工程</w:t>
            </w:r>
            <w:r>
              <w:rPr>
                <w:rFonts w:hint="eastAsia" w:cs="Times New Roman"/>
                <w:sz w:val="24"/>
                <w:szCs w:val="22"/>
                <w:lang w:val="en-US" w:eastAsia="zh-CN"/>
              </w:rPr>
              <w:t>纯水总用量为3t/a，</w:t>
            </w:r>
            <w:r>
              <w:rPr>
                <w:rFonts w:hint="eastAsia" w:ascii="Times New Roman" w:hAnsi="Times New Roman" w:cs="Times New Roman"/>
                <w:sz w:val="24"/>
                <w:szCs w:val="22"/>
                <w:lang w:val="en-US" w:eastAsia="zh-CN"/>
              </w:rPr>
              <w:t>生活用水总量为6.2</w:t>
            </w:r>
            <w:r>
              <w:rPr>
                <w:rFonts w:hint="default" w:ascii="Times New Roman" w:hAnsi="Times New Roman" w:eastAsia="宋体" w:cs="Times New Roman"/>
                <w:sz w:val="24"/>
                <w:szCs w:val="22"/>
                <w:lang w:eastAsia="zh-CN"/>
              </w:rPr>
              <w:t>m</w:t>
            </w:r>
            <w:r>
              <w:rPr>
                <w:rFonts w:hint="default" w:ascii="Times New Roman" w:hAnsi="Times New Roman" w:eastAsia="宋体" w:cs="Times New Roman"/>
                <w:sz w:val="24"/>
                <w:szCs w:val="22"/>
                <w:vertAlign w:val="superscript"/>
                <w:lang w:eastAsia="zh-CN"/>
              </w:rPr>
              <w:t>3</w:t>
            </w:r>
            <w:r>
              <w:rPr>
                <w:rFonts w:hint="default" w:ascii="Times New Roman" w:hAnsi="Times New Roman" w:eastAsia="宋体" w:cs="Times New Roman"/>
                <w:sz w:val="24"/>
                <w:szCs w:val="22"/>
                <w:lang w:eastAsia="zh-CN"/>
              </w:rPr>
              <w:t>/d</w:t>
            </w:r>
            <w:r>
              <w:rPr>
                <w:rFonts w:hint="eastAsia" w:ascii="Times New Roman" w:hAnsi="Times New Roman" w:eastAsia="宋体" w:cs="Times New Roman"/>
                <w:sz w:val="24"/>
                <w:szCs w:val="22"/>
                <w:lang w:eastAsia="zh-CN"/>
              </w:rPr>
              <w:t>（</w:t>
            </w:r>
            <w:r>
              <w:rPr>
                <w:rFonts w:hint="eastAsia" w:ascii="Times New Roman" w:hAnsi="Times New Roman" w:eastAsia="宋体" w:cs="Times New Roman"/>
                <w:sz w:val="24"/>
                <w:szCs w:val="22"/>
                <w:lang w:val="en-US" w:eastAsia="zh-CN"/>
              </w:rPr>
              <w:t>1860</w:t>
            </w:r>
            <w:r>
              <w:rPr>
                <w:rFonts w:hint="default" w:ascii="Times New Roman" w:hAnsi="Times New Roman" w:eastAsia="宋体" w:cs="Times New Roman"/>
                <w:sz w:val="24"/>
                <w:szCs w:val="22"/>
                <w:lang w:eastAsia="zh-CN"/>
              </w:rPr>
              <w:t>m</w:t>
            </w:r>
            <w:r>
              <w:rPr>
                <w:rFonts w:hint="default" w:ascii="Times New Roman" w:hAnsi="Times New Roman" w:eastAsia="宋体" w:cs="Times New Roman"/>
                <w:sz w:val="24"/>
                <w:szCs w:val="22"/>
                <w:vertAlign w:val="superscript"/>
                <w:lang w:eastAsia="zh-CN"/>
              </w:rPr>
              <w:t>3</w:t>
            </w:r>
            <w:r>
              <w:rPr>
                <w:rFonts w:hint="default" w:ascii="Times New Roman" w:hAnsi="Times New Roman" w:eastAsia="宋体" w:cs="Times New Roman"/>
                <w:sz w:val="24"/>
                <w:szCs w:val="22"/>
                <w:lang w:eastAsia="zh-CN"/>
              </w:rPr>
              <w:t>/</w:t>
            </w:r>
            <w:r>
              <w:rPr>
                <w:rFonts w:hint="eastAsia" w:ascii="Times New Roman" w:hAnsi="Times New Roman" w:eastAsia="宋体" w:cs="Times New Roman"/>
                <w:sz w:val="24"/>
                <w:szCs w:val="22"/>
                <w:lang w:val="en-US" w:eastAsia="zh-CN"/>
              </w:rPr>
              <w:t>a</w:t>
            </w:r>
            <w:r>
              <w:rPr>
                <w:rFonts w:hint="eastAsia" w:ascii="Times New Roman" w:hAnsi="Times New Roman" w:eastAsia="宋体" w:cs="Times New Roman"/>
                <w:sz w:val="24"/>
                <w:szCs w:val="22"/>
                <w:lang w:eastAsia="zh-CN"/>
              </w:rPr>
              <w:t>）。</w:t>
            </w:r>
          </w:p>
          <w:p w14:paraId="5F76AC91">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bCs/>
                <w:sz w:val="24"/>
                <w:szCs w:val="22"/>
                <w:lang w:val="en-GB"/>
              </w:rPr>
            </w:pPr>
            <w:r>
              <w:rPr>
                <w:rFonts w:hint="eastAsia" w:ascii="宋体" w:hAnsi="宋体" w:cs="宋体"/>
                <w:bCs/>
                <w:sz w:val="24"/>
                <w:szCs w:val="22"/>
                <w:lang w:val="en-GB"/>
              </w:rPr>
              <w:t>②</w:t>
            </w:r>
            <w:r>
              <w:rPr>
                <w:rFonts w:hint="default" w:ascii="Times New Roman" w:hAnsi="Times New Roman" w:cs="Times New Roman"/>
                <w:bCs/>
                <w:sz w:val="24"/>
                <w:szCs w:val="22"/>
                <w:lang w:val="en-GB"/>
              </w:rPr>
              <w:t>排水</w:t>
            </w:r>
          </w:p>
          <w:p w14:paraId="379975B3">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bCs/>
                <w:sz w:val="24"/>
                <w:szCs w:val="22"/>
                <w:lang w:eastAsia="zh-CN"/>
              </w:rPr>
            </w:pPr>
            <w:r>
              <w:rPr>
                <w:rFonts w:hint="eastAsia" w:ascii="Times New Roman" w:hAnsi="Times New Roman" w:cs="Times New Roman"/>
                <w:sz w:val="24"/>
                <w:szCs w:val="22"/>
                <w:lang w:val="en-US" w:eastAsia="zh-CN"/>
              </w:rPr>
              <w:t>现有工程</w:t>
            </w:r>
            <w:r>
              <w:rPr>
                <w:rFonts w:hint="eastAsia" w:cs="Times New Roman"/>
                <w:sz w:val="24"/>
                <w:szCs w:val="22"/>
                <w:lang w:val="en-US" w:eastAsia="zh-CN"/>
              </w:rPr>
              <w:t>纯水全部挥发</w:t>
            </w:r>
            <w:r>
              <w:rPr>
                <w:rFonts w:hint="eastAsia" w:cs="Times New Roman"/>
                <w:sz w:val="24"/>
                <w:szCs w:val="22"/>
                <w:lang w:eastAsia="zh-CN"/>
              </w:rPr>
              <w:t>不</w:t>
            </w:r>
            <w:r>
              <w:rPr>
                <w:rFonts w:hint="eastAsia" w:ascii="Times New Roman" w:hAnsi="Times New Roman" w:cs="Times New Roman"/>
                <w:sz w:val="24"/>
                <w:szCs w:val="22"/>
                <w:lang w:val="en-US" w:eastAsia="zh-CN"/>
              </w:rPr>
              <w:t>外排</w:t>
            </w:r>
            <w:r>
              <w:rPr>
                <w:rFonts w:hint="eastAsia" w:cs="Times New Roman"/>
                <w:sz w:val="24"/>
                <w:szCs w:val="22"/>
                <w:lang w:val="en-US" w:eastAsia="zh-CN"/>
              </w:rPr>
              <w:t>，</w:t>
            </w:r>
            <w:r>
              <w:rPr>
                <w:rFonts w:hint="eastAsia" w:ascii="Times New Roman" w:hAnsi="Times New Roman" w:cs="Times New Roman"/>
                <w:sz w:val="24"/>
                <w:szCs w:val="22"/>
              </w:rPr>
              <w:t>职工</w:t>
            </w:r>
            <w:r>
              <w:rPr>
                <w:rFonts w:hint="default" w:ascii="Times New Roman" w:hAnsi="Times New Roman" w:eastAsia="宋体" w:cs="Times New Roman"/>
                <w:color w:val="auto"/>
                <w:sz w:val="24"/>
                <w:szCs w:val="24"/>
                <w:highlight w:val="none"/>
                <w:lang w:val="en-US" w:eastAsia="zh-CN"/>
              </w:rPr>
              <w:t>生活污水</w:t>
            </w:r>
            <w:r>
              <w:rPr>
                <w:rFonts w:hint="eastAsia" w:cs="Times New Roman"/>
                <w:color w:val="auto"/>
                <w:sz w:val="24"/>
                <w:szCs w:val="24"/>
                <w:highlight w:val="none"/>
                <w:lang w:val="en-US" w:eastAsia="zh-CN"/>
              </w:rPr>
              <w:t>产生量为</w:t>
            </w:r>
            <w:r>
              <w:rPr>
                <w:rFonts w:hint="eastAsia" w:ascii="Times New Roman" w:hAnsi="Times New Roman" w:cs="Times New Roman"/>
                <w:sz w:val="24"/>
                <w:szCs w:val="22"/>
                <w:lang w:val="en-US" w:eastAsia="zh-CN"/>
              </w:rPr>
              <w:t>5.0</w:t>
            </w:r>
            <w:r>
              <w:rPr>
                <w:rFonts w:hint="default" w:ascii="Times New Roman" w:hAnsi="Times New Roman" w:eastAsia="宋体" w:cs="Times New Roman"/>
                <w:sz w:val="24"/>
                <w:szCs w:val="22"/>
                <w:lang w:eastAsia="zh-CN"/>
              </w:rPr>
              <w:t>m</w:t>
            </w:r>
            <w:r>
              <w:rPr>
                <w:rFonts w:hint="default" w:ascii="Times New Roman" w:hAnsi="Times New Roman" w:eastAsia="宋体" w:cs="Times New Roman"/>
                <w:sz w:val="24"/>
                <w:szCs w:val="22"/>
                <w:vertAlign w:val="superscript"/>
                <w:lang w:eastAsia="zh-CN"/>
              </w:rPr>
              <w:t>3</w:t>
            </w:r>
            <w:r>
              <w:rPr>
                <w:rFonts w:hint="default" w:ascii="Times New Roman" w:hAnsi="Times New Roman" w:eastAsia="宋体" w:cs="Times New Roman"/>
                <w:sz w:val="24"/>
                <w:szCs w:val="22"/>
                <w:lang w:eastAsia="zh-CN"/>
              </w:rPr>
              <w:t>/d</w:t>
            </w:r>
            <w:r>
              <w:rPr>
                <w:rFonts w:hint="eastAsia" w:ascii="Times New Roman" w:hAnsi="Times New Roman" w:eastAsia="宋体" w:cs="Times New Roman"/>
                <w:sz w:val="24"/>
                <w:szCs w:val="22"/>
                <w:lang w:eastAsia="zh-CN"/>
              </w:rPr>
              <w:t>（</w:t>
            </w:r>
            <w:r>
              <w:rPr>
                <w:rFonts w:hint="eastAsia" w:ascii="Times New Roman" w:hAnsi="Times New Roman" w:cs="Times New Roman"/>
                <w:sz w:val="24"/>
                <w:szCs w:val="22"/>
                <w:lang w:val="en-US" w:eastAsia="zh-CN"/>
              </w:rPr>
              <w:t>1500</w:t>
            </w:r>
            <w:r>
              <w:rPr>
                <w:rFonts w:hint="default" w:ascii="Times New Roman" w:hAnsi="Times New Roman" w:eastAsia="宋体" w:cs="Times New Roman"/>
                <w:sz w:val="24"/>
                <w:szCs w:val="22"/>
                <w:lang w:eastAsia="zh-CN"/>
              </w:rPr>
              <w:t>m</w:t>
            </w:r>
            <w:r>
              <w:rPr>
                <w:rFonts w:hint="default" w:ascii="Times New Roman" w:hAnsi="Times New Roman" w:eastAsia="宋体" w:cs="Times New Roman"/>
                <w:sz w:val="24"/>
                <w:szCs w:val="22"/>
                <w:vertAlign w:val="superscript"/>
                <w:lang w:eastAsia="zh-CN"/>
              </w:rPr>
              <w:t>3</w:t>
            </w:r>
            <w:r>
              <w:rPr>
                <w:rFonts w:hint="default" w:ascii="Times New Roman" w:hAnsi="Times New Roman" w:eastAsia="宋体" w:cs="Times New Roman"/>
                <w:sz w:val="24"/>
                <w:szCs w:val="22"/>
                <w:lang w:eastAsia="zh-CN"/>
              </w:rPr>
              <w:t>/</w:t>
            </w:r>
            <w:r>
              <w:rPr>
                <w:rFonts w:hint="eastAsia" w:ascii="Times New Roman" w:hAnsi="Times New Roman" w:eastAsia="宋体" w:cs="Times New Roman"/>
                <w:sz w:val="24"/>
                <w:szCs w:val="22"/>
                <w:lang w:val="en-US" w:eastAsia="zh-CN"/>
              </w:rPr>
              <w:t>a</w:t>
            </w:r>
            <w:r>
              <w:rPr>
                <w:rFonts w:hint="eastAsia" w:ascii="Times New Roman" w:hAnsi="Times New Roman" w:eastAsia="宋体" w:cs="Times New Roman"/>
                <w:sz w:val="24"/>
                <w:szCs w:val="22"/>
                <w:lang w:eastAsia="zh-CN"/>
              </w:rPr>
              <w:t>）</w:t>
            </w:r>
            <w:r>
              <w:rPr>
                <w:rFonts w:hint="eastAsia" w:cs="Times New Roman"/>
                <w:sz w:val="24"/>
                <w:szCs w:val="22"/>
                <w:lang w:eastAsia="zh-CN"/>
              </w:rPr>
              <w:t>，</w:t>
            </w:r>
            <w:r>
              <w:rPr>
                <w:rFonts w:hint="eastAsia" w:ascii="Times New Roman" w:hAnsi="Times New Roman" w:cs="Times New Roman"/>
                <w:sz w:val="24"/>
                <w:szCs w:val="24"/>
              </w:rPr>
              <w:t>经化粪池处理后排入园区污水管网，最终进入</w:t>
            </w:r>
            <w:r>
              <w:rPr>
                <w:rFonts w:hint="default" w:ascii="Times New Roman" w:hAnsi="Times New Roman" w:cs="Times New Roman"/>
                <w:sz w:val="24"/>
                <w:szCs w:val="24"/>
              </w:rPr>
              <w:t>沧州绿源水处理有限公司临港污水处理厂</w:t>
            </w:r>
            <w:r>
              <w:rPr>
                <w:rFonts w:hint="eastAsia" w:ascii="Times New Roman" w:hAnsi="Times New Roman" w:cs="Times New Roman"/>
                <w:sz w:val="24"/>
                <w:szCs w:val="24"/>
                <w:lang w:eastAsia="zh-CN"/>
              </w:rPr>
              <w:t>。</w:t>
            </w:r>
          </w:p>
          <w:p w14:paraId="7C522EE2">
            <w:pPr>
              <w:keepNext w:val="0"/>
              <w:keepLines w:val="0"/>
              <w:suppressLineNumbers w:val="0"/>
              <w:spacing w:before="0" w:beforeAutospacing="0" w:after="0" w:afterAutospacing="0" w:line="360" w:lineRule="auto"/>
              <w:ind w:left="0" w:right="0" w:firstLine="480" w:firstLineChars="200"/>
              <w:rPr>
                <w:rFonts w:hint="eastAsia" w:ascii="Times New Roman" w:hAnsi="Times New Roman" w:cs="Times New Roman"/>
                <w:sz w:val="24"/>
                <w:szCs w:val="22"/>
                <w:lang w:val="en-US" w:eastAsia="zh-CN"/>
              </w:rPr>
            </w:pPr>
            <w:r>
              <w:rPr>
                <w:rFonts w:hint="default" w:ascii="Times New Roman" w:hAnsi="Times New Roman" w:cs="Times New Roman"/>
                <w:sz w:val="24"/>
                <w:szCs w:val="22"/>
              </w:rPr>
              <w:t>项目</w:t>
            </w:r>
            <w:r>
              <w:rPr>
                <w:rFonts w:hint="eastAsia" w:cs="Times New Roman"/>
                <w:sz w:val="24"/>
                <w:szCs w:val="22"/>
                <w:lang w:eastAsia="zh-CN"/>
              </w:rPr>
              <w:t>现有工程</w:t>
            </w:r>
            <w:r>
              <w:rPr>
                <w:rFonts w:hint="default" w:ascii="Times New Roman" w:hAnsi="Times New Roman" w:cs="Times New Roman"/>
                <w:sz w:val="24"/>
                <w:szCs w:val="22"/>
              </w:rPr>
              <w:t>给排水平衡图见</w:t>
            </w:r>
            <w:r>
              <w:rPr>
                <w:rFonts w:hint="eastAsia" w:cs="Times New Roman"/>
                <w:sz w:val="24"/>
                <w:szCs w:val="22"/>
                <w:lang w:eastAsia="zh-CN"/>
              </w:rPr>
              <w:t>下</w:t>
            </w:r>
            <w:r>
              <w:rPr>
                <w:rFonts w:hint="default" w:ascii="Times New Roman" w:hAnsi="Times New Roman" w:cs="Times New Roman"/>
                <w:sz w:val="24"/>
                <w:szCs w:val="22"/>
              </w:rPr>
              <w:t>图。</w:t>
            </w:r>
          </w:p>
          <w:p w14:paraId="70585A89">
            <w:pPr>
              <w:keepNext w:val="0"/>
              <w:keepLines w:val="0"/>
              <w:suppressLineNumbers w:val="0"/>
              <w:spacing w:before="0" w:beforeAutospacing="0" w:after="0" w:afterAutospacing="0" w:line="360" w:lineRule="auto"/>
              <w:ind w:left="0" w:right="0"/>
              <w:jc w:val="center"/>
              <w:rPr>
                <w:rFonts w:hint="eastAsia" w:ascii="Times New Roman" w:hAnsi="Times New Roman" w:eastAsia="宋体" w:cs="Times New Roman"/>
                <w:sz w:val="24"/>
                <w:szCs w:val="22"/>
                <w:lang w:eastAsia="zh-CN"/>
              </w:rPr>
            </w:pPr>
            <w:r>
              <w:rPr>
                <w:rFonts w:hint="eastAsia" w:ascii="Times New Roman" w:hAnsi="Times New Roman" w:eastAsia="宋体" w:cs="Times New Roman"/>
                <w:sz w:val="24"/>
                <w:szCs w:val="22"/>
                <w:lang w:eastAsia="zh-CN"/>
              </w:rPr>
              <w:drawing>
                <wp:inline distT="0" distB="0" distL="114300" distR="114300">
                  <wp:extent cx="4543425" cy="2038350"/>
                  <wp:effectExtent l="0" t="0" r="9525" b="0"/>
                  <wp:docPr id="4" name="图片 4" descr="b78a06104e44c8a7cea546bcfff26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b78a06104e44c8a7cea546bcfff2680"/>
                          <pic:cNvPicPr>
                            <a:picLocks noChangeAspect="1"/>
                          </pic:cNvPicPr>
                        </pic:nvPicPr>
                        <pic:blipFill>
                          <a:blip r:embed="rId9"/>
                          <a:stretch>
                            <a:fillRect/>
                          </a:stretch>
                        </pic:blipFill>
                        <pic:spPr>
                          <a:xfrm>
                            <a:off x="0" y="0"/>
                            <a:ext cx="4543425" cy="2038350"/>
                          </a:xfrm>
                          <a:prstGeom prst="rect">
                            <a:avLst/>
                          </a:prstGeom>
                        </pic:spPr>
                      </pic:pic>
                    </a:graphicData>
                  </a:graphic>
                </wp:inline>
              </w:drawing>
            </w:r>
          </w:p>
          <w:p w14:paraId="20DBB537">
            <w:pPr>
              <w:keepNext w:val="0"/>
              <w:keepLines w:val="0"/>
              <w:suppressLineNumbers w:val="0"/>
              <w:spacing w:before="0" w:beforeAutospacing="0" w:after="0" w:afterAutospacing="0" w:line="240" w:lineRule="auto"/>
              <w:ind w:left="0" w:right="0" w:firstLine="422" w:firstLineChars="200"/>
              <w:jc w:val="center"/>
              <w:rPr>
                <w:rFonts w:hint="eastAsia" w:ascii="Times New Roman" w:hAnsi="Times New Roman" w:eastAsia="宋体" w:cs="Times New Roman"/>
                <w:b/>
                <w:bCs/>
                <w:color w:val="000000"/>
                <w:kern w:val="0"/>
                <w:sz w:val="21"/>
                <w:szCs w:val="21"/>
                <w:lang w:val="en-US" w:eastAsia="zh-CN" w:bidi="ar-SA"/>
              </w:rPr>
            </w:pPr>
            <w:r>
              <w:rPr>
                <w:rFonts w:hint="eastAsia" w:ascii="Times New Roman" w:hAnsi="Times New Roman" w:eastAsia="宋体" w:cs="Times New Roman"/>
                <w:b/>
                <w:bCs/>
                <w:color w:val="000000"/>
                <w:kern w:val="0"/>
                <w:sz w:val="21"/>
                <w:szCs w:val="21"/>
                <w:lang w:val="en-US" w:eastAsia="zh-CN" w:bidi="ar-SA"/>
              </w:rPr>
              <w:t>现有工程给排水平衡图    单位：m</w:t>
            </w:r>
            <w:r>
              <w:rPr>
                <w:rFonts w:hint="eastAsia" w:ascii="Times New Roman" w:hAnsi="Times New Roman" w:eastAsia="宋体" w:cs="Times New Roman"/>
                <w:b/>
                <w:bCs/>
                <w:color w:val="000000"/>
                <w:kern w:val="0"/>
                <w:sz w:val="21"/>
                <w:szCs w:val="21"/>
                <w:vertAlign w:val="superscript"/>
                <w:lang w:val="en-US" w:eastAsia="zh-CN" w:bidi="ar-SA"/>
              </w:rPr>
              <w:t>3</w:t>
            </w:r>
            <w:r>
              <w:rPr>
                <w:rFonts w:hint="eastAsia" w:ascii="Times New Roman" w:hAnsi="Times New Roman" w:eastAsia="宋体" w:cs="Times New Roman"/>
                <w:b/>
                <w:bCs/>
                <w:color w:val="000000"/>
                <w:kern w:val="0"/>
                <w:sz w:val="21"/>
                <w:szCs w:val="21"/>
                <w:lang w:val="en-US" w:eastAsia="zh-CN" w:bidi="ar-SA"/>
              </w:rPr>
              <w:t>/</w:t>
            </w:r>
            <w:r>
              <w:rPr>
                <w:rFonts w:hint="eastAsia" w:cs="Times New Roman"/>
                <w:b/>
                <w:bCs/>
                <w:color w:val="000000"/>
                <w:kern w:val="0"/>
                <w:sz w:val="21"/>
                <w:szCs w:val="21"/>
                <w:lang w:val="en-US" w:eastAsia="zh-CN" w:bidi="ar-SA"/>
              </w:rPr>
              <w:t>a</w:t>
            </w:r>
          </w:p>
          <w:p w14:paraId="77B2E1EE">
            <w:pPr>
              <w:keepNext w:val="0"/>
              <w:keepLines w:val="0"/>
              <w:suppressLineNumbers w:val="0"/>
              <w:spacing w:before="0" w:beforeAutospacing="0" w:after="0" w:afterAutospacing="0" w:line="360" w:lineRule="auto"/>
              <w:ind w:left="0" w:right="0"/>
              <w:rPr>
                <w:rFonts w:hint="eastAsia" w:ascii="Times New Roman" w:hAnsi="Times New Roman" w:cs="Times New Roman"/>
                <w:b/>
                <w:bCs/>
                <w:sz w:val="24"/>
                <w:szCs w:val="22"/>
                <w:highlight w:val="none"/>
                <w:lang w:val="en-US" w:eastAsia="zh-CN"/>
              </w:rPr>
            </w:pPr>
            <w:r>
              <w:rPr>
                <w:rFonts w:hint="eastAsia" w:ascii="Times New Roman" w:hAnsi="Times New Roman" w:cs="Times New Roman"/>
                <w:b/>
                <w:bCs/>
                <w:sz w:val="24"/>
                <w:szCs w:val="22"/>
                <w:highlight w:val="none"/>
                <w:lang w:val="en-US" w:eastAsia="zh-CN"/>
              </w:rPr>
              <w:t>6.2技改项目给排水</w:t>
            </w:r>
          </w:p>
          <w:p w14:paraId="32935786">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sz w:val="24"/>
                <w:szCs w:val="22"/>
                <w:highlight w:val="none"/>
              </w:rPr>
            </w:pPr>
            <w:r>
              <w:rPr>
                <w:rFonts w:hint="default" w:ascii="Times New Roman" w:hAnsi="Times New Roman" w:cs="Times New Roman"/>
                <w:sz w:val="24"/>
                <w:szCs w:val="22"/>
                <w:highlight w:val="none"/>
              </w:rPr>
              <w:fldChar w:fldCharType="begin"/>
            </w:r>
            <w:r>
              <w:rPr>
                <w:rFonts w:hint="default" w:ascii="Times New Roman" w:hAnsi="Times New Roman" w:cs="Times New Roman"/>
                <w:sz w:val="24"/>
                <w:szCs w:val="22"/>
                <w:highlight w:val="none"/>
              </w:rPr>
              <w:instrText xml:space="preserve">= 1 \* GB3</w:instrText>
            </w:r>
            <w:r>
              <w:rPr>
                <w:rFonts w:hint="default" w:ascii="Times New Roman" w:hAnsi="Times New Roman" w:cs="Times New Roman"/>
                <w:sz w:val="24"/>
                <w:szCs w:val="22"/>
                <w:highlight w:val="none"/>
              </w:rPr>
              <w:fldChar w:fldCharType="separate"/>
            </w:r>
            <w:r>
              <w:rPr>
                <w:rFonts w:hint="eastAsia" w:ascii="宋体" w:hAnsi="宋体" w:cs="宋体"/>
                <w:sz w:val="24"/>
                <w:szCs w:val="22"/>
                <w:highlight w:val="none"/>
              </w:rPr>
              <w:t>①</w:t>
            </w:r>
            <w:r>
              <w:rPr>
                <w:rFonts w:hint="default" w:ascii="Times New Roman" w:hAnsi="Times New Roman" w:cs="Times New Roman"/>
                <w:sz w:val="24"/>
                <w:szCs w:val="22"/>
                <w:highlight w:val="none"/>
              </w:rPr>
              <w:fldChar w:fldCharType="end"/>
            </w:r>
            <w:r>
              <w:rPr>
                <w:rFonts w:hint="default" w:ascii="Times New Roman" w:hAnsi="Times New Roman" w:cs="Times New Roman"/>
                <w:sz w:val="24"/>
                <w:szCs w:val="22"/>
                <w:highlight w:val="none"/>
              </w:rPr>
              <w:t>给水</w:t>
            </w:r>
          </w:p>
          <w:p w14:paraId="25539F0C">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bCs/>
                <w:sz w:val="24"/>
                <w:szCs w:val="22"/>
                <w:highlight w:val="none"/>
                <w:lang w:val="en-US" w:eastAsia="zh-CN"/>
              </w:rPr>
            </w:pPr>
            <w:r>
              <w:rPr>
                <w:rFonts w:hint="eastAsia" w:ascii="Times New Roman" w:hAnsi="Times New Roman" w:eastAsia="宋体" w:cs="Times New Roman"/>
                <w:bCs/>
                <w:sz w:val="24"/>
                <w:szCs w:val="22"/>
                <w:highlight w:val="none"/>
                <w:lang w:val="en-US" w:eastAsia="zh-CN"/>
              </w:rPr>
              <w:t>项目</w:t>
            </w:r>
            <w:r>
              <w:rPr>
                <w:rFonts w:hint="eastAsia" w:cs="Times New Roman"/>
                <w:bCs/>
                <w:sz w:val="24"/>
                <w:szCs w:val="22"/>
                <w:highlight w:val="none"/>
                <w:lang w:val="en-US" w:eastAsia="zh-CN"/>
              </w:rPr>
              <w:t>生产用水为水性油墨配制用纯水（外购）</w:t>
            </w:r>
            <w:r>
              <w:rPr>
                <w:rFonts w:hint="eastAsia" w:ascii="Times New Roman" w:hAnsi="Times New Roman" w:eastAsia="宋体" w:cs="Times New Roman"/>
                <w:bCs/>
                <w:sz w:val="24"/>
                <w:szCs w:val="22"/>
                <w:highlight w:val="none"/>
                <w:lang w:val="en-US" w:eastAsia="zh-CN"/>
              </w:rPr>
              <w:t>，</w:t>
            </w:r>
            <w:r>
              <w:rPr>
                <w:rFonts w:hint="eastAsia"/>
                <w:sz w:val="24"/>
                <w:highlight w:val="none"/>
                <w:lang w:eastAsia="zh-CN"/>
              </w:rPr>
              <w:t>本次增加</w:t>
            </w:r>
            <w:r>
              <w:rPr>
                <w:rFonts w:hint="eastAsia" w:cs="Times New Roman"/>
                <w:bCs/>
                <w:sz w:val="24"/>
                <w:szCs w:val="22"/>
                <w:highlight w:val="none"/>
                <w:lang w:val="en-US" w:eastAsia="zh-CN"/>
              </w:rPr>
              <w:t>水性油墨配制用纯水2t/a，与现有工程合计5t/a；</w:t>
            </w:r>
            <w:r>
              <w:rPr>
                <w:rFonts w:hint="eastAsia" w:ascii="Times New Roman" w:hAnsi="Times New Roman" w:eastAsia="宋体" w:cs="Times New Roman"/>
                <w:bCs/>
                <w:sz w:val="24"/>
                <w:szCs w:val="22"/>
                <w:highlight w:val="none"/>
                <w:lang w:val="en-US" w:eastAsia="zh-CN"/>
              </w:rPr>
              <w:t>无新增</w:t>
            </w:r>
            <w:r>
              <w:rPr>
                <w:rFonts w:hint="default" w:ascii="Times New Roman" w:hAnsi="Times New Roman" w:eastAsia="宋体" w:cs="Times New Roman"/>
                <w:bCs/>
                <w:sz w:val="24"/>
                <w:szCs w:val="22"/>
                <w:highlight w:val="none"/>
                <w:lang w:val="en-GB" w:eastAsia="zh-CN"/>
              </w:rPr>
              <w:t>劳动定员</w:t>
            </w:r>
            <w:r>
              <w:rPr>
                <w:rFonts w:hint="eastAsia" w:ascii="Times New Roman" w:hAnsi="Times New Roman" w:eastAsia="宋体" w:cs="Times New Roman"/>
                <w:bCs/>
                <w:sz w:val="24"/>
                <w:szCs w:val="22"/>
                <w:highlight w:val="none"/>
                <w:lang w:val="en-US" w:eastAsia="zh-CN"/>
              </w:rPr>
              <w:t>，无新增生活用水。</w:t>
            </w:r>
          </w:p>
          <w:p w14:paraId="0FBB4906">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bCs/>
                <w:sz w:val="24"/>
                <w:szCs w:val="22"/>
                <w:highlight w:val="none"/>
                <w:lang w:val="en-GB"/>
              </w:rPr>
            </w:pPr>
            <w:r>
              <w:rPr>
                <w:rFonts w:hint="eastAsia" w:ascii="宋体" w:hAnsi="宋体" w:cs="宋体"/>
                <w:bCs/>
                <w:sz w:val="24"/>
                <w:szCs w:val="22"/>
                <w:highlight w:val="none"/>
                <w:lang w:val="en-GB"/>
              </w:rPr>
              <w:t>②</w:t>
            </w:r>
            <w:r>
              <w:rPr>
                <w:rFonts w:hint="default" w:ascii="Times New Roman" w:hAnsi="Times New Roman" w:cs="Times New Roman"/>
                <w:bCs/>
                <w:sz w:val="24"/>
                <w:szCs w:val="22"/>
                <w:highlight w:val="none"/>
                <w:lang w:val="en-GB"/>
              </w:rPr>
              <w:t>排水</w:t>
            </w:r>
          </w:p>
          <w:p w14:paraId="699C43CF">
            <w:pPr>
              <w:keepNext w:val="0"/>
              <w:keepLines w:val="0"/>
              <w:suppressLineNumbers w:val="0"/>
              <w:spacing w:before="0" w:beforeAutospacing="0" w:after="0" w:afterAutospacing="0" w:line="360" w:lineRule="auto"/>
              <w:ind w:left="0" w:right="0" w:firstLine="480" w:firstLineChars="200"/>
              <w:rPr>
                <w:rFonts w:hint="eastAsia" w:ascii="Times New Roman" w:hAnsi="Times New Roman" w:cs="Times New Roman"/>
                <w:sz w:val="24"/>
                <w:szCs w:val="24"/>
                <w:highlight w:val="none"/>
                <w:lang w:eastAsia="zh-CN"/>
              </w:rPr>
            </w:pPr>
            <w:r>
              <w:rPr>
                <w:rFonts w:hint="eastAsia" w:cs="Times New Roman"/>
                <w:sz w:val="24"/>
                <w:szCs w:val="22"/>
                <w:highlight w:val="none"/>
                <w:lang w:val="en-US" w:eastAsia="zh-CN"/>
              </w:rPr>
              <w:t>水性油墨配制用纯水全部挥发</w:t>
            </w:r>
            <w:r>
              <w:rPr>
                <w:rFonts w:hint="eastAsia" w:cs="Times New Roman"/>
                <w:sz w:val="24"/>
                <w:szCs w:val="22"/>
                <w:highlight w:val="none"/>
                <w:lang w:eastAsia="zh-CN"/>
              </w:rPr>
              <w:t>不</w:t>
            </w:r>
            <w:r>
              <w:rPr>
                <w:rFonts w:hint="eastAsia" w:ascii="Times New Roman" w:hAnsi="Times New Roman" w:cs="Times New Roman"/>
                <w:sz w:val="24"/>
                <w:szCs w:val="22"/>
                <w:highlight w:val="none"/>
                <w:lang w:val="en-US" w:eastAsia="zh-CN"/>
              </w:rPr>
              <w:t>外排</w:t>
            </w:r>
            <w:r>
              <w:rPr>
                <w:rFonts w:hint="eastAsia" w:cs="Times New Roman"/>
                <w:sz w:val="24"/>
                <w:szCs w:val="22"/>
                <w:highlight w:val="none"/>
                <w:lang w:val="en-US" w:eastAsia="zh-CN"/>
              </w:rPr>
              <w:t>；无新增生活污水</w:t>
            </w:r>
            <w:r>
              <w:rPr>
                <w:rFonts w:hint="eastAsia" w:ascii="Times New Roman" w:hAnsi="Times New Roman" w:cs="Times New Roman"/>
                <w:sz w:val="24"/>
                <w:szCs w:val="24"/>
                <w:highlight w:val="none"/>
                <w:lang w:eastAsia="zh-CN"/>
              </w:rPr>
              <w:t>。</w:t>
            </w:r>
          </w:p>
          <w:p w14:paraId="3E6A6F2E">
            <w:pPr>
              <w:keepNext w:val="0"/>
              <w:keepLines w:val="0"/>
              <w:suppressLineNumbers w:val="0"/>
              <w:spacing w:before="0" w:beforeAutospacing="0" w:after="0" w:afterAutospacing="0" w:line="360" w:lineRule="auto"/>
              <w:ind w:left="0" w:right="0" w:firstLine="0" w:firstLineChars="0"/>
              <w:jc w:val="center"/>
              <w:rPr>
                <w:rFonts w:hint="eastAsia" w:ascii="Times New Roman" w:hAnsi="Times New Roman" w:cs="Times New Roman"/>
                <w:sz w:val="24"/>
                <w:szCs w:val="24"/>
                <w:highlight w:val="none"/>
                <w:lang w:eastAsia="zh-CN"/>
              </w:rPr>
            </w:pPr>
            <w:r>
              <w:rPr>
                <w:rFonts w:hint="eastAsia" w:ascii="Times New Roman" w:hAnsi="Times New Roman" w:cs="Times New Roman"/>
                <w:sz w:val="24"/>
                <w:szCs w:val="24"/>
                <w:highlight w:val="none"/>
                <w:lang w:eastAsia="zh-CN"/>
              </w:rPr>
              <w:drawing>
                <wp:inline distT="0" distB="0" distL="114300" distR="114300">
                  <wp:extent cx="4648200" cy="1076325"/>
                  <wp:effectExtent l="0" t="0" r="0" b="9525"/>
                  <wp:docPr id="29" name="图片 29" descr="8453f2508f01bceb656176b1794f49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8453f2508f01bceb656176b1794f49b"/>
                          <pic:cNvPicPr>
                            <a:picLocks noChangeAspect="1"/>
                          </pic:cNvPicPr>
                        </pic:nvPicPr>
                        <pic:blipFill>
                          <a:blip r:embed="rId10"/>
                          <a:stretch>
                            <a:fillRect/>
                          </a:stretch>
                        </pic:blipFill>
                        <pic:spPr>
                          <a:xfrm>
                            <a:off x="0" y="0"/>
                            <a:ext cx="4648200" cy="1076325"/>
                          </a:xfrm>
                          <a:prstGeom prst="rect">
                            <a:avLst/>
                          </a:prstGeom>
                        </pic:spPr>
                      </pic:pic>
                    </a:graphicData>
                  </a:graphic>
                </wp:inline>
              </w:drawing>
            </w:r>
          </w:p>
          <w:p w14:paraId="69DF2601">
            <w:pPr>
              <w:keepNext w:val="0"/>
              <w:keepLines w:val="0"/>
              <w:suppressLineNumbers w:val="0"/>
              <w:spacing w:before="0" w:beforeAutospacing="0" w:after="0" w:afterAutospacing="0" w:line="240" w:lineRule="auto"/>
              <w:ind w:left="0" w:right="0" w:firstLine="422" w:firstLineChars="200"/>
              <w:jc w:val="center"/>
              <w:rPr>
                <w:rFonts w:hint="eastAsia" w:ascii="Times New Roman" w:hAnsi="Times New Roman" w:cs="Times New Roman"/>
                <w:sz w:val="24"/>
                <w:szCs w:val="24"/>
                <w:highlight w:val="none"/>
                <w:lang w:eastAsia="zh-CN"/>
              </w:rPr>
            </w:pPr>
            <w:r>
              <w:rPr>
                <w:rFonts w:hint="eastAsia" w:cs="Times New Roman"/>
                <w:b/>
                <w:bCs/>
                <w:color w:val="000000"/>
                <w:kern w:val="0"/>
                <w:sz w:val="21"/>
                <w:szCs w:val="21"/>
                <w:highlight w:val="none"/>
                <w:lang w:val="en-US" w:eastAsia="zh-CN" w:bidi="ar-SA"/>
              </w:rPr>
              <w:t>技改项目</w:t>
            </w:r>
            <w:r>
              <w:rPr>
                <w:rFonts w:hint="eastAsia" w:ascii="Times New Roman" w:hAnsi="Times New Roman" w:eastAsia="宋体" w:cs="Times New Roman"/>
                <w:b/>
                <w:bCs/>
                <w:color w:val="000000"/>
                <w:kern w:val="0"/>
                <w:sz w:val="21"/>
                <w:szCs w:val="21"/>
                <w:highlight w:val="none"/>
                <w:lang w:val="en-US" w:eastAsia="zh-CN" w:bidi="ar-SA"/>
              </w:rPr>
              <w:t>给排水平衡图    单位：m</w:t>
            </w:r>
            <w:r>
              <w:rPr>
                <w:rFonts w:hint="eastAsia" w:ascii="Times New Roman" w:hAnsi="Times New Roman" w:eastAsia="宋体" w:cs="Times New Roman"/>
                <w:b/>
                <w:bCs/>
                <w:color w:val="000000"/>
                <w:kern w:val="0"/>
                <w:sz w:val="21"/>
                <w:szCs w:val="21"/>
                <w:highlight w:val="none"/>
                <w:vertAlign w:val="superscript"/>
                <w:lang w:val="en-US" w:eastAsia="zh-CN" w:bidi="ar-SA"/>
              </w:rPr>
              <w:t>3</w:t>
            </w:r>
            <w:r>
              <w:rPr>
                <w:rFonts w:hint="eastAsia" w:ascii="Times New Roman" w:hAnsi="Times New Roman" w:eastAsia="宋体" w:cs="Times New Roman"/>
                <w:b/>
                <w:bCs/>
                <w:color w:val="000000"/>
                <w:kern w:val="0"/>
                <w:sz w:val="21"/>
                <w:szCs w:val="21"/>
                <w:highlight w:val="none"/>
                <w:lang w:val="en-US" w:eastAsia="zh-CN" w:bidi="ar-SA"/>
              </w:rPr>
              <w:t>/</w:t>
            </w:r>
            <w:r>
              <w:rPr>
                <w:rFonts w:hint="eastAsia" w:cs="Times New Roman"/>
                <w:b/>
                <w:bCs/>
                <w:color w:val="000000"/>
                <w:kern w:val="0"/>
                <w:sz w:val="21"/>
                <w:szCs w:val="21"/>
                <w:highlight w:val="none"/>
                <w:lang w:val="en-US" w:eastAsia="zh-CN" w:bidi="ar-SA"/>
              </w:rPr>
              <w:t>a</w:t>
            </w:r>
          </w:p>
          <w:p w14:paraId="4054C2D6">
            <w:pPr>
              <w:keepNext w:val="0"/>
              <w:keepLines w:val="0"/>
              <w:suppressLineNumbers w:val="0"/>
              <w:spacing w:before="0" w:beforeAutospacing="0" w:after="0" w:afterAutospacing="0" w:line="360" w:lineRule="auto"/>
              <w:ind w:left="0" w:right="0"/>
              <w:jc w:val="left"/>
              <w:rPr>
                <w:rFonts w:hint="eastAsia" w:ascii="Times New Roman" w:hAnsi="Times New Roman" w:cs="Times New Roman"/>
                <w:b/>
                <w:bCs/>
                <w:sz w:val="24"/>
                <w:szCs w:val="22"/>
                <w:highlight w:val="none"/>
                <w:lang w:val="en-US" w:eastAsia="zh-CN"/>
              </w:rPr>
            </w:pPr>
            <w:r>
              <w:rPr>
                <w:rFonts w:hint="eastAsia" w:ascii="Times New Roman" w:hAnsi="Times New Roman" w:cs="Times New Roman"/>
                <w:b/>
                <w:bCs/>
                <w:sz w:val="24"/>
                <w:szCs w:val="22"/>
                <w:highlight w:val="none"/>
                <w:lang w:val="en-US" w:eastAsia="zh-CN"/>
              </w:rPr>
              <w:t>6.3技改完成后全厂给排水</w:t>
            </w:r>
          </w:p>
          <w:p w14:paraId="32C72030">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sz w:val="24"/>
                <w:szCs w:val="22"/>
                <w:highlight w:val="none"/>
              </w:rPr>
            </w:pPr>
            <w:r>
              <w:rPr>
                <w:rFonts w:hint="default" w:ascii="Times New Roman" w:hAnsi="Times New Roman" w:cs="Times New Roman"/>
                <w:sz w:val="24"/>
                <w:szCs w:val="22"/>
                <w:highlight w:val="none"/>
              </w:rPr>
              <w:fldChar w:fldCharType="begin"/>
            </w:r>
            <w:r>
              <w:rPr>
                <w:rFonts w:hint="default" w:ascii="Times New Roman" w:hAnsi="Times New Roman" w:cs="Times New Roman"/>
                <w:sz w:val="24"/>
                <w:szCs w:val="22"/>
                <w:highlight w:val="none"/>
              </w:rPr>
              <w:instrText xml:space="preserve">= 1 \* GB3</w:instrText>
            </w:r>
            <w:r>
              <w:rPr>
                <w:rFonts w:hint="default" w:ascii="Times New Roman" w:hAnsi="Times New Roman" w:cs="Times New Roman"/>
                <w:sz w:val="24"/>
                <w:szCs w:val="22"/>
                <w:highlight w:val="none"/>
              </w:rPr>
              <w:fldChar w:fldCharType="separate"/>
            </w:r>
            <w:r>
              <w:rPr>
                <w:rFonts w:hint="eastAsia" w:ascii="宋体" w:hAnsi="宋体" w:cs="宋体"/>
                <w:sz w:val="24"/>
                <w:szCs w:val="22"/>
                <w:highlight w:val="none"/>
              </w:rPr>
              <w:t>①</w:t>
            </w:r>
            <w:r>
              <w:rPr>
                <w:rFonts w:hint="default" w:ascii="Times New Roman" w:hAnsi="Times New Roman" w:cs="Times New Roman"/>
                <w:sz w:val="24"/>
                <w:szCs w:val="22"/>
                <w:highlight w:val="none"/>
              </w:rPr>
              <w:fldChar w:fldCharType="end"/>
            </w:r>
            <w:r>
              <w:rPr>
                <w:rFonts w:hint="default" w:ascii="Times New Roman" w:hAnsi="Times New Roman" w:cs="Times New Roman"/>
                <w:sz w:val="24"/>
                <w:szCs w:val="22"/>
                <w:highlight w:val="none"/>
              </w:rPr>
              <w:t>给水</w:t>
            </w:r>
          </w:p>
          <w:p w14:paraId="47C77169">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sz w:val="24"/>
                <w:szCs w:val="22"/>
                <w:highlight w:val="none"/>
                <w:lang w:eastAsia="zh-CN"/>
              </w:rPr>
            </w:pPr>
            <w:r>
              <w:rPr>
                <w:rFonts w:hint="eastAsia" w:cs="Times New Roman"/>
                <w:bCs/>
                <w:sz w:val="24"/>
                <w:szCs w:val="22"/>
                <w:highlight w:val="none"/>
                <w:lang w:val="en-US" w:eastAsia="zh-CN"/>
              </w:rPr>
              <w:t>技改完成后，</w:t>
            </w:r>
            <w:r>
              <w:rPr>
                <w:rFonts w:hint="eastAsia" w:ascii="Times New Roman" w:hAnsi="Times New Roman" w:eastAsia="宋体" w:cs="Times New Roman"/>
                <w:bCs/>
                <w:sz w:val="24"/>
                <w:szCs w:val="22"/>
                <w:highlight w:val="none"/>
                <w:lang w:val="en-US" w:eastAsia="zh-CN"/>
              </w:rPr>
              <w:t>项目</w:t>
            </w:r>
            <w:r>
              <w:rPr>
                <w:rFonts w:hint="eastAsia" w:cs="Times New Roman"/>
                <w:bCs/>
                <w:sz w:val="24"/>
                <w:szCs w:val="22"/>
                <w:highlight w:val="none"/>
                <w:lang w:val="en-US" w:eastAsia="zh-CN"/>
              </w:rPr>
              <w:t>生产用水为水性油墨配制用纯水（外购）5t/a；</w:t>
            </w:r>
            <w:r>
              <w:rPr>
                <w:rFonts w:hint="eastAsia" w:ascii="Times New Roman" w:hAnsi="Times New Roman" w:cs="Times New Roman"/>
                <w:sz w:val="24"/>
                <w:szCs w:val="22"/>
                <w:highlight w:val="none"/>
                <w:lang w:val="en-US" w:eastAsia="zh-CN"/>
              </w:rPr>
              <w:t>生活用水总量为6.2</w:t>
            </w:r>
            <w:r>
              <w:rPr>
                <w:rFonts w:hint="default" w:ascii="Times New Roman" w:hAnsi="Times New Roman" w:eastAsia="宋体" w:cs="Times New Roman"/>
                <w:sz w:val="24"/>
                <w:szCs w:val="22"/>
                <w:highlight w:val="none"/>
                <w:lang w:eastAsia="zh-CN"/>
              </w:rPr>
              <w:t>m</w:t>
            </w:r>
            <w:r>
              <w:rPr>
                <w:rFonts w:hint="default" w:ascii="Times New Roman" w:hAnsi="Times New Roman" w:eastAsia="宋体" w:cs="Times New Roman"/>
                <w:sz w:val="24"/>
                <w:szCs w:val="22"/>
                <w:highlight w:val="none"/>
                <w:vertAlign w:val="superscript"/>
                <w:lang w:eastAsia="zh-CN"/>
              </w:rPr>
              <w:t>3</w:t>
            </w:r>
            <w:r>
              <w:rPr>
                <w:rFonts w:hint="default" w:ascii="Times New Roman" w:hAnsi="Times New Roman" w:eastAsia="宋体" w:cs="Times New Roman"/>
                <w:sz w:val="24"/>
                <w:szCs w:val="22"/>
                <w:highlight w:val="none"/>
                <w:lang w:eastAsia="zh-CN"/>
              </w:rPr>
              <w:t>/d</w:t>
            </w:r>
            <w:r>
              <w:rPr>
                <w:rFonts w:hint="eastAsia" w:ascii="Times New Roman" w:hAnsi="Times New Roman" w:eastAsia="宋体" w:cs="Times New Roman"/>
                <w:sz w:val="24"/>
                <w:szCs w:val="22"/>
                <w:highlight w:val="none"/>
                <w:lang w:eastAsia="zh-CN"/>
              </w:rPr>
              <w:t>（</w:t>
            </w:r>
            <w:r>
              <w:rPr>
                <w:rFonts w:hint="eastAsia" w:ascii="Times New Roman" w:hAnsi="Times New Roman" w:eastAsia="宋体" w:cs="Times New Roman"/>
                <w:sz w:val="24"/>
                <w:szCs w:val="22"/>
                <w:highlight w:val="none"/>
                <w:lang w:val="en-US" w:eastAsia="zh-CN"/>
              </w:rPr>
              <w:t>1860</w:t>
            </w:r>
            <w:r>
              <w:rPr>
                <w:rFonts w:hint="default" w:ascii="Times New Roman" w:hAnsi="Times New Roman" w:eastAsia="宋体" w:cs="Times New Roman"/>
                <w:sz w:val="24"/>
                <w:szCs w:val="22"/>
                <w:highlight w:val="none"/>
                <w:lang w:eastAsia="zh-CN"/>
              </w:rPr>
              <w:t>m</w:t>
            </w:r>
            <w:r>
              <w:rPr>
                <w:rFonts w:hint="default" w:ascii="Times New Roman" w:hAnsi="Times New Roman" w:eastAsia="宋体" w:cs="Times New Roman"/>
                <w:sz w:val="24"/>
                <w:szCs w:val="22"/>
                <w:highlight w:val="none"/>
                <w:vertAlign w:val="superscript"/>
                <w:lang w:eastAsia="zh-CN"/>
              </w:rPr>
              <w:t>3</w:t>
            </w:r>
            <w:r>
              <w:rPr>
                <w:rFonts w:hint="default" w:ascii="Times New Roman" w:hAnsi="Times New Roman" w:eastAsia="宋体" w:cs="Times New Roman"/>
                <w:sz w:val="24"/>
                <w:szCs w:val="22"/>
                <w:highlight w:val="none"/>
                <w:lang w:eastAsia="zh-CN"/>
              </w:rPr>
              <w:t>/</w:t>
            </w:r>
            <w:r>
              <w:rPr>
                <w:rFonts w:hint="eastAsia" w:ascii="Times New Roman" w:hAnsi="Times New Roman" w:eastAsia="宋体" w:cs="Times New Roman"/>
                <w:sz w:val="24"/>
                <w:szCs w:val="22"/>
                <w:highlight w:val="none"/>
                <w:lang w:val="en-US" w:eastAsia="zh-CN"/>
              </w:rPr>
              <w:t>a</w:t>
            </w:r>
            <w:r>
              <w:rPr>
                <w:rFonts w:hint="eastAsia" w:ascii="Times New Roman" w:hAnsi="Times New Roman" w:eastAsia="宋体" w:cs="Times New Roman"/>
                <w:sz w:val="24"/>
                <w:szCs w:val="22"/>
                <w:highlight w:val="none"/>
                <w:lang w:eastAsia="zh-CN"/>
              </w:rPr>
              <w:t>）</w:t>
            </w:r>
          </w:p>
          <w:p w14:paraId="16CCF387">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bCs/>
                <w:sz w:val="24"/>
                <w:szCs w:val="22"/>
                <w:highlight w:val="none"/>
                <w:lang w:val="en-GB"/>
              </w:rPr>
            </w:pPr>
            <w:r>
              <w:rPr>
                <w:rFonts w:hint="eastAsia" w:ascii="宋体" w:hAnsi="宋体" w:cs="宋体"/>
                <w:bCs/>
                <w:sz w:val="24"/>
                <w:szCs w:val="22"/>
                <w:highlight w:val="none"/>
                <w:lang w:val="en-GB"/>
              </w:rPr>
              <w:t>②</w:t>
            </w:r>
            <w:r>
              <w:rPr>
                <w:rFonts w:hint="default" w:ascii="Times New Roman" w:hAnsi="Times New Roman" w:cs="Times New Roman"/>
                <w:bCs/>
                <w:sz w:val="24"/>
                <w:szCs w:val="22"/>
                <w:highlight w:val="none"/>
                <w:lang w:val="en-GB"/>
              </w:rPr>
              <w:t>排水</w:t>
            </w:r>
          </w:p>
          <w:p w14:paraId="41EDDAD9">
            <w:pPr>
              <w:keepNext w:val="0"/>
              <w:keepLines w:val="0"/>
              <w:suppressLineNumbers w:val="0"/>
              <w:spacing w:before="0" w:beforeAutospacing="0" w:after="0" w:afterAutospacing="0" w:line="360" w:lineRule="auto"/>
              <w:ind w:left="0" w:right="0" w:firstLine="480" w:firstLineChars="200"/>
              <w:rPr>
                <w:rFonts w:hint="eastAsia" w:ascii="Times New Roman" w:hAnsi="Times New Roman" w:cs="Times New Roman"/>
                <w:sz w:val="24"/>
                <w:szCs w:val="24"/>
                <w:highlight w:val="none"/>
                <w:lang w:eastAsia="zh-CN"/>
              </w:rPr>
            </w:pPr>
            <w:r>
              <w:rPr>
                <w:rFonts w:hint="eastAsia" w:cs="Times New Roman"/>
                <w:sz w:val="24"/>
                <w:szCs w:val="22"/>
                <w:highlight w:val="none"/>
                <w:lang w:val="en-US" w:eastAsia="zh-CN"/>
              </w:rPr>
              <w:t>水性油墨配制用纯水全部挥发</w:t>
            </w:r>
            <w:r>
              <w:rPr>
                <w:rFonts w:hint="eastAsia" w:cs="Times New Roman"/>
                <w:sz w:val="24"/>
                <w:szCs w:val="22"/>
                <w:highlight w:val="none"/>
                <w:lang w:eastAsia="zh-CN"/>
              </w:rPr>
              <w:t>不</w:t>
            </w:r>
            <w:r>
              <w:rPr>
                <w:rFonts w:hint="eastAsia" w:ascii="Times New Roman" w:hAnsi="Times New Roman" w:cs="Times New Roman"/>
                <w:sz w:val="24"/>
                <w:szCs w:val="22"/>
                <w:highlight w:val="none"/>
                <w:lang w:val="en-US" w:eastAsia="zh-CN"/>
              </w:rPr>
              <w:t>外排</w:t>
            </w:r>
            <w:r>
              <w:rPr>
                <w:rFonts w:hint="eastAsia" w:cs="Times New Roman"/>
                <w:sz w:val="24"/>
                <w:szCs w:val="22"/>
                <w:highlight w:val="none"/>
                <w:lang w:val="en-US" w:eastAsia="zh-CN"/>
              </w:rPr>
              <w:t>；</w:t>
            </w:r>
            <w:r>
              <w:rPr>
                <w:rFonts w:hint="eastAsia" w:ascii="Times New Roman" w:hAnsi="Times New Roman" w:cs="Times New Roman"/>
                <w:sz w:val="24"/>
                <w:szCs w:val="22"/>
                <w:highlight w:val="none"/>
              </w:rPr>
              <w:t>职工</w:t>
            </w:r>
            <w:r>
              <w:rPr>
                <w:rFonts w:hint="default" w:ascii="Times New Roman" w:hAnsi="Times New Roman" w:eastAsia="宋体" w:cs="Times New Roman"/>
                <w:color w:val="auto"/>
                <w:sz w:val="24"/>
                <w:szCs w:val="24"/>
                <w:highlight w:val="none"/>
                <w:lang w:val="en-US" w:eastAsia="zh-CN"/>
              </w:rPr>
              <w:t>生活污水</w:t>
            </w:r>
            <w:r>
              <w:rPr>
                <w:rFonts w:hint="eastAsia" w:cs="Times New Roman"/>
                <w:color w:val="auto"/>
                <w:sz w:val="24"/>
                <w:szCs w:val="24"/>
                <w:highlight w:val="none"/>
                <w:lang w:val="en-US" w:eastAsia="zh-CN"/>
              </w:rPr>
              <w:t>产生量为</w:t>
            </w:r>
            <w:r>
              <w:rPr>
                <w:rFonts w:hint="eastAsia" w:ascii="Times New Roman" w:hAnsi="Times New Roman" w:cs="Times New Roman"/>
                <w:sz w:val="24"/>
                <w:szCs w:val="22"/>
                <w:highlight w:val="none"/>
                <w:lang w:val="en-US" w:eastAsia="zh-CN"/>
              </w:rPr>
              <w:t>5.0</w:t>
            </w:r>
            <w:r>
              <w:rPr>
                <w:rFonts w:hint="default" w:ascii="Times New Roman" w:hAnsi="Times New Roman" w:eastAsia="宋体" w:cs="Times New Roman"/>
                <w:sz w:val="24"/>
                <w:szCs w:val="22"/>
                <w:highlight w:val="none"/>
                <w:lang w:eastAsia="zh-CN"/>
              </w:rPr>
              <w:t>m</w:t>
            </w:r>
            <w:r>
              <w:rPr>
                <w:rFonts w:hint="default" w:ascii="Times New Roman" w:hAnsi="Times New Roman" w:eastAsia="宋体" w:cs="Times New Roman"/>
                <w:sz w:val="24"/>
                <w:szCs w:val="22"/>
                <w:highlight w:val="none"/>
                <w:vertAlign w:val="superscript"/>
                <w:lang w:eastAsia="zh-CN"/>
              </w:rPr>
              <w:t>3</w:t>
            </w:r>
            <w:r>
              <w:rPr>
                <w:rFonts w:hint="default" w:ascii="Times New Roman" w:hAnsi="Times New Roman" w:eastAsia="宋体" w:cs="Times New Roman"/>
                <w:sz w:val="24"/>
                <w:szCs w:val="22"/>
                <w:highlight w:val="none"/>
                <w:lang w:eastAsia="zh-CN"/>
              </w:rPr>
              <w:t>/d</w:t>
            </w:r>
            <w:r>
              <w:rPr>
                <w:rFonts w:hint="eastAsia" w:ascii="Times New Roman" w:hAnsi="Times New Roman" w:eastAsia="宋体" w:cs="Times New Roman"/>
                <w:sz w:val="24"/>
                <w:szCs w:val="22"/>
                <w:highlight w:val="none"/>
                <w:lang w:eastAsia="zh-CN"/>
              </w:rPr>
              <w:t>（</w:t>
            </w:r>
            <w:r>
              <w:rPr>
                <w:rFonts w:hint="eastAsia" w:ascii="Times New Roman" w:hAnsi="Times New Roman" w:cs="Times New Roman"/>
                <w:sz w:val="24"/>
                <w:szCs w:val="22"/>
                <w:highlight w:val="none"/>
                <w:lang w:val="en-US" w:eastAsia="zh-CN"/>
              </w:rPr>
              <w:t>1500</w:t>
            </w:r>
            <w:r>
              <w:rPr>
                <w:rFonts w:hint="default" w:ascii="Times New Roman" w:hAnsi="Times New Roman" w:eastAsia="宋体" w:cs="Times New Roman"/>
                <w:sz w:val="24"/>
                <w:szCs w:val="22"/>
                <w:highlight w:val="none"/>
                <w:lang w:eastAsia="zh-CN"/>
              </w:rPr>
              <w:t>m</w:t>
            </w:r>
            <w:r>
              <w:rPr>
                <w:rFonts w:hint="default" w:ascii="Times New Roman" w:hAnsi="Times New Roman" w:eastAsia="宋体" w:cs="Times New Roman"/>
                <w:sz w:val="24"/>
                <w:szCs w:val="22"/>
                <w:highlight w:val="none"/>
                <w:vertAlign w:val="superscript"/>
                <w:lang w:eastAsia="zh-CN"/>
              </w:rPr>
              <w:t>3</w:t>
            </w:r>
            <w:r>
              <w:rPr>
                <w:rFonts w:hint="default" w:ascii="Times New Roman" w:hAnsi="Times New Roman" w:eastAsia="宋体" w:cs="Times New Roman"/>
                <w:sz w:val="24"/>
                <w:szCs w:val="22"/>
                <w:highlight w:val="none"/>
                <w:lang w:eastAsia="zh-CN"/>
              </w:rPr>
              <w:t>/</w:t>
            </w:r>
            <w:r>
              <w:rPr>
                <w:rFonts w:hint="eastAsia" w:ascii="Times New Roman" w:hAnsi="Times New Roman" w:eastAsia="宋体" w:cs="Times New Roman"/>
                <w:sz w:val="24"/>
                <w:szCs w:val="22"/>
                <w:highlight w:val="none"/>
                <w:lang w:val="en-US" w:eastAsia="zh-CN"/>
              </w:rPr>
              <w:t>a</w:t>
            </w:r>
            <w:r>
              <w:rPr>
                <w:rFonts w:hint="eastAsia" w:ascii="Times New Roman" w:hAnsi="Times New Roman" w:eastAsia="宋体" w:cs="Times New Roman"/>
                <w:sz w:val="24"/>
                <w:szCs w:val="22"/>
                <w:highlight w:val="none"/>
                <w:lang w:eastAsia="zh-CN"/>
              </w:rPr>
              <w:t>）</w:t>
            </w:r>
            <w:r>
              <w:rPr>
                <w:rFonts w:hint="eastAsia" w:cs="Times New Roman"/>
                <w:sz w:val="24"/>
                <w:szCs w:val="22"/>
                <w:highlight w:val="none"/>
                <w:lang w:eastAsia="zh-CN"/>
              </w:rPr>
              <w:t>，</w:t>
            </w:r>
            <w:r>
              <w:rPr>
                <w:rFonts w:hint="eastAsia" w:ascii="Times New Roman" w:hAnsi="Times New Roman" w:cs="Times New Roman"/>
                <w:sz w:val="24"/>
                <w:szCs w:val="24"/>
                <w:highlight w:val="none"/>
              </w:rPr>
              <w:t>经化粪池处理后排入园区污水管网，最终进入</w:t>
            </w:r>
            <w:r>
              <w:rPr>
                <w:rFonts w:hint="default" w:ascii="Times New Roman" w:hAnsi="Times New Roman" w:cs="Times New Roman"/>
                <w:sz w:val="24"/>
                <w:szCs w:val="24"/>
                <w:highlight w:val="none"/>
              </w:rPr>
              <w:t>沧州绿源水处理有限公司临港污水处理厂</w:t>
            </w:r>
            <w:r>
              <w:rPr>
                <w:rFonts w:hint="eastAsia" w:ascii="Times New Roman" w:hAnsi="Times New Roman" w:cs="Times New Roman"/>
                <w:sz w:val="24"/>
                <w:szCs w:val="24"/>
                <w:highlight w:val="none"/>
                <w:lang w:eastAsia="zh-CN"/>
              </w:rPr>
              <w:t>。</w:t>
            </w:r>
          </w:p>
          <w:p w14:paraId="13147956">
            <w:pPr>
              <w:keepNext w:val="0"/>
              <w:keepLines w:val="0"/>
              <w:suppressLineNumbers w:val="0"/>
              <w:spacing w:before="0" w:beforeAutospacing="0" w:after="0" w:afterAutospacing="0" w:line="360" w:lineRule="auto"/>
              <w:ind w:left="0" w:right="0" w:firstLine="0" w:firstLineChars="0"/>
              <w:jc w:val="center"/>
              <w:rPr>
                <w:rFonts w:hint="default" w:ascii="Times New Roman" w:hAnsi="Times New Roman" w:cs="Times New Roman"/>
                <w:b/>
                <w:sz w:val="24"/>
                <w:szCs w:val="32"/>
                <w:highlight w:val="none"/>
              </w:rPr>
            </w:pPr>
            <w:r>
              <w:rPr>
                <w:rFonts w:hint="default"/>
                <w:highlight w:val="none"/>
              </w:rPr>
              <w:drawing>
                <wp:inline distT="0" distB="0" distL="114300" distR="114300">
                  <wp:extent cx="4562475" cy="1952625"/>
                  <wp:effectExtent l="0" t="0" r="9525" b="9525"/>
                  <wp:docPr id="25" name="图片 25" descr="b816dd0c0c6925425e93b1e681d46d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b816dd0c0c6925425e93b1e681d46d4"/>
                          <pic:cNvPicPr>
                            <a:picLocks noChangeAspect="1"/>
                          </pic:cNvPicPr>
                        </pic:nvPicPr>
                        <pic:blipFill>
                          <a:blip r:embed="rId11"/>
                          <a:stretch>
                            <a:fillRect/>
                          </a:stretch>
                        </pic:blipFill>
                        <pic:spPr>
                          <a:xfrm>
                            <a:off x="0" y="0"/>
                            <a:ext cx="4562475" cy="1952625"/>
                          </a:xfrm>
                          <a:prstGeom prst="rect">
                            <a:avLst/>
                          </a:prstGeom>
                        </pic:spPr>
                      </pic:pic>
                    </a:graphicData>
                  </a:graphic>
                </wp:inline>
              </w:drawing>
            </w:r>
          </w:p>
          <w:p w14:paraId="23CCBDB3">
            <w:pPr>
              <w:keepNext w:val="0"/>
              <w:keepLines w:val="0"/>
              <w:suppressLineNumbers w:val="0"/>
              <w:spacing w:before="0" w:beforeAutospacing="0" w:after="0" w:afterAutospacing="0" w:line="240" w:lineRule="auto"/>
              <w:ind w:left="0" w:right="0" w:firstLine="422" w:firstLineChars="200"/>
              <w:jc w:val="center"/>
              <w:rPr>
                <w:rFonts w:hint="eastAsia" w:ascii="Times New Roman" w:hAnsi="Times New Roman" w:eastAsia="宋体" w:cs="Times New Roman"/>
                <w:b/>
                <w:bCs/>
                <w:kern w:val="0"/>
                <w:sz w:val="24"/>
                <w:highlight w:val="yellow"/>
                <w:lang w:val="en-US" w:eastAsia="zh-CN"/>
              </w:rPr>
            </w:pPr>
            <w:r>
              <w:rPr>
                <w:rFonts w:hint="eastAsia" w:ascii="Times New Roman" w:hAnsi="Times New Roman" w:eastAsia="宋体" w:cs="Times New Roman"/>
                <w:b/>
                <w:bCs/>
                <w:color w:val="000000"/>
                <w:kern w:val="0"/>
                <w:sz w:val="21"/>
                <w:szCs w:val="21"/>
                <w:highlight w:val="none"/>
                <w:lang w:val="en-US" w:eastAsia="zh-CN" w:bidi="ar-SA"/>
              </w:rPr>
              <w:t>技改完成后全厂给排水平衡图    单位：m</w:t>
            </w:r>
            <w:r>
              <w:rPr>
                <w:rFonts w:hint="eastAsia" w:ascii="Times New Roman" w:hAnsi="Times New Roman" w:eastAsia="宋体" w:cs="Times New Roman"/>
                <w:b/>
                <w:bCs/>
                <w:color w:val="000000"/>
                <w:kern w:val="0"/>
                <w:sz w:val="21"/>
                <w:szCs w:val="21"/>
                <w:highlight w:val="none"/>
                <w:vertAlign w:val="superscript"/>
                <w:lang w:val="en-US" w:eastAsia="zh-CN" w:bidi="ar-SA"/>
              </w:rPr>
              <w:t>3</w:t>
            </w:r>
            <w:r>
              <w:rPr>
                <w:rFonts w:hint="eastAsia" w:ascii="Times New Roman" w:hAnsi="Times New Roman" w:eastAsia="宋体" w:cs="Times New Roman"/>
                <w:b/>
                <w:bCs/>
                <w:color w:val="000000"/>
                <w:kern w:val="0"/>
                <w:sz w:val="21"/>
                <w:szCs w:val="21"/>
                <w:highlight w:val="none"/>
                <w:lang w:val="en-US" w:eastAsia="zh-CN" w:bidi="ar-SA"/>
              </w:rPr>
              <w:t>/</w:t>
            </w:r>
            <w:r>
              <w:rPr>
                <w:rFonts w:hint="eastAsia" w:cs="Times New Roman"/>
                <w:b/>
                <w:bCs/>
                <w:color w:val="000000"/>
                <w:kern w:val="0"/>
                <w:sz w:val="21"/>
                <w:szCs w:val="21"/>
                <w:highlight w:val="none"/>
                <w:lang w:val="en-US" w:eastAsia="zh-CN" w:bidi="ar-SA"/>
              </w:rPr>
              <w:t>a</w:t>
            </w:r>
          </w:p>
          <w:p w14:paraId="40269ECC">
            <w:pPr>
              <w:keepNext w:val="0"/>
              <w:keepLines w:val="0"/>
              <w:suppressLineNumbers w:val="0"/>
              <w:spacing w:before="0" w:beforeAutospacing="0" w:after="0" w:afterAutospacing="0" w:line="360" w:lineRule="auto"/>
              <w:ind w:left="0" w:right="0"/>
              <w:rPr>
                <w:rFonts w:hint="default" w:ascii="Times New Roman" w:hAnsi="Times New Roman" w:cs="Times New Roman"/>
                <w:b/>
                <w:bCs/>
                <w:sz w:val="24"/>
                <w:szCs w:val="22"/>
              </w:rPr>
            </w:pPr>
            <w:r>
              <w:rPr>
                <w:rFonts w:hint="eastAsia" w:ascii="Times New Roman" w:hAnsi="Times New Roman" w:cs="Times New Roman"/>
                <w:b/>
                <w:bCs/>
                <w:sz w:val="24"/>
                <w:szCs w:val="22"/>
                <w:lang w:val="en-US" w:eastAsia="zh-CN"/>
              </w:rPr>
              <w:t>7、</w:t>
            </w:r>
            <w:r>
              <w:rPr>
                <w:rFonts w:hint="eastAsia" w:ascii="Times New Roman" w:hAnsi="Times New Roman" w:cs="Times New Roman"/>
                <w:b/>
                <w:bCs/>
                <w:sz w:val="24"/>
                <w:szCs w:val="22"/>
              </w:rPr>
              <w:t>供电</w:t>
            </w:r>
          </w:p>
          <w:p w14:paraId="3FFF13ED">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sz w:val="24"/>
                <w:szCs w:val="22"/>
              </w:rPr>
            </w:pPr>
            <w:r>
              <w:rPr>
                <w:rFonts w:hint="eastAsia" w:ascii="Times New Roman" w:hAnsi="Times New Roman" w:cs="Times New Roman"/>
                <w:color w:val="auto"/>
                <w:sz w:val="24"/>
                <w:szCs w:val="22"/>
                <w:lang w:eastAsia="zh-CN"/>
              </w:rPr>
              <w:t>现有工程用电量为</w:t>
            </w:r>
            <w:r>
              <w:rPr>
                <w:rFonts w:hint="eastAsia" w:ascii="Times New Roman" w:hAnsi="Times New Roman" w:cs="Times New Roman"/>
                <w:color w:val="auto"/>
                <w:sz w:val="24"/>
                <w:szCs w:val="22"/>
                <w:lang w:val="en-US" w:eastAsia="zh-CN"/>
              </w:rPr>
              <w:t>1211.7</w:t>
            </w:r>
            <w:r>
              <w:rPr>
                <w:rFonts w:hint="eastAsia" w:ascii="Times New Roman" w:hAnsi="Times New Roman" w:cs="Times New Roman"/>
                <w:color w:val="auto"/>
                <w:sz w:val="24"/>
                <w:szCs w:val="22"/>
              </w:rPr>
              <w:t>万</w:t>
            </w:r>
            <w:r>
              <w:rPr>
                <w:rFonts w:hint="default" w:ascii="Times New Roman" w:hAnsi="Times New Roman" w:eastAsia="宋体" w:cs="Times New Roman"/>
                <w:color w:val="auto"/>
                <w:sz w:val="24"/>
                <w:szCs w:val="24"/>
                <w:highlight w:val="none"/>
                <w:lang w:eastAsia="zh-CN"/>
              </w:rPr>
              <w:t>kW·h</w:t>
            </w:r>
            <w:r>
              <w:rPr>
                <w:rFonts w:hint="eastAsia" w:ascii="Times New Roman" w:hAnsi="Times New Roman" w:cs="Times New Roman"/>
                <w:color w:val="auto"/>
                <w:sz w:val="24"/>
                <w:szCs w:val="22"/>
                <w:lang w:eastAsia="zh-CN"/>
              </w:rPr>
              <w:t>，</w:t>
            </w:r>
            <w:r>
              <w:rPr>
                <w:rFonts w:hint="eastAsia" w:ascii="Times New Roman" w:hAnsi="Times New Roman" w:cs="Times New Roman"/>
                <w:color w:val="auto"/>
                <w:sz w:val="24"/>
                <w:szCs w:val="22"/>
                <w:lang w:val="en-US" w:eastAsia="zh-CN"/>
              </w:rPr>
              <w:t>技改项目洁净车间</w:t>
            </w:r>
            <w:r>
              <w:rPr>
                <w:rFonts w:hint="eastAsia" w:ascii="Times New Roman" w:hAnsi="Times New Roman" w:cs="Times New Roman"/>
                <w:color w:val="auto"/>
                <w:sz w:val="24"/>
                <w:szCs w:val="22"/>
              </w:rPr>
              <w:t>年用电量为</w:t>
            </w:r>
            <w:r>
              <w:rPr>
                <w:rFonts w:hint="eastAsia" w:ascii="Times New Roman" w:hAnsi="Times New Roman" w:cs="Times New Roman"/>
                <w:color w:val="auto"/>
                <w:sz w:val="24"/>
                <w:szCs w:val="22"/>
                <w:lang w:val="en-US" w:eastAsia="zh-CN"/>
              </w:rPr>
              <w:t>300万</w:t>
            </w:r>
            <w:r>
              <w:rPr>
                <w:rFonts w:hint="default" w:ascii="Times New Roman" w:hAnsi="Times New Roman" w:eastAsia="宋体" w:cs="Times New Roman"/>
                <w:color w:val="auto"/>
                <w:sz w:val="24"/>
                <w:szCs w:val="24"/>
                <w:highlight w:val="none"/>
                <w:lang w:eastAsia="zh-CN"/>
              </w:rPr>
              <w:t>kW·h</w:t>
            </w:r>
            <w:r>
              <w:rPr>
                <w:rFonts w:hint="eastAsia" w:ascii="Times New Roman" w:hAnsi="Times New Roman" w:cs="Times New Roman"/>
                <w:color w:val="auto"/>
                <w:sz w:val="24"/>
                <w:szCs w:val="22"/>
              </w:rPr>
              <w:t>，</w:t>
            </w:r>
            <w:r>
              <w:rPr>
                <w:rFonts w:hint="eastAsia" w:ascii="Times New Roman" w:hAnsi="Times New Roman" w:cs="Times New Roman"/>
                <w:color w:val="auto"/>
                <w:sz w:val="24"/>
                <w:szCs w:val="22"/>
                <w:lang w:eastAsia="zh-CN"/>
              </w:rPr>
              <w:t>技改完成后全厂用电量为</w:t>
            </w:r>
            <w:r>
              <w:rPr>
                <w:rFonts w:hint="eastAsia" w:ascii="Times New Roman" w:hAnsi="Times New Roman" w:cs="Times New Roman"/>
                <w:color w:val="auto"/>
                <w:sz w:val="24"/>
                <w:szCs w:val="22"/>
                <w:lang w:val="en-US" w:eastAsia="zh-CN"/>
              </w:rPr>
              <w:t>1511.7</w:t>
            </w:r>
            <w:r>
              <w:rPr>
                <w:rFonts w:hint="eastAsia" w:ascii="Times New Roman" w:hAnsi="Times New Roman" w:cs="Times New Roman"/>
                <w:color w:val="auto"/>
                <w:sz w:val="24"/>
                <w:szCs w:val="22"/>
              </w:rPr>
              <w:t>万</w:t>
            </w:r>
            <w:r>
              <w:rPr>
                <w:rFonts w:hint="default" w:ascii="Times New Roman" w:hAnsi="Times New Roman" w:eastAsia="宋体" w:cs="Times New Roman"/>
                <w:color w:val="auto"/>
                <w:sz w:val="24"/>
                <w:szCs w:val="24"/>
                <w:highlight w:val="none"/>
                <w:lang w:eastAsia="zh-CN"/>
              </w:rPr>
              <w:t>kW·h</w:t>
            </w:r>
            <w:r>
              <w:rPr>
                <w:rFonts w:hint="eastAsia" w:ascii="Times New Roman" w:hAnsi="Times New Roman" w:cs="Times New Roman"/>
                <w:color w:val="auto"/>
                <w:sz w:val="24"/>
                <w:szCs w:val="22"/>
                <w:lang w:eastAsia="zh-CN"/>
              </w:rPr>
              <w:t>，</w:t>
            </w:r>
            <w:r>
              <w:rPr>
                <w:rFonts w:hint="eastAsia" w:ascii="Times New Roman" w:hAnsi="Times New Roman" w:cs="Times New Roman"/>
                <w:sz w:val="24"/>
                <w:szCs w:val="22"/>
                <w:lang w:val="en-US" w:eastAsia="zh-CN"/>
              </w:rPr>
              <w:t>项目</w:t>
            </w:r>
            <w:r>
              <w:rPr>
                <w:rFonts w:hint="eastAsia" w:ascii="Times New Roman" w:hAnsi="Times New Roman" w:cs="Times New Roman"/>
                <w:sz w:val="24"/>
                <w:szCs w:val="22"/>
              </w:rPr>
              <w:t>用电</w:t>
            </w:r>
            <w:r>
              <w:rPr>
                <w:rFonts w:hint="eastAsia" w:ascii="Times New Roman" w:hAnsi="Times New Roman" w:cs="Times New Roman"/>
                <w:sz w:val="24"/>
                <w:szCs w:val="22"/>
                <w:lang w:eastAsia="zh-CN"/>
              </w:rPr>
              <w:t>由沧州临港经济技术开发区西区</w:t>
            </w:r>
            <w:r>
              <w:rPr>
                <w:rFonts w:hint="eastAsia" w:cs="Times New Roman"/>
                <w:sz w:val="24"/>
                <w:szCs w:val="22"/>
                <w:lang w:eastAsia="zh-CN"/>
              </w:rPr>
              <w:t>供电系统</w:t>
            </w:r>
            <w:r>
              <w:rPr>
                <w:rFonts w:hint="eastAsia" w:ascii="Times New Roman" w:hAnsi="Times New Roman" w:cs="Times New Roman"/>
                <w:sz w:val="24"/>
                <w:szCs w:val="22"/>
              </w:rPr>
              <w:t>提供</w:t>
            </w:r>
            <w:r>
              <w:rPr>
                <w:rFonts w:hint="eastAsia" w:ascii="Times New Roman" w:hAnsi="Times New Roman" w:cs="Times New Roman"/>
                <w:sz w:val="24"/>
                <w:szCs w:val="22"/>
                <w:lang w:eastAsia="zh-CN"/>
              </w:rPr>
              <w:t>，</w:t>
            </w:r>
            <w:r>
              <w:rPr>
                <w:rFonts w:hint="eastAsia" w:ascii="Times New Roman" w:hAnsi="Times New Roman" w:cs="Times New Roman"/>
                <w:sz w:val="24"/>
                <w:szCs w:val="22"/>
              </w:rPr>
              <w:t>能够满足项目用电需求。</w:t>
            </w:r>
          </w:p>
          <w:p w14:paraId="18C66394">
            <w:pPr>
              <w:keepNext w:val="0"/>
              <w:keepLines w:val="0"/>
              <w:suppressLineNumbers w:val="0"/>
              <w:spacing w:before="0" w:beforeAutospacing="0" w:after="0" w:afterAutospacing="0" w:line="360" w:lineRule="auto"/>
              <w:ind w:left="0" w:right="0"/>
              <w:rPr>
                <w:rFonts w:hint="default" w:ascii="Times New Roman" w:hAnsi="Times New Roman" w:cs="Times New Roman"/>
                <w:b/>
                <w:bCs/>
                <w:sz w:val="24"/>
                <w:szCs w:val="22"/>
              </w:rPr>
            </w:pPr>
            <w:r>
              <w:rPr>
                <w:rFonts w:hint="eastAsia" w:ascii="Times New Roman" w:hAnsi="Times New Roman" w:cs="Times New Roman"/>
                <w:b/>
                <w:bCs/>
                <w:sz w:val="24"/>
                <w:szCs w:val="22"/>
                <w:lang w:val="en-US" w:eastAsia="zh-CN"/>
              </w:rPr>
              <w:t>8</w:t>
            </w:r>
            <w:r>
              <w:rPr>
                <w:rFonts w:hint="default" w:ascii="Times New Roman" w:hAnsi="Times New Roman" w:cs="Times New Roman"/>
                <w:b/>
                <w:bCs/>
                <w:sz w:val="24"/>
                <w:szCs w:val="22"/>
              </w:rPr>
              <w:t>、劳动定员及工作制度</w:t>
            </w:r>
          </w:p>
          <w:p w14:paraId="20E423BB">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sz w:val="24"/>
                <w:szCs w:val="22"/>
              </w:rPr>
            </w:pPr>
            <w:r>
              <w:rPr>
                <w:rFonts w:hint="eastAsia" w:ascii="Times New Roman" w:hAnsi="Times New Roman" w:cs="Times New Roman"/>
                <w:sz w:val="24"/>
                <w:szCs w:val="22"/>
                <w:lang w:val="en-US" w:eastAsia="zh-CN"/>
              </w:rPr>
              <w:t>技改项目无新增</w:t>
            </w:r>
            <w:r>
              <w:rPr>
                <w:rFonts w:hint="default" w:ascii="Times New Roman" w:hAnsi="Times New Roman" w:cs="Times New Roman"/>
                <w:sz w:val="24"/>
                <w:szCs w:val="22"/>
              </w:rPr>
              <w:t>劳动定员，</w:t>
            </w:r>
            <w:r>
              <w:rPr>
                <w:rFonts w:hint="eastAsia" w:ascii="Times New Roman" w:hAnsi="Times New Roman" w:cs="Times New Roman"/>
                <w:sz w:val="24"/>
                <w:szCs w:val="22"/>
                <w:lang w:eastAsia="zh-CN"/>
              </w:rPr>
              <w:t>项目洁净车间所需工人由现有员工调剂，全厂劳动定员仍为</w:t>
            </w:r>
            <w:r>
              <w:rPr>
                <w:rFonts w:hint="eastAsia" w:ascii="Times New Roman" w:hAnsi="Times New Roman" w:cs="Times New Roman"/>
                <w:sz w:val="24"/>
                <w:szCs w:val="22"/>
                <w:lang w:val="en-US" w:eastAsia="zh-CN"/>
              </w:rPr>
              <w:t>56人，</w:t>
            </w:r>
            <w:r>
              <w:rPr>
                <w:rFonts w:hint="default" w:ascii="Times New Roman" w:hAnsi="Times New Roman" w:cs="Times New Roman"/>
                <w:sz w:val="24"/>
                <w:szCs w:val="22"/>
              </w:rPr>
              <w:t>年工作日300天，实行</w:t>
            </w:r>
            <w:r>
              <w:rPr>
                <w:rFonts w:hint="eastAsia" w:ascii="Times New Roman" w:hAnsi="Times New Roman" w:cs="Times New Roman"/>
                <w:sz w:val="24"/>
                <w:szCs w:val="22"/>
                <w:lang w:val="en-US" w:eastAsia="zh-CN"/>
              </w:rPr>
              <w:t>3</w:t>
            </w:r>
            <w:r>
              <w:rPr>
                <w:rFonts w:hint="eastAsia" w:ascii="Times New Roman" w:hAnsi="Times New Roman" w:cs="Times New Roman"/>
                <w:sz w:val="24"/>
                <w:szCs w:val="22"/>
              </w:rPr>
              <w:t>班工作制度，每班8</w:t>
            </w:r>
            <w:r>
              <w:rPr>
                <w:rFonts w:hint="default" w:ascii="Times New Roman" w:hAnsi="Times New Roman" w:cs="Times New Roman"/>
                <w:sz w:val="24"/>
                <w:szCs w:val="22"/>
              </w:rPr>
              <w:t>h。</w:t>
            </w:r>
          </w:p>
          <w:p w14:paraId="569DD5A4">
            <w:pPr>
              <w:keepNext w:val="0"/>
              <w:keepLines w:val="0"/>
              <w:suppressLineNumbers w:val="0"/>
              <w:spacing w:before="0" w:beforeAutospacing="0" w:after="0" w:afterAutospacing="0" w:line="360" w:lineRule="auto"/>
              <w:ind w:left="0" w:right="0"/>
              <w:rPr>
                <w:rFonts w:hint="default" w:ascii="Times New Roman" w:hAnsi="Times New Roman" w:cs="Times New Roman"/>
                <w:b/>
                <w:bCs/>
                <w:sz w:val="24"/>
                <w:szCs w:val="22"/>
              </w:rPr>
            </w:pPr>
            <w:r>
              <w:rPr>
                <w:rFonts w:hint="eastAsia" w:ascii="Times New Roman" w:hAnsi="Times New Roman" w:cs="Times New Roman"/>
                <w:b/>
                <w:bCs/>
                <w:sz w:val="24"/>
                <w:szCs w:val="22"/>
                <w:lang w:val="en-US" w:eastAsia="zh-CN"/>
              </w:rPr>
              <w:t>9</w:t>
            </w:r>
            <w:r>
              <w:rPr>
                <w:rFonts w:hint="default" w:ascii="Times New Roman" w:hAnsi="Times New Roman" w:cs="Times New Roman"/>
                <w:b/>
                <w:bCs/>
                <w:sz w:val="24"/>
                <w:szCs w:val="22"/>
              </w:rPr>
              <w:t>、厂区平面布置</w:t>
            </w:r>
          </w:p>
          <w:p w14:paraId="333F541B">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lang w:val="en-US" w:eastAsia="zh-CN"/>
              </w:rPr>
            </w:pPr>
            <w:r>
              <w:rPr>
                <w:rFonts w:hint="eastAsia" w:ascii="Times New Roman" w:hAnsi="Times New Roman" w:cs="Times New Roman"/>
                <w:snapToGrid w:val="0"/>
                <w:kern w:val="0"/>
                <w:sz w:val="24"/>
                <w:highlight w:val="none"/>
                <w:lang w:val="en-US" w:eastAsia="zh-CN"/>
              </w:rPr>
              <w:t>企业大门位于厂区东侧，生产车间位于厂区西部，危废间</w:t>
            </w:r>
            <w:r>
              <w:rPr>
                <w:rFonts w:hint="eastAsia" w:cs="Times New Roman"/>
                <w:snapToGrid w:val="0"/>
                <w:kern w:val="0"/>
                <w:sz w:val="24"/>
                <w:highlight w:val="none"/>
                <w:lang w:val="en-US" w:eastAsia="zh-CN"/>
              </w:rPr>
              <w:t>（依托）</w:t>
            </w:r>
            <w:r>
              <w:rPr>
                <w:rFonts w:hint="eastAsia" w:ascii="Times New Roman" w:hAnsi="Times New Roman" w:cs="Times New Roman"/>
                <w:snapToGrid w:val="0"/>
                <w:kern w:val="0"/>
                <w:sz w:val="24"/>
                <w:highlight w:val="none"/>
                <w:lang w:val="en-US" w:eastAsia="zh-CN"/>
              </w:rPr>
              <w:t>位于厂区西南部，生产车间外西南侧，一般固废间</w:t>
            </w:r>
            <w:r>
              <w:rPr>
                <w:rFonts w:hint="eastAsia" w:cs="Times New Roman"/>
                <w:snapToGrid w:val="0"/>
                <w:kern w:val="0"/>
                <w:sz w:val="24"/>
                <w:highlight w:val="none"/>
                <w:lang w:val="en-US" w:eastAsia="zh-CN"/>
              </w:rPr>
              <w:t>（依托）</w:t>
            </w:r>
            <w:r>
              <w:rPr>
                <w:rFonts w:hint="eastAsia" w:ascii="Times New Roman" w:hAnsi="Times New Roman" w:cs="Times New Roman"/>
                <w:snapToGrid w:val="0"/>
                <w:kern w:val="0"/>
                <w:sz w:val="24"/>
                <w:highlight w:val="none"/>
                <w:lang w:val="en-US" w:eastAsia="zh-CN"/>
              </w:rPr>
              <w:t>位于厂区南部，生产车间</w:t>
            </w:r>
            <w:r>
              <w:rPr>
                <w:rFonts w:hint="eastAsia" w:cs="Times New Roman"/>
                <w:snapToGrid w:val="0"/>
                <w:kern w:val="0"/>
                <w:sz w:val="24"/>
                <w:highlight w:val="none"/>
                <w:lang w:val="en-US" w:eastAsia="zh-CN"/>
              </w:rPr>
              <w:t>外</w:t>
            </w:r>
            <w:r>
              <w:rPr>
                <w:rFonts w:hint="eastAsia" w:ascii="Times New Roman" w:hAnsi="Times New Roman" w:cs="Times New Roman"/>
                <w:snapToGrid w:val="0"/>
                <w:kern w:val="0"/>
                <w:sz w:val="24"/>
                <w:highlight w:val="none"/>
                <w:lang w:val="en-US" w:eastAsia="zh-CN"/>
              </w:rPr>
              <w:t>南侧。技改项目洁净车间在现有工程生产车间</w:t>
            </w:r>
            <w:r>
              <w:rPr>
                <w:rFonts w:hint="eastAsia" w:ascii="Times New Roman" w:hAnsi="Times New Roman" w:eastAsia="宋体" w:cs="Times New Roman"/>
                <w:snapToGrid w:val="0"/>
                <w:kern w:val="0"/>
                <w:sz w:val="24"/>
                <w:highlight w:val="none"/>
                <w:lang w:val="en-US" w:eastAsia="zh-CN"/>
              </w:rPr>
              <w:t>内</w:t>
            </w:r>
            <w:r>
              <w:rPr>
                <w:rFonts w:hint="eastAsia" w:ascii="Times New Roman" w:hAnsi="Times New Roman" w:cs="Times New Roman"/>
                <w:snapToGrid w:val="0"/>
                <w:kern w:val="0"/>
                <w:sz w:val="24"/>
                <w:highlight w:val="none"/>
                <w:lang w:val="en-US" w:eastAsia="zh-CN"/>
              </w:rPr>
              <w:t>进行建设，</w:t>
            </w:r>
            <w:r>
              <w:rPr>
                <w:rFonts w:hint="eastAsia" w:ascii="Times New Roman" w:hAnsi="Times New Roman" w:cs="Times New Roman"/>
                <w:snapToGrid w:val="0"/>
                <w:kern w:val="0"/>
                <w:sz w:val="24"/>
                <w:highlight w:val="none"/>
              </w:rPr>
              <w:t>项目生产车间内进行</w:t>
            </w:r>
            <w:r>
              <w:rPr>
                <w:rFonts w:hint="default" w:ascii="Times New Roman" w:hAnsi="Times New Roman" w:cs="Times New Roman"/>
                <w:bCs/>
                <w:snapToGrid w:val="0"/>
                <w:kern w:val="0"/>
                <w:sz w:val="24"/>
                <w:highlight w:val="none"/>
              </w:rPr>
              <w:t>功能分区</w:t>
            </w:r>
            <w:r>
              <w:rPr>
                <w:rFonts w:hint="eastAsia" w:ascii="Times New Roman" w:hAnsi="Times New Roman" w:cs="Times New Roman"/>
                <w:bCs/>
                <w:snapToGrid w:val="0"/>
                <w:kern w:val="0"/>
                <w:sz w:val="24"/>
                <w:highlight w:val="none"/>
              </w:rPr>
              <w:t>，</w:t>
            </w:r>
            <w:r>
              <w:rPr>
                <w:rFonts w:hint="default" w:ascii="Times New Roman" w:hAnsi="Times New Roman" w:cs="Times New Roman"/>
                <w:snapToGrid w:val="0"/>
                <w:kern w:val="0"/>
                <w:sz w:val="24"/>
                <w:highlight w:val="none"/>
              </w:rPr>
              <w:t>整个厂区构建筑物布局合理，生产区域的布局顺应工艺流程，减少生产流程的迂回、往返，</w:t>
            </w:r>
            <w:r>
              <w:rPr>
                <w:rFonts w:hint="eastAsia" w:ascii="Times New Roman" w:hAnsi="Times New Roman" w:cs="Times New Roman"/>
                <w:snapToGrid w:val="0"/>
                <w:kern w:val="0"/>
                <w:sz w:val="24"/>
                <w:highlight w:val="none"/>
                <w:lang w:eastAsia="zh-CN"/>
              </w:rPr>
              <w:t>提高车间洁净程度，</w:t>
            </w:r>
            <w:r>
              <w:rPr>
                <w:rFonts w:hint="default" w:ascii="Times New Roman" w:hAnsi="Times New Roman" w:cs="Times New Roman"/>
                <w:snapToGrid w:val="0"/>
                <w:kern w:val="0"/>
                <w:sz w:val="24"/>
                <w:highlight w:val="none"/>
              </w:rPr>
              <w:t>有利于生产。</w:t>
            </w:r>
          </w:p>
        </w:tc>
      </w:tr>
      <w:tr w14:paraId="55EE679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450" w:hRule="atLeast"/>
          <w:jc w:val="center"/>
        </w:trPr>
        <w:tc>
          <w:tcPr>
            <w:tcW w:w="496" w:type="dxa"/>
            <w:tcBorders>
              <w:left w:val="single" w:color="auto" w:sz="4" w:space="0"/>
            </w:tcBorders>
            <w:noWrap w:val="0"/>
            <w:vAlign w:val="center"/>
          </w:tcPr>
          <w:p w14:paraId="2FC07D90">
            <w:pPr>
              <w:pStyle w:val="34"/>
              <w:keepNext w:val="0"/>
              <w:keepLines w:val="0"/>
              <w:suppressLineNumbers w:val="0"/>
              <w:adjustRightInd w:val="0"/>
              <w:snapToGrid w:val="0"/>
              <w:spacing w:before="0" w:beforeAutospacing="0" w:after="0" w:afterAutospacing="0" w:line="360" w:lineRule="auto"/>
              <w:ind w:left="0" w:right="0"/>
              <w:jc w:val="center"/>
              <w:rPr>
                <w:rFonts w:hint="default" w:ascii="Times New Roman" w:hAnsi="Times New Roman" w:cs="Times New Roman"/>
                <w:b/>
                <w:szCs w:val="24"/>
                <w:lang w:val="en-US" w:eastAsia="zh-CN"/>
              </w:rPr>
            </w:pPr>
            <w:r>
              <w:rPr>
                <w:rFonts w:hint="default" w:ascii="Times New Roman" w:hAnsi="Times New Roman" w:cs="Times New Roman"/>
                <w:b/>
                <w:szCs w:val="24"/>
                <w:lang w:val="en-US" w:eastAsia="zh-CN"/>
              </w:rPr>
              <w:t>工艺流程和产排污环节</w:t>
            </w:r>
          </w:p>
        </w:tc>
        <w:tc>
          <w:tcPr>
            <w:tcW w:w="8488" w:type="dxa"/>
            <w:tcBorders>
              <w:right w:val="single" w:color="auto" w:sz="4" w:space="0"/>
            </w:tcBorders>
            <w:noWrap w:val="0"/>
            <w:vAlign w:val="top"/>
          </w:tcPr>
          <w:p w14:paraId="5DE27878">
            <w:pPr>
              <w:pStyle w:val="231"/>
              <w:keepNext w:val="0"/>
              <w:keepLines w:val="0"/>
              <w:suppressLineNumbers w:val="0"/>
              <w:spacing w:before="0" w:beforeLines="0" w:beforeAutospacing="0" w:after="0" w:afterAutospacing="0" w:line="360" w:lineRule="auto"/>
              <w:ind w:left="0" w:right="0"/>
              <w:jc w:val="both"/>
              <w:rPr>
                <w:rFonts w:hint="default" w:ascii="Times New Roman" w:hAnsi="Times New Roman"/>
                <w:b/>
                <w:sz w:val="24"/>
                <w:lang w:eastAsia="zh-CN"/>
              </w:rPr>
            </w:pPr>
            <w:r>
              <w:rPr>
                <w:rFonts w:hint="default" w:ascii="Times New Roman" w:hAnsi="Times New Roman"/>
                <w:b/>
                <w:sz w:val="24"/>
                <w:lang w:eastAsia="zh-CN"/>
              </w:rPr>
              <w:t>1、施工期</w:t>
            </w:r>
          </w:p>
          <w:p w14:paraId="25431CA9">
            <w:pPr>
              <w:pStyle w:val="231"/>
              <w:keepNext w:val="0"/>
              <w:keepLines w:val="0"/>
              <w:suppressLineNumbers w:val="0"/>
              <w:spacing w:before="0" w:beforeAutospacing="0" w:after="0" w:afterAutospacing="0" w:line="360" w:lineRule="auto"/>
              <w:ind w:left="0" w:right="0" w:firstLine="440" w:firstLineChars="200"/>
              <w:jc w:val="both"/>
              <w:rPr>
                <w:rFonts w:hint="eastAsia" w:ascii="Times New Roman" w:hAnsi="Times New Roman"/>
                <w:sz w:val="24"/>
                <w:lang w:eastAsia="zh-CN"/>
              </w:rPr>
            </w:pPr>
            <w:r>
              <w:rPr>
                <w:rFonts w:hint="default"/>
                <w:color w:val="000000"/>
                <w:szCs w:val="24"/>
                <w:lang w:val="en-US" w:eastAsia="zh-CN"/>
              </w:rPr>
              <w:drawing>
                <wp:anchor distT="0" distB="0" distL="114300" distR="114300" simplePos="0" relativeHeight="251664384" behindDoc="0" locked="0" layoutInCell="1" allowOverlap="1">
                  <wp:simplePos x="0" y="0"/>
                  <wp:positionH relativeFrom="column">
                    <wp:posOffset>184150</wp:posOffset>
                  </wp:positionH>
                  <wp:positionV relativeFrom="paragraph">
                    <wp:posOffset>790575</wp:posOffset>
                  </wp:positionV>
                  <wp:extent cx="5055870" cy="1294765"/>
                  <wp:effectExtent l="0" t="0" r="11430" b="635"/>
                  <wp:wrapNone/>
                  <wp:docPr id="5" name="图片 5" descr="6c89642c64c7741bedfcf4c48ebc5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6c89642c64c7741bedfcf4c48ebc550"/>
                          <pic:cNvPicPr>
                            <a:picLocks noChangeAspect="1"/>
                          </pic:cNvPicPr>
                        </pic:nvPicPr>
                        <pic:blipFill>
                          <a:blip r:embed="rId12"/>
                          <a:stretch>
                            <a:fillRect/>
                          </a:stretch>
                        </pic:blipFill>
                        <pic:spPr>
                          <a:xfrm>
                            <a:off x="0" y="0"/>
                            <a:ext cx="5055870" cy="1294765"/>
                          </a:xfrm>
                          <a:prstGeom prst="rect">
                            <a:avLst/>
                          </a:prstGeom>
                        </pic:spPr>
                      </pic:pic>
                    </a:graphicData>
                  </a:graphic>
                </wp:anchor>
              </w:drawing>
            </w:r>
            <w:r>
              <w:rPr>
                <w:rFonts w:hint="eastAsia" w:ascii="Times New Roman" w:hAnsi="Times New Roman"/>
                <w:sz w:val="24"/>
                <w:lang w:eastAsia="zh-CN"/>
              </w:rPr>
              <w:t>本项目</w:t>
            </w:r>
            <w:r>
              <w:rPr>
                <w:rFonts w:hint="eastAsia" w:ascii="Times New Roman" w:hAnsi="Times New Roman"/>
                <w:sz w:val="24"/>
                <w:lang w:val="en-US" w:eastAsia="zh-CN"/>
              </w:rPr>
              <w:t>利用原有车间进行改造，</w:t>
            </w:r>
            <w:r>
              <w:rPr>
                <w:rFonts w:hint="eastAsia" w:ascii="Times New Roman" w:hAnsi="Times New Roman"/>
                <w:sz w:val="24"/>
                <w:lang w:eastAsia="zh-CN"/>
              </w:rPr>
              <w:t>施工期涉及防渗层改造，并进行功能分区和生产设备安装，即可满足生产要求。本项目施工期污染源主要为扬尘、建筑垃圾、生活污水、施工噪声和生活垃圾等。</w:t>
            </w:r>
          </w:p>
          <w:p w14:paraId="02B8CCEE">
            <w:pPr>
              <w:pStyle w:val="231"/>
              <w:keepNext w:val="0"/>
              <w:keepLines w:val="0"/>
              <w:suppressLineNumbers w:val="0"/>
              <w:spacing w:before="0" w:beforeAutospacing="0" w:after="0" w:afterAutospacing="0" w:line="480" w:lineRule="exact"/>
              <w:ind w:left="0" w:right="0" w:firstLine="480" w:firstLineChars="200"/>
              <w:jc w:val="both"/>
              <w:rPr>
                <w:rFonts w:hint="eastAsia" w:ascii="Times New Roman" w:hAnsi="Times New Roman"/>
                <w:sz w:val="24"/>
                <w:lang w:eastAsia="zh-CN"/>
              </w:rPr>
            </w:pPr>
          </w:p>
          <w:p w14:paraId="1D86FABC">
            <w:pPr>
              <w:pStyle w:val="231"/>
              <w:keepNext w:val="0"/>
              <w:keepLines w:val="0"/>
              <w:suppressLineNumbers w:val="0"/>
              <w:spacing w:before="0" w:beforeAutospacing="0" w:after="0" w:afterAutospacing="0" w:line="480" w:lineRule="exact"/>
              <w:ind w:left="0" w:right="0" w:firstLine="480" w:firstLineChars="200"/>
              <w:jc w:val="both"/>
              <w:rPr>
                <w:rFonts w:hint="eastAsia" w:ascii="Times New Roman" w:hAnsi="Times New Roman"/>
                <w:sz w:val="24"/>
                <w:lang w:eastAsia="zh-CN"/>
              </w:rPr>
            </w:pPr>
          </w:p>
          <w:p w14:paraId="5DB9F4E3">
            <w:pPr>
              <w:pStyle w:val="231"/>
              <w:keepNext w:val="0"/>
              <w:keepLines w:val="0"/>
              <w:suppressLineNumbers w:val="0"/>
              <w:spacing w:before="0" w:beforeAutospacing="0" w:after="0" w:afterAutospacing="0" w:line="480" w:lineRule="exact"/>
              <w:ind w:left="0" w:right="0" w:firstLine="480" w:firstLineChars="200"/>
              <w:jc w:val="both"/>
              <w:rPr>
                <w:rFonts w:hint="eastAsia" w:ascii="Times New Roman" w:hAnsi="Times New Roman"/>
                <w:sz w:val="24"/>
                <w:lang w:eastAsia="zh-CN"/>
              </w:rPr>
            </w:pPr>
          </w:p>
          <w:p w14:paraId="7337A8F0">
            <w:pPr>
              <w:pStyle w:val="231"/>
              <w:keepNext w:val="0"/>
              <w:keepLines w:val="0"/>
              <w:suppressLineNumbers w:val="0"/>
              <w:spacing w:before="0" w:beforeAutospacing="0" w:after="0" w:afterAutospacing="0" w:line="480" w:lineRule="exact"/>
              <w:ind w:left="0" w:right="0" w:firstLine="480" w:firstLineChars="200"/>
              <w:jc w:val="both"/>
              <w:rPr>
                <w:rFonts w:hint="eastAsia" w:ascii="Times New Roman" w:hAnsi="Times New Roman"/>
                <w:sz w:val="24"/>
                <w:lang w:eastAsia="zh-CN"/>
              </w:rPr>
            </w:pPr>
          </w:p>
          <w:p w14:paraId="73C8D1C3">
            <w:pPr>
              <w:keepNext w:val="0"/>
              <w:keepLines w:val="0"/>
              <w:suppressLineNumbers w:val="0"/>
              <w:spacing w:before="0" w:beforeAutospacing="0" w:after="0" w:afterAutospacing="0" w:line="240" w:lineRule="auto"/>
              <w:ind w:left="0" w:right="0" w:firstLine="422" w:firstLineChars="200"/>
              <w:jc w:val="center"/>
              <w:rPr>
                <w:rFonts w:hint="default" w:ascii="Times New Roman" w:hAnsi="Times New Roman" w:cs="Times New Roman"/>
                <w:b/>
                <w:color w:val="000000"/>
                <w:szCs w:val="21"/>
              </w:rPr>
            </w:pPr>
            <w:r>
              <w:rPr>
                <w:rFonts w:hint="eastAsia" w:ascii="Times New Roman" w:hAnsi="Times New Roman" w:eastAsia="宋体" w:cs="Times New Roman"/>
                <w:b/>
                <w:bCs/>
                <w:color w:val="000000"/>
                <w:kern w:val="0"/>
                <w:sz w:val="21"/>
                <w:szCs w:val="21"/>
                <w:lang w:val="en-US" w:eastAsia="zh-CN" w:bidi="ar-SA"/>
              </w:rPr>
              <w:t>施工期工艺流程图及排污节点图</w:t>
            </w:r>
          </w:p>
          <w:p w14:paraId="35B51FBA">
            <w:pPr>
              <w:keepNext w:val="0"/>
              <w:keepLines w:val="0"/>
              <w:widowControl/>
              <w:suppressLineNumbers w:val="0"/>
              <w:adjustRightInd w:val="0"/>
              <w:snapToGrid w:val="0"/>
              <w:spacing w:before="0" w:beforeAutospacing="0" w:after="0" w:afterAutospacing="0" w:line="360" w:lineRule="auto"/>
              <w:ind w:left="0" w:right="0"/>
              <w:textAlignment w:val="baseline"/>
              <w:rPr>
                <w:rFonts w:hint="default" w:ascii="Times New Roman" w:hAnsi="Times New Roman" w:cs="Times New Roman"/>
                <w:b/>
                <w:sz w:val="24"/>
              </w:rPr>
            </w:pPr>
            <w:r>
              <w:rPr>
                <w:rFonts w:hint="eastAsia" w:ascii="Times New Roman" w:hAnsi="Times New Roman" w:cs="Times New Roman"/>
                <w:b/>
                <w:sz w:val="24"/>
              </w:rPr>
              <w:t>2、营运期</w:t>
            </w:r>
          </w:p>
          <w:p w14:paraId="117CE610">
            <w:pPr>
              <w:pStyle w:val="78"/>
              <w:keepNext w:val="0"/>
              <w:keepLines w:val="0"/>
              <w:suppressLineNumbers w:val="0"/>
              <w:spacing w:before="0" w:beforeLines="0" w:beforeAutospacing="0" w:after="0" w:afterAutospacing="0" w:line="360" w:lineRule="auto"/>
              <w:ind w:left="0" w:right="0" w:firstLine="480" w:firstLineChars="200"/>
              <w:jc w:val="both"/>
              <w:rPr>
                <w:rFonts w:hint="default"/>
                <w:color w:val="auto"/>
              </w:rPr>
            </w:pPr>
            <w:r>
              <w:rPr>
                <w:rFonts w:hint="default" w:hAnsi="宋体"/>
                <w:snapToGrid w:val="0"/>
                <w:color w:val="auto"/>
                <w:sz w:val="24"/>
                <w:szCs w:val="24"/>
              </w:rPr>
              <w:t>生产工艺流程：</w:t>
            </w:r>
          </w:p>
          <w:p w14:paraId="46CB8CA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cs="Times New Roman"/>
                <w:sz w:val="24"/>
                <w:szCs w:val="24"/>
                <w:lang w:eastAsia="zh-CN"/>
              </w:rPr>
            </w:pPr>
            <w:r>
              <w:rPr>
                <w:rFonts w:hint="default"/>
              </w:rPr>
              <w:drawing>
                <wp:inline distT="0" distB="0" distL="114300" distR="114300">
                  <wp:extent cx="5247640" cy="2562860"/>
                  <wp:effectExtent l="0" t="0" r="10160" b="889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13"/>
                          <a:stretch>
                            <a:fillRect/>
                          </a:stretch>
                        </pic:blipFill>
                        <pic:spPr>
                          <a:xfrm>
                            <a:off x="0" y="0"/>
                            <a:ext cx="5247640" cy="2562860"/>
                          </a:xfrm>
                          <a:prstGeom prst="rect">
                            <a:avLst/>
                          </a:prstGeom>
                          <a:noFill/>
                          <a:ln>
                            <a:noFill/>
                          </a:ln>
                        </pic:spPr>
                      </pic:pic>
                    </a:graphicData>
                  </a:graphic>
                </wp:inline>
              </w:drawing>
            </w:r>
          </w:p>
          <w:p w14:paraId="66C0DC80">
            <w:pPr>
              <w:keepNext w:val="0"/>
              <w:keepLines w:val="0"/>
              <w:suppressLineNumbers w:val="0"/>
              <w:spacing w:before="0" w:beforeAutospacing="0" w:after="0" w:afterAutospacing="0" w:line="240" w:lineRule="auto"/>
              <w:ind w:left="0" w:right="0" w:firstLine="422" w:firstLineChars="200"/>
              <w:jc w:val="center"/>
              <w:rPr>
                <w:rFonts w:hint="eastAsia" w:ascii="Times New Roman" w:hAnsi="Times New Roman" w:eastAsia="宋体" w:cs="Times New Roman"/>
                <w:b/>
                <w:bCs/>
                <w:color w:val="000000"/>
                <w:kern w:val="0"/>
                <w:sz w:val="21"/>
                <w:szCs w:val="21"/>
                <w:lang w:val="en-US" w:eastAsia="zh-CN" w:bidi="ar-SA"/>
              </w:rPr>
            </w:pPr>
            <w:r>
              <w:rPr>
                <w:rFonts w:hint="eastAsia" w:ascii="Times New Roman" w:hAnsi="Times New Roman" w:eastAsia="宋体" w:cs="Times New Roman"/>
                <w:b/>
                <w:bCs/>
                <w:color w:val="000000"/>
                <w:kern w:val="0"/>
                <w:sz w:val="21"/>
                <w:szCs w:val="21"/>
                <w:lang w:val="en-US" w:eastAsia="zh-CN" w:bidi="ar-SA"/>
              </w:rPr>
              <w:t>营运</w:t>
            </w:r>
            <w:r>
              <w:rPr>
                <w:rFonts w:hint="default" w:ascii="Times New Roman" w:hAnsi="Times New Roman" w:eastAsia="宋体" w:cs="Times New Roman"/>
                <w:b/>
                <w:bCs/>
                <w:color w:val="000000"/>
                <w:kern w:val="0"/>
                <w:sz w:val="21"/>
                <w:szCs w:val="21"/>
                <w:lang w:val="en-US" w:eastAsia="zh-CN" w:bidi="ar-SA"/>
              </w:rPr>
              <w:t>期工艺流程及排污节点图</w:t>
            </w:r>
          </w:p>
          <w:p w14:paraId="442FC576">
            <w:pPr>
              <w:keepNext w:val="0"/>
              <w:keepLines w:val="0"/>
              <w:widowControl/>
              <w:suppressLineNumbers w:val="0"/>
              <w:spacing w:before="0" w:beforeAutospacing="0" w:after="0" w:afterAutospacing="0" w:line="440" w:lineRule="exact"/>
              <w:ind w:left="0" w:right="0"/>
              <w:outlineLvl w:val="1"/>
              <w:rPr>
                <w:rFonts w:hint="default" w:ascii="Times New Roman" w:hAnsi="Times New Roman" w:cs="Times New Roman"/>
                <w:b/>
                <w:bCs/>
                <w:sz w:val="24"/>
                <w:szCs w:val="32"/>
              </w:rPr>
            </w:pPr>
            <w:r>
              <w:rPr>
                <w:rFonts w:hint="default" w:ascii="Times New Roman" w:hAnsi="Times New Roman" w:cs="Times New Roman"/>
                <w:b/>
                <w:bCs/>
                <w:sz w:val="24"/>
                <w:szCs w:val="32"/>
              </w:rPr>
              <w:t>工艺流程和产排污环节：</w:t>
            </w:r>
          </w:p>
          <w:p w14:paraId="1B4D3699">
            <w:pPr>
              <w:keepNext w:val="0"/>
              <w:keepLines w:val="0"/>
              <w:suppressLineNumbers w:val="0"/>
              <w:adjustRightInd w:val="0"/>
              <w:snapToGrid w:val="0"/>
              <w:spacing w:before="0" w:beforeAutospacing="0" w:after="0" w:afterAutospacing="0" w:line="440" w:lineRule="exact"/>
              <w:ind w:left="0" w:right="0" w:firstLine="480" w:firstLineChars="200"/>
              <w:rPr>
                <w:rFonts w:hint="default" w:ascii="Times New Roman" w:hAnsi="Times New Roman" w:cs="Times New Roman"/>
                <w:snapToGrid w:val="0"/>
                <w:kern w:val="0"/>
                <w:sz w:val="24"/>
                <w:szCs w:val="24"/>
              </w:rPr>
            </w:pPr>
            <w:r>
              <w:rPr>
                <w:rFonts w:hint="default" w:ascii="Times New Roman" w:hAnsi="Times New Roman" w:cs="Times New Roman"/>
                <w:sz w:val="24"/>
              </w:rPr>
              <w:t>项目</w:t>
            </w:r>
            <w:r>
              <w:rPr>
                <w:rFonts w:hint="eastAsia" w:ascii="Times New Roman" w:hAnsi="Times New Roman" w:cs="Times New Roman"/>
                <w:sz w:val="24"/>
                <w:lang w:eastAsia="zh-CN"/>
              </w:rPr>
              <w:t>在</w:t>
            </w:r>
            <w:r>
              <w:rPr>
                <w:rFonts w:hint="eastAsia" w:ascii="Times New Roman" w:hAnsi="Times New Roman" w:cs="Times New Roman"/>
                <w:sz w:val="24"/>
                <w:lang w:val="en-US" w:eastAsia="zh-CN"/>
              </w:rPr>
              <w:t>原有</w:t>
            </w:r>
            <w:r>
              <w:rPr>
                <w:rFonts w:hint="eastAsia" w:ascii="Times New Roman" w:hAnsi="Times New Roman" w:cs="Times New Roman"/>
                <w:sz w:val="24"/>
              </w:rPr>
              <w:t>生产车间</w:t>
            </w:r>
            <w:r>
              <w:rPr>
                <w:rFonts w:hint="eastAsia" w:ascii="Times New Roman" w:hAnsi="Times New Roman" w:cs="Times New Roman"/>
                <w:sz w:val="24"/>
                <w:lang w:eastAsia="zh-CN"/>
              </w:rPr>
              <w:t>建设洁净车间</w:t>
            </w:r>
            <w:r>
              <w:rPr>
                <w:rFonts w:hint="eastAsia" w:ascii="Times New Roman" w:hAnsi="Times New Roman" w:cs="Times New Roman"/>
                <w:sz w:val="24"/>
              </w:rPr>
              <w:t>，</w:t>
            </w:r>
            <w:r>
              <w:rPr>
                <w:rFonts w:hint="eastAsia" w:ascii="Times New Roman" w:hAnsi="Times New Roman" w:cs="Times New Roman"/>
                <w:sz w:val="24"/>
                <w:lang w:eastAsia="zh-CN"/>
              </w:rPr>
              <w:t>主要生产中药包装袋（通用卷）、中药包装袋（印字卷），生产工艺主要包括印刷、复合、固化、分切、检验，</w:t>
            </w:r>
            <w:r>
              <w:rPr>
                <w:rFonts w:hint="eastAsia" w:ascii="Times New Roman" w:hAnsi="Times New Roman" w:cs="Times New Roman"/>
                <w:snapToGrid w:val="0"/>
                <w:kern w:val="0"/>
                <w:sz w:val="24"/>
                <w:szCs w:val="24"/>
              </w:rPr>
              <w:t>生产工艺流程描述如下：</w:t>
            </w:r>
          </w:p>
          <w:p w14:paraId="697C0D1C">
            <w:pPr>
              <w:keepNext w:val="0"/>
              <w:keepLines w:val="0"/>
              <w:numPr>
                <w:ilvl w:val="0"/>
                <w:numId w:val="0"/>
              </w:numPr>
              <w:suppressLineNumbers w:val="0"/>
              <w:adjustRightInd w:val="0"/>
              <w:snapToGrid w:val="0"/>
              <w:spacing w:before="0" w:beforeAutospacing="0" w:after="0" w:afterAutospacing="0" w:line="440" w:lineRule="exact"/>
              <w:ind w:left="0" w:right="0" w:firstLine="480" w:firstLineChars="200"/>
              <w:rPr>
                <w:rFonts w:hint="eastAsia" w:ascii="Times New Roman" w:hAnsi="Times New Roman" w:cs="Times New Roman"/>
                <w:snapToGrid w:val="0"/>
                <w:kern w:val="0"/>
                <w:sz w:val="24"/>
                <w:szCs w:val="24"/>
                <w:lang w:eastAsia="zh-CN"/>
              </w:rPr>
            </w:pPr>
            <w:r>
              <w:rPr>
                <w:rFonts w:hint="eastAsia" w:ascii="Times New Roman" w:hAnsi="Times New Roman" w:eastAsia="宋体" w:cs="Times New Roman"/>
                <w:snapToGrid w:val="0"/>
                <w:kern w:val="0"/>
                <w:sz w:val="24"/>
                <w:szCs w:val="24"/>
                <w:lang w:val="en-US" w:eastAsia="zh-CN" w:bidi="ar-SA"/>
              </w:rPr>
              <w:t>（1）</w:t>
            </w:r>
            <w:r>
              <w:rPr>
                <w:rFonts w:hint="eastAsia" w:ascii="Times New Roman" w:hAnsi="Times New Roman" w:cs="Times New Roman"/>
                <w:snapToGrid w:val="0"/>
                <w:kern w:val="0"/>
                <w:sz w:val="24"/>
                <w:szCs w:val="24"/>
                <w:lang w:eastAsia="zh-CN"/>
              </w:rPr>
              <w:t>印刷</w:t>
            </w:r>
          </w:p>
          <w:p w14:paraId="0AC88743">
            <w:pPr>
              <w:keepNext w:val="0"/>
              <w:keepLines w:val="0"/>
              <w:numPr>
                <w:ilvl w:val="0"/>
                <w:numId w:val="0"/>
              </w:numPr>
              <w:suppressLineNumbers w:val="0"/>
              <w:adjustRightInd w:val="0"/>
              <w:snapToGrid w:val="0"/>
              <w:spacing w:before="0" w:beforeAutospacing="0" w:after="0" w:afterAutospacing="0" w:line="440" w:lineRule="exact"/>
              <w:ind w:left="0" w:right="0" w:firstLine="480" w:firstLineChars="200"/>
              <w:rPr>
                <w:rFonts w:hint="eastAsia" w:ascii="Times New Roman" w:hAnsi="Times New Roman" w:cs="Times New Roman"/>
                <w:sz w:val="24"/>
                <w:szCs w:val="24"/>
                <w:highlight w:val="none"/>
                <w:lang w:val="en-US" w:eastAsia="zh-CN"/>
              </w:rPr>
            </w:pPr>
            <w:r>
              <w:rPr>
                <w:rFonts w:hint="eastAsia" w:ascii="Times New Roman" w:hAnsi="Times New Roman" w:cs="Times New Roman"/>
                <w:sz w:val="24"/>
                <w:szCs w:val="24"/>
                <w:lang w:val="en-US" w:eastAsia="zh-CN"/>
              </w:rPr>
              <w:t>印刷工序主要对外购的双向拉伸聚酯薄膜进行印刷，印刷用水性油墨</w:t>
            </w:r>
            <w:r>
              <w:rPr>
                <w:rFonts w:hint="eastAsia" w:cs="Times New Roman"/>
                <w:sz w:val="24"/>
                <w:szCs w:val="24"/>
                <w:lang w:val="en-US" w:eastAsia="zh-CN"/>
              </w:rPr>
              <w:t>位于配制间配制，</w:t>
            </w:r>
            <w:r>
              <w:rPr>
                <w:rFonts w:hint="eastAsia" w:ascii="Times New Roman" w:hAnsi="Times New Roman" w:cs="Times New Roman"/>
                <w:sz w:val="24"/>
                <w:szCs w:val="24"/>
                <w:lang w:val="en-US" w:eastAsia="zh-CN"/>
              </w:rPr>
              <w:t>采用外购水性油墨</w:t>
            </w:r>
            <w:r>
              <w:rPr>
                <w:rFonts w:hint="eastAsia" w:cs="Times New Roman"/>
                <w:sz w:val="24"/>
                <w:szCs w:val="24"/>
                <w:lang w:val="en-US" w:eastAsia="zh-CN"/>
              </w:rPr>
              <w:t>、无水乙醇、</w:t>
            </w:r>
            <w:r>
              <w:rPr>
                <w:rFonts w:hint="eastAsia" w:ascii="Times New Roman" w:hAnsi="Times New Roman" w:cs="Times New Roman"/>
                <w:sz w:val="24"/>
                <w:szCs w:val="24"/>
                <w:lang w:val="en-US" w:eastAsia="zh-CN"/>
              </w:rPr>
              <w:t>纯水按</w:t>
            </w:r>
            <w:r>
              <w:rPr>
                <w:rFonts w:hint="eastAsia" w:cs="Times New Roman"/>
                <w:sz w:val="24"/>
                <w:szCs w:val="24"/>
                <w:lang w:val="en-US" w:eastAsia="zh-CN"/>
              </w:rPr>
              <w:t>比例</w:t>
            </w:r>
            <w:r>
              <w:rPr>
                <w:rFonts w:hint="eastAsia" w:ascii="Times New Roman" w:hAnsi="Times New Roman" w:cs="Times New Roman"/>
                <w:sz w:val="24"/>
                <w:szCs w:val="24"/>
                <w:lang w:val="en-US" w:eastAsia="zh-CN"/>
              </w:rPr>
              <w:t>配制而成，调配完成后进入印刷机，在一定印刷速度下，经胶辊施压，把图文部位的水性油墨转移到聚酯薄膜。印刷采用凹版印刷工艺，制版为外委进行，项目使用均为成品</w:t>
            </w:r>
            <w:r>
              <w:rPr>
                <w:rFonts w:hint="eastAsia" w:cs="Times New Roman"/>
                <w:sz w:val="24"/>
                <w:szCs w:val="24"/>
                <w:lang w:val="en-US" w:eastAsia="zh-CN"/>
              </w:rPr>
              <w:t>版</w:t>
            </w:r>
            <w:r>
              <w:rPr>
                <w:rFonts w:hint="eastAsia" w:ascii="Times New Roman" w:hAnsi="Times New Roman" w:cs="Times New Roman"/>
                <w:sz w:val="24"/>
                <w:szCs w:val="24"/>
                <w:lang w:val="en-US" w:eastAsia="zh-CN"/>
              </w:rPr>
              <w:t>，项目无制版、晒版工序，无显影废水产生。</w:t>
            </w:r>
            <w:r>
              <w:rPr>
                <w:rFonts w:hint="eastAsia" w:cs="Times New Roman"/>
                <w:sz w:val="24"/>
                <w:szCs w:val="24"/>
                <w:lang w:val="en-US" w:eastAsia="zh-CN"/>
              </w:rPr>
              <w:t>擦拭</w:t>
            </w:r>
            <w:r>
              <w:rPr>
                <w:rFonts w:hint="eastAsia" w:ascii="Times New Roman" w:hAnsi="Times New Roman" w:eastAsia="宋体" w:cs="Times New Roman"/>
                <w:sz w:val="24"/>
                <w:szCs w:val="24"/>
                <w:lang w:val="en-US" w:eastAsia="zh-CN"/>
              </w:rPr>
              <w:t>位于</w:t>
            </w:r>
            <w:r>
              <w:rPr>
                <w:rFonts w:hint="eastAsia" w:cs="Times New Roman"/>
                <w:sz w:val="24"/>
                <w:szCs w:val="24"/>
                <w:lang w:val="en-US" w:eastAsia="zh-CN"/>
              </w:rPr>
              <w:t>配制间</w:t>
            </w:r>
            <w:r>
              <w:rPr>
                <w:rFonts w:hint="eastAsia" w:ascii="Times New Roman" w:hAnsi="Times New Roman" w:eastAsia="宋体" w:cs="Times New Roman"/>
                <w:sz w:val="24"/>
                <w:szCs w:val="24"/>
                <w:lang w:val="en-US" w:eastAsia="zh-CN"/>
              </w:rPr>
              <w:t>，使用</w:t>
            </w:r>
            <w:r>
              <w:rPr>
                <w:rFonts w:hint="eastAsia" w:cs="Times New Roman"/>
                <w:sz w:val="24"/>
                <w:szCs w:val="24"/>
                <w:lang w:val="en-US" w:eastAsia="zh-CN"/>
              </w:rPr>
              <w:t>抹布沾取无水乙醇</w:t>
            </w:r>
            <w:r>
              <w:rPr>
                <w:rFonts w:hint="eastAsia" w:ascii="Times New Roman" w:hAnsi="Times New Roman" w:eastAsia="宋体" w:cs="Times New Roman"/>
                <w:sz w:val="24"/>
                <w:szCs w:val="24"/>
                <w:lang w:val="en-US" w:eastAsia="zh-CN"/>
              </w:rPr>
              <w:t>进行</w:t>
            </w:r>
            <w:r>
              <w:rPr>
                <w:rFonts w:hint="eastAsia" w:cs="Times New Roman"/>
                <w:sz w:val="24"/>
                <w:szCs w:val="24"/>
                <w:lang w:val="en-US" w:eastAsia="zh-CN"/>
              </w:rPr>
              <w:t>擦拭</w:t>
            </w:r>
            <w:r>
              <w:rPr>
                <w:rFonts w:hint="eastAsia" w:ascii="Times New Roman" w:hAnsi="Times New Roman" w:eastAsia="宋体" w:cs="Times New Roman"/>
                <w:sz w:val="24"/>
                <w:szCs w:val="24"/>
                <w:lang w:val="en-US" w:eastAsia="zh-CN"/>
              </w:rPr>
              <w:t>，</w:t>
            </w:r>
            <w:r>
              <w:rPr>
                <w:rFonts w:hint="eastAsia" w:cs="Times New Roman"/>
                <w:sz w:val="24"/>
                <w:szCs w:val="24"/>
                <w:lang w:val="en-US" w:eastAsia="zh-CN"/>
              </w:rPr>
              <w:t>此</w:t>
            </w:r>
            <w:r>
              <w:rPr>
                <w:rFonts w:hint="eastAsia" w:ascii="Times New Roman" w:hAnsi="Times New Roman" w:eastAsia="宋体" w:cs="Times New Roman"/>
                <w:sz w:val="24"/>
                <w:szCs w:val="24"/>
                <w:lang w:val="en-US" w:eastAsia="zh-CN"/>
              </w:rPr>
              <w:t>过程</w:t>
            </w:r>
            <w:r>
              <w:rPr>
                <w:rFonts w:hint="eastAsia" w:cs="Times New Roman"/>
                <w:sz w:val="24"/>
                <w:szCs w:val="24"/>
                <w:lang w:val="en-US" w:eastAsia="zh-CN"/>
              </w:rPr>
              <w:t>无水乙醇全部挥发，水性油墨配制在依托现有配制间B进行，不在洁净车间进行</w:t>
            </w:r>
            <w:r>
              <w:rPr>
                <w:rFonts w:hint="eastAsia" w:ascii="Times New Roman" w:hAnsi="Times New Roman" w:eastAsia="宋体" w:cs="Times New Roman"/>
                <w:sz w:val="24"/>
                <w:szCs w:val="24"/>
                <w:lang w:val="en-US" w:eastAsia="zh-CN"/>
              </w:rPr>
              <w:t>。</w:t>
            </w:r>
            <w:r>
              <w:rPr>
                <w:rFonts w:hint="eastAsia" w:cs="Times New Roman"/>
                <w:sz w:val="24"/>
                <w:szCs w:val="24"/>
                <w:highlight w:val="none"/>
                <w:lang w:val="en-US" w:eastAsia="zh-CN"/>
              </w:rPr>
              <w:t>项目</w:t>
            </w:r>
            <w:r>
              <w:rPr>
                <w:rFonts w:hint="eastAsia" w:ascii="Times New Roman" w:hAnsi="Times New Roman" w:eastAsia="宋体" w:cs="Times New Roman"/>
                <w:sz w:val="24"/>
                <w:szCs w:val="24"/>
                <w:highlight w:val="none"/>
                <w:lang w:val="en-US" w:eastAsia="zh-CN"/>
              </w:rPr>
              <w:t>印刷机为6色印刷，但在进行实际印刷时只</w:t>
            </w:r>
            <w:r>
              <w:rPr>
                <w:rFonts w:hint="eastAsia" w:cs="Times New Roman"/>
                <w:sz w:val="24"/>
                <w:szCs w:val="24"/>
                <w:highlight w:val="none"/>
                <w:lang w:val="en-US" w:eastAsia="zh-CN"/>
              </w:rPr>
              <w:t>使用</w:t>
            </w:r>
            <w:r>
              <w:rPr>
                <w:rFonts w:hint="eastAsia" w:ascii="Times New Roman" w:hAnsi="Times New Roman" w:eastAsia="宋体" w:cs="Times New Roman"/>
                <w:sz w:val="24"/>
                <w:szCs w:val="24"/>
                <w:highlight w:val="none"/>
                <w:lang w:val="en-US" w:eastAsia="zh-CN"/>
              </w:rPr>
              <w:t>白色、黄色水性油墨进行2道工序印刷，在公司内部称为水墨通用卷，在使用水性油墨、</w:t>
            </w:r>
            <w:r>
              <w:rPr>
                <w:rFonts w:hint="eastAsia" w:cs="Times New Roman"/>
                <w:sz w:val="24"/>
                <w:szCs w:val="24"/>
                <w:highlight w:val="none"/>
                <w:lang w:val="en-US" w:eastAsia="zh-CN"/>
              </w:rPr>
              <w:t>无水乙醇、</w:t>
            </w:r>
            <w:r>
              <w:rPr>
                <w:rFonts w:hint="eastAsia" w:ascii="Times New Roman" w:hAnsi="Times New Roman" w:eastAsia="宋体" w:cs="Times New Roman"/>
                <w:sz w:val="24"/>
                <w:szCs w:val="24"/>
                <w:highlight w:val="none"/>
                <w:lang w:val="en-US" w:eastAsia="zh-CN"/>
              </w:rPr>
              <w:t>水比例为</w:t>
            </w:r>
            <w:r>
              <w:rPr>
                <w:rFonts w:hint="eastAsia" w:cs="Times New Roman"/>
                <w:sz w:val="24"/>
                <w:szCs w:val="24"/>
                <w:highlight w:val="none"/>
                <w:lang w:val="en-US" w:eastAsia="zh-CN"/>
              </w:rPr>
              <w:t>30</w:t>
            </w:r>
            <w:r>
              <w:rPr>
                <w:rFonts w:hint="eastAsia" w:ascii="Times New Roman" w:hAnsi="Times New Roman" w:eastAsia="宋体" w:cs="Times New Roman"/>
                <w:sz w:val="24"/>
                <w:szCs w:val="24"/>
                <w:highlight w:val="none"/>
                <w:lang w:val="en-US" w:eastAsia="zh-CN"/>
              </w:rPr>
              <w:t>：</w:t>
            </w:r>
            <w:r>
              <w:rPr>
                <w:rFonts w:hint="eastAsia" w:cs="Times New Roman"/>
                <w:sz w:val="24"/>
                <w:szCs w:val="24"/>
                <w:highlight w:val="none"/>
                <w:lang w:val="en-US" w:eastAsia="zh-CN"/>
              </w:rPr>
              <w:t>1</w:t>
            </w:r>
            <w:r>
              <w:rPr>
                <w:rFonts w:hint="eastAsia" w:ascii="Times New Roman" w:hAnsi="Times New Roman" w:eastAsia="宋体" w:cs="Times New Roman"/>
                <w:sz w:val="24"/>
                <w:szCs w:val="24"/>
                <w:highlight w:val="none"/>
                <w:lang w:val="en-US" w:eastAsia="zh-CN"/>
              </w:rPr>
              <w:t>：</w:t>
            </w:r>
            <w:r>
              <w:rPr>
                <w:rFonts w:hint="eastAsia" w:cs="Times New Roman"/>
                <w:sz w:val="24"/>
                <w:szCs w:val="24"/>
                <w:highlight w:val="none"/>
                <w:lang w:val="en-US" w:eastAsia="zh-CN"/>
              </w:rPr>
              <w:t>5</w:t>
            </w:r>
            <w:r>
              <w:rPr>
                <w:rFonts w:hint="eastAsia" w:ascii="Times New Roman" w:hAnsi="Times New Roman" w:eastAsia="宋体" w:cs="Times New Roman"/>
                <w:sz w:val="24"/>
                <w:szCs w:val="24"/>
                <w:highlight w:val="none"/>
                <w:lang w:val="en-US" w:eastAsia="zh-CN"/>
              </w:rPr>
              <w:t>，调整转速为60米/分钟（普通油墨300米/分钟），此生产工艺可以满足生产状态。</w:t>
            </w:r>
          </w:p>
          <w:p w14:paraId="6EE38CF0">
            <w:pPr>
              <w:keepNext w:val="0"/>
              <w:keepLines w:val="0"/>
              <w:suppressLineNumbers w:val="0"/>
              <w:adjustRightInd w:val="0"/>
              <w:snapToGrid w:val="0"/>
              <w:spacing w:before="0" w:beforeAutospacing="0" w:after="0" w:afterAutospacing="0" w:line="440" w:lineRule="exact"/>
              <w:ind w:left="0" w:right="0" w:firstLine="480" w:firstLineChars="200"/>
              <w:rPr>
                <w:rFonts w:hint="eastAsia" w:ascii="Times New Roman" w:hAnsi="Times New Roman" w:cs="Times New Roman"/>
                <w:snapToGrid w:val="0"/>
                <w:kern w:val="0"/>
                <w:sz w:val="24"/>
                <w:szCs w:val="24"/>
                <w:highlight w:val="none"/>
              </w:rPr>
            </w:pPr>
            <w:r>
              <w:rPr>
                <w:rFonts w:hint="eastAsia" w:cs="Times New Roman"/>
                <w:snapToGrid w:val="0"/>
                <w:kern w:val="0"/>
                <w:sz w:val="24"/>
                <w:szCs w:val="24"/>
                <w:highlight w:val="none"/>
                <w:lang w:val="en-US" w:eastAsia="zh-CN"/>
              </w:rPr>
              <w:t>此</w:t>
            </w:r>
            <w:r>
              <w:rPr>
                <w:rFonts w:hint="eastAsia" w:ascii="Times New Roman" w:hAnsi="Times New Roman" w:cs="Times New Roman"/>
                <w:snapToGrid w:val="0"/>
                <w:kern w:val="0"/>
                <w:sz w:val="24"/>
                <w:szCs w:val="24"/>
                <w:highlight w:val="none"/>
                <w:lang w:val="en-US" w:eastAsia="zh-CN"/>
              </w:rPr>
              <w:t>工序废气污染源主要为印刷废气（水性油墨配制废气、印刷废气</w:t>
            </w:r>
            <w:r>
              <w:rPr>
                <w:rFonts w:hint="eastAsia" w:cs="Times New Roman"/>
                <w:snapToGrid w:val="0"/>
                <w:kern w:val="0"/>
                <w:sz w:val="24"/>
                <w:szCs w:val="24"/>
                <w:highlight w:val="none"/>
                <w:lang w:val="en-US" w:eastAsia="zh-CN"/>
              </w:rPr>
              <w:t>和擦试废气</w:t>
            </w:r>
            <w:r>
              <w:rPr>
                <w:rFonts w:hint="eastAsia" w:ascii="Times New Roman" w:hAnsi="Times New Roman" w:cs="Times New Roman"/>
                <w:snapToGrid w:val="0"/>
                <w:kern w:val="0"/>
                <w:sz w:val="24"/>
                <w:szCs w:val="24"/>
                <w:highlight w:val="none"/>
                <w:lang w:val="en-US" w:eastAsia="zh-CN"/>
              </w:rPr>
              <w:t>）（G1非甲烷总烃）</w:t>
            </w:r>
            <w:r>
              <w:rPr>
                <w:rFonts w:hint="eastAsia" w:cs="Times New Roman"/>
                <w:snapToGrid w:val="0"/>
                <w:kern w:val="0"/>
                <w:sz w:val="24"/>
                <w:szCs w:val="24"/>
                <w:highlight w:val="none"/>
                <w:lang w:val="en-US" w:eastAsia="zh-CN"/>
              </w:rPr>
              <w:t>，其中水性油墨配制和擦试废气由“管道收集+二级活性炭吸附装置+1根15m排气筒（DA002依托）”排放，印刷废气由“集气罩+软帘收集+二级活性炭吸附装置+1根15m排气筒（DA003新增）”排放</w:t>
            </w:r>
            <w:r>
              <w:rPr>
                <w:rFonts w:hint="eastAsia" w:ascii="Times New Roman" w:hAnsi="Times New Roman" w:cs="Times New Roman"/>
                <w:snapToGrid w:val="0"/>
                <w:kern w:val="0"/>
                <w:sz w:val="24"/>
                <w:szCs w:val="24"/>
                <w:highlight w:val="none"/>
                <w:lang w:val="en-US" w:eastAsia="zh-CN"/>
              </w:rPr>
              <w:t>，固体废物主要为废水性油墨桶（S1）、废纯水桶（S</w:t>
            </w:r>
            <w:r>
              <w:rPr>
                <w:rFonts w:hint="eastAsia" w:cs="Times New Roman"/>
                <w:snapToGrid w:val="0"/>
                <w:kern w:val="0"/>
                <w:sz w:val="24"/>
                <w:szCs w:val="24"/>
                <w:highlight w:val="none"/>
                <w:lang w:val="en-US" w:eastAsia="zh-CN"/>
              </w:rPr>
              <w:t>2</w:t>
            </w:r>
            <w:r>
              <w:rPr>
                <w:rFonts w:hint="eastAsia" w:ascii="Times New Roman" w:hAnsi="Times New Roman" w:cs="Times New Roman"/>
                <w:snapToGrid w:val="0"/>
                <w:kern w:val="0"/>
                <w:sz w:val="24"/>
                <w:szCs w:val="24"/>
                <w:highlight w:val="none"/>
                <w:lang w:val="en-US" w:eastAsia="zh-CN"/>
              </w:rPr>
              <w:t>）、废抹布（S</w:t>
            </w:r>
            <w:r>
              <w:rPr>
                <w:rFonts w:hint="eastAsia" w:cs="Times New Roman"/>
                <w:snapToGrid w:val="0"/>
                <w:kern w:val="0"/>
                <w:sz w:val="24"/>
                <w:szCs w:val="24"/>
                <w:highlight w:val="none"/>
                <w:lang w:val="en-US" w:eastAsia="zh-CN"/>
              </w:rPr>
              <w:t>3</w:t>
            </w:r>
            <w:r>
              <w:rPr>
                <w:rFonts w:hint="eastAsia" w:ascii="Times New Roman" w:hAnsi="Times New Roman" w:cs="Times New Roman"/>
                <w:snapToGrid w:val="0"/>
                <w:kern w:val="0"/>
                <w:sz w:val="24"/>
                <w:szCs w:val="24"/>
                <w:highlight w:val="none"/>
                <w:lang w:val="en-US" w:eastAsia="zh-CN"/>
              </w:rPr>
              <w:t>），同时产生设备噪声（N1）。</w:t>
            </w:r>
          </w:p>
          <w:p w14:paraId="4EE492A0">
            <w:pPr>
              <w:keepNext w:val="0"/>
              <w:keepLines w:val="0"/>
              <w:numPr>
                <w:ilvl w:val="0"/>
                <w:numId w:val="0"/>
              </w:numPr>
              <w:suppressLineNumbers w:val="0"/>
              <w:adjustRightInd w:val="0"/>
              <w:snapToGrid w:val="0"/>
              <w:spacing w:before="0" w:beforeAutospacing="0" w:after="0" w:afterAutospacing="0" w:line="440" w:lineRule="exact"/>
              <w:ind w:left="0" w:leftChars="0" w:right="0" w:firstLine="480" w:firstLineChars="200"/>
              <w:rPr>
                <w:rFonts w:hint="eastAsia" w:ascii="Times New Roman" w:hAnsi="Times New Roman" w:cs="Times New Roman"/>
                <w:highlight w:val="none"/>
                <w:lang w:eastAsia="zh-CN"/>
              </w:rPr>
            </w:pPr>
            <w:r>
              <w:rPr>
                <w:rFonts w:hint="eastAsia" w:ascii="Times New Roman" w:hAnsi="Times New Roman" w:eastAsia="宋体" w:cs="Times New Roman"/>
                <w:kern w:val="2"/>
                <w:sz w:val="24"/>
                <w:szCs w:val="24"/>
                <w:highlight w:val="none"/>
                <w:lang w:val="en-US" w:eastAsia="zh-CN" w:bidi="ar-SA"/>
              </w:rPr>
              <w:t>（2）</w:t>
            </w:r>
            <w:r>
              <w:rPr>
                <w:rFonts w:hint="eastAsia" w:ascii="Times New Roman" w:hAnsi="Times New Roman" w:cs="Times New Roman"/>
                <w:snapToGrid w:val="0"/>
                <w:kern w:val="0"/>
                <w:sz w:val="24"/>
                <w:szCs w:val="24"/>
                <w:highlight w:val="none"/>
                <w:lang w:eastAsia="zh-CN"/>
              </w:rPr>
              <w:t>复合</w:t>
            </w:r>
          </w:p>
          <w:p w14:paraId="1C8596CD">
            <w:pPr>
              <w:keepNext w:val="0"/>
              <w:keepLines w:val="0"/>
              <w:suppressLineNumbers w:val="0"/>
              <w:adjustRightInd w:val="0"/>
              <w:snapToGrid w:val="0"/>
              <w:spacing w:before="0" w:beforeAutospacing="0" w:after="0" w:afterAutospacing="0" w:line="440" w:lineRule="exact"/>
              <w:ind w:left="0" w:right="0" w:firstLine="480" w:firstLineChars="200"/>
              <w:rPr>
                <w:rFonts w:hint="eastAsia" w:ascii="Times New Roman" w:hAnsi="Times New Roman" w:eastAsia="宋体" w:cs="Times New Roman"/>
                <w:color w:val="auto"/>
                <w:sz w:val="24"/>
                <w:highlight w:val="none"/>
                <w:lang w:val="en-US" w:eastAsia="zh-CN"/>
              </w:rPr>
            </w:pPr>
            <w:r>
              <w:rPr>
                <w:rFonts w:hint="eastAsia" w:ascii="Times New Roman" w:hAnsi="Times New Roman" w:cs="Times New Roman"/>
                <w:snapToGrid w:val="0"/>
                <w:kern w:val="0"/>
                <w:sz w:val="24"/>
                <w:szCs w:val="24"/>
                <w:highlight w:val="none"/>
                <w:lang w:eastAsia="zh-CN"/>
              </w:rPr>
              <w:t>利用复合胶进行无溶剂复合，复合胶为</w:t>
            </w:r>
            <w:r>
              <w:rPr>
                <w:rFonts w:hint="eastAsia" w:cs="Times New Roman"/>
                <w:snapToGrid w:val="0"/>
                <w:kern w:val="0"/>
                <w:sz w:val="24"/>
                <w:szCs w:val="24"/>
                <w:highlight w:val="none"/>
                <w:lang w:eastAsia="zh-CN"/>
              </w:rPr>
              <w:t>双组分</w:t>
            </w:r>
            <w:r>
              <w:rPr>
                <w:rFonts w:hint="eastAsia" w:ascii="Times New Roman" w:hAnsi="Times New Roman" w:cs="Times New Roman"/>
                <w:snapToGrid w:val="0"/>
                <w:kern w:val="0"/>
                <w:sz w:val="24"/>
                <w:szCs w:val="24"/>
                <w:highlight w:val="none"/>
                <w:lang w:eastAsia="zh-CN"/>
              </w:rPr>
              <w:t>无溶剂聚氨酯复膜胶，A、B组分通过复合机的高精度齿轮泵按设定比例泵出，在静态混合器或动态混合头中瞬间充分混合均匀。混合后的低粘度胶液被立即转移至网纹辊，并均匀涂布在</w:t>
            </w:r>
            <w:r>
              <w:rPr>
                <w:rFonts w:hint="eastAsia" w:cs="Times New Roman"/>
                <w:snapToGrid w:val="0"/>
                <w:kern w:val="0"/>
                <w:sz w:val="24"/>
                <w:szCs w:val="24"/>
                <w:highlight w:val="none"/>
                <w:lang w:eastAsia="zh-CN"/>
              </w:rPr>
              <w:t>聚酯薄膜</w:t>
            </w:r>
            <w:r>
              <w:rPr>
                <w:rFonts w:hint="eastAsia" w:ascii="Times New Roman" w:hAnsi="Times New Roman" w:cs="Times New Roman"/>
                <w:snapToGrid w:val="0"/>
                <w:kern w:val="0"/>
                <w:sz w:val="24"/>
                <w:szCs w:val="24"/>
                <w:highlight w:val="none"/>
                <w:lang w:eastAsia="zh-CN"/>
              </w:rPr>
              <w:t>的表面。此时胶层仍是可流动的液态。涂布了胶液的</w:t>
            </w:r>
            <w:r>
              <w:rPr>
                <w:rFonts w:hint="eastAsia" w:cs="Times New Roman"/>
                <w:snapToGrid w:val="0"/>
                <w:kern w:val="0"/>
                <w:sz w:val="24"/>
                <w:szCs w:val="24"/>
                <w:highlight w:val="none"/>
                <w:lang w:eastAsia="zh-CN"/>
              </w:rPr>
              <w:t>聚酯薄膜</w:t>
            </w:r>
            <w:r>
              <w:rPr>
                <w:rFonts w:hint="eastAsia" w:ascii="Times New Roman" w:hAnsi="Times New Roman" w:cs="Times New Roman"/>
                <w:snapToGrid w:val="0"/>
                <w:kern w:val="0"/>
                <w:sz w:val="24"/>
                <w:szCs w:val="24"/>
                <w:highlight w:val="none"/>
                <w:lang w:eastAsia="zh-CN"/>
              </w:rPr>
              <w:t>与</w:t>
            </w:r>
            <w:r>
              <w:rPr>
                <w:rFonts w:hint="eastAsia" w:cs="Times New Roman"/>
                <w:snapToGrid w:val="0"/>
                <w:kern w:val="0"/>
                <w:sz w:val="24"/>
                <w:szCs w:val="24"/>
                <w:highlight w:val="none"/>
                <w:lang w:eastAsia="zh-CN"/>
              </w:rPr>
              <w:t>聚乙烯薄膜</w:t>
            </w:r>
            <w:r>
              <w:rPr>
                <w:rFonts w:hint="eastAsia" w:ascii="Times New Roman" w:hAnsi="Times New Roman" w:cs="Times New Roman"/>
                <w:snapToGrid w:val="0"/>
                <w:kern w:val="0"/>
                <w:sz w:val="24"/>
                <w:szCs w:val="24"/>
                <w:highlight w:val="none"/>
                <w:lang w:eastAsia="zh-CN"/>
              </w:rPr>
              <w:t>在复合辊压力下立即贴合。贴合瞬间，</w:t>
            </w:r>
            <w:r>
              <w:rPr>
                <w:rFonts w:hint="eastAsia" w:ascii="Times New Roman" w:hAnsi="Times New Roman" w:cs="Times New Roman"/>
                <w:snapToGrid w:val="0"/>
                <w:kern w:val="0"/>
                <w:sz w:val="24"/>
                <w:szCs w:val="24"/>
                <w:highlight w:val="none"/>
                <w:lang w:val="en-US" w:eastAsia="zh-CN"/>
              </w:rPr>
              <w:t>-NCO与-OH</w:t>
            </w:r>
            <w:r>
              <w:rPr>
                <w:rFonts w:hint="eastAsia" w:ascii="Times New Roman" w:hAnsi="Times New Roman" w:cs="Times New Roman"/>
                <w:snapToGrid w:val="0"/>
                <w:kern w:val="0"/>
                <w:sz w:val="24"/>
                <w:szCs w:val="24"/>
                <w:highlight w:val="none"/>
                <w:lang w:eastAsia="zh-CN"/>
              </w:rPr>
              <w:t>发生初步的加成聚合反应</w:t>
            </w:r>
            <w:r>
              <w:rPr>
                <w:rFonts w:hint="eastAsia" w:cs="Times New Roman"/>
                <w:snapToGrid w:val="0"/>
                <w:kern w:val="0"/>
                <w:sz w:val="24"/>
                <w:szCs w:val="24"/>
                <w:highlight w:val="none"/>
                <w:lang w:eastAsia="zh-CN"/>
              </w:rPr>
              <w:t>，</w:t>
            </w:r>
            <w:r>
              <w:rPr>
                <w:rFonts w:hint="eastAsia" w:ascii="Times New Roman" w:hAnsi="Times New Roman" w:cs="Times New Roman"/>
                <w:snapToGrid w:val="0"/>
                <w:kern w:val="0"/>
                <w:sz w:val="24"/>
                <w:szCs w:val="24"/>
                <w:highlight w:val="none"/>
                <w:lang w:eastAsia="zh-CN"/>
              </w:rPr>
              <w:t>复合温度约为</w:t>
            </w:r>
            <w:r>
              <w:rPr>
                <w:rFonts w:hint="eastAsia" w:cs="Times New Roman"/>
                <w:snapToGrid w:val="0"/>
                <w:kern w:val="0"/>
                <w:sz w:val="24"/>
                <w:szCs w:val="24"/>
                <w:highlight w:val="none"/>
                <w:lang w:val="en-US" w:eastAsia="zh-CN"/>
              </w:rPr>
              <w:t>45</w:t>
            </w:r>
            <w:r>
              <w:rPr>
                <w:rFonts w:hint="default" w:ascii="Times New Roman" w:hAnsi="Times New Roman" w:eastAsia="宋体" w:cs="Times New Roman"/>
                <w:bCs/>
                <w:color w:val="000000"/>
                <w:sz w:val="24"/>
                <w:szCs w:val="24"/>
                <w:highlight w:val="none"/>
              </w:rPr>
              <w:t>℃</w:t>
            </w:r>
            <w:r>
              <w:rPr>
                <w:rFonts w:hint="eastAsia" w:ascii="Times New Roman" w:hAnsi="Times New Roman" w:cs="Times New Roman"/>
                <w:snapToGrid w:val="0"/>
                <w:kern w:val="0"/>
                <w:sz w:val="24"/>
                <w:szCs w:val="24"/>
                <w:highlight w:val="none"/>
                <w:lang w:eastAsia="zh-CN"/>
              </w:rPr>
              <w:t>。</w:t>
            </w:r>
            <w:r>
              <w:rPr>
                <w:rFonts w:hint="eastAsia" w:ascii="Times New Roman" w:hAnsi="Times New Roman" w:eastAsia="宋体" w:cs="Times New Roman"/>
                <w:color w:val="auto"/>
                <w:sz w:val="24"/>
                <w:highlight w:val="none"/>
                <w:lang w:val="en-US" w:eastAsia="zh-CN"/>
              </w:rPr>
              <w:t>复合胶可能产生极少量的单体二苯基甲烷二异氰酸酯</w:t>
            </w:r>
            <w:r>
              <w:rPr>
                <w:rFonts w:hint="eastAsia" w:cs="Times New Roman"/>
                <w:color w:val="auto"/>
                <w:sz w:val="24"/>
                <w:highlight w:val="none"/>
                <w:lang w:val="en-US" w:eastAsia="zh-CN"/>
              </w:rPr>
              <w:t>（</w:t>
            </w:r>
            <w:r>
              <w:rPr>
                <w:rFonts w:hint="eastAsia" w:ascii="Times New Roman" w:hAnsi="Times New Roman" w:eastAsia="宋体" w:cs="Times New Roman"/>
                <w:color w:val="auto"/>
                <w:sz w:val="24"/>
                <w:highlight w:val="none"/>
                <w:lang w:val="en-US" w:eastAsia="zh-CN"/>
              </w:rPr>
              <w:t>MDI</w:t>
            </w:r>
            <w:r>
              <w:rPr>
                <w:rFonts w:hint="eastAsia" w:cs="Times New Roman"/>
                <w:color w:val="auto"/>
                <w:sz w:val="24"/>
                <w:highlight w:val="none"/>
                <w:lang w:val="en-US" w:eastAsia="zh-CN"/>
              </w:rPr>
              <w:t>）</w:t>
            </w:r>
            <w:r>
              <w:rPr>
                <w:rFonts w:hint="eastAsia" w:ascii="Times New Roman" w:hAnsi="Times New Roman" w:eastAsia="宋体" w:cs="Times New Roman"/>
                <w:color w:val="auto"/>
                <w:sz w:val="24"/>
                <w:highlight w:val="none"/>
                <w:lang w:val="en-US" w:eastAsia="zh-CN"/>
              </w:rPr>
              <w:t>，参照《低游离聚氨酯预聚体在工业中的应用》（中国聚氨酯工业协会弹性体专业委员会2013年论文集）中低游离聚氨酯预聚体中异氰酸酯基质量分数含量＜0.1%，在复合工序使用过程，</w:t>
            </w:r>
            <w:r>
              <w:rPr>
                <w:rFonts w:hint="eastAsia" w:cs="Times New Roman"/>
                <w:color w:val="auto"/>
                <w:sz w:val="24"/>
                <w:highlight w:val="none"/>
                <w:lang w:val="en-US" w:eastAsia="zh-CN"/>
              </w:rPr>
              <w:t>少量MDI</w:t>
            </w:r>
            <w:r>
              <w:rPr>
                <w:rFonts w:hint="eastAsia" w:ascii="Times New Roman" w:hAnsi="Times New Roman" w:eastAsia="宋体" w:cs="Times New Roman"/>
                <w:color w:val="auto"/>
                <w:sz w:val="24"/>
                <w:highlight w:val="none"/>
                <w:lang w:val="en-US" w:eastAsia="zh-CN"/>
              </w:rPr>
              <w:t>挥发</w:t>
            </w:r>
            <w:r>
              <w:rPr>
                <w:rFonts w:hint="eastAsia" w:cs="Times New Roman"/>
                <w:color w:val="auto"/>
                <w:sz w:val="24"/>
                <w:highlight w:val="none"/>
                <w:lang w:val="en-US" w:eastAsia="zh-CN"/>
              </w:rPr>
              <w:t>。</w:t>
            </w:r>
          </w:p>
          <w:p w14:paraId="74F94708">
            <w:pPr>
              <w:keepNext w:val="0"/>
              <w:keepLines w:val="0"/>
              <w:suppressLineNumbers w:val="0"/>
              <w:adjustRightInd w:val="0"/>
              <w:snapToGrid w:val="0"/>
              <w:spacing w:before="0" w:beforeAutospacing="0" w:after="0" w:afterAutospacing="0" w:line="440" w:lineRule="exact"/>
              <w:ind w:left="0" w:right="0" w:firstLine="480" w:firstLineChars="200"/>
              <w:rPr>
                <w:rFonts w:hint="eastAsia" w:ascii="Times New Roman" w:hAnsi="Times New Roman" w:cs="Times New Roman"/>
                <w:snapToGrid w:val="0"/>
                <w:kern w:val="0"/>
                <w:sz w:val="24"/>
                <w:szCs w:val="24"/>
                <w:highlight w:val="none"/>
                <w:lang w:val="en-US" w:eastAsia="zh-CN"/>
              </w:rPr>
            </w:pPr>
            <w:r>
              <w:rPr>
                <w:rFonts w:hint="eastAsia" w:ascii="Times New Roman" w:hAnsi="Times New Roman" w:cs="Times New Roman"/>
                <w:snapToGrid w:val="0"/>
                <w:kern w:val="0"/>
                <w:sz w:val="24"/>
                <w:szCs w:val="24"/>
                <w:highlight w:val="none"/>
                <w:lang w:eastAsia="zh-CN"/>
              </w:rPr>
              <w:t>此工序产生复合废气（</w:t>
            </w:r>
            <w:r>
              <w:rPr>
                <w:rFonts w:hint="eastAsia" w:ascii="Times New Roman" w:hAnsi="Times New Roman" w:cs="Times New Roman"/>
                <w:snapToGrid w:val="0"/>
                <w:kern w:val="0"/>
                <w:sz w:val="24"/>
                <w:szCs w:val="24"/>
                <w:highlight w:val="none"/>
                <w:lang w:val="en-US" w:eastAsia="zh-CN"/>
              </w:rPr>
              <w:t>G2非甲烷总烃、二苯基甲烷二异氰酸酯（MDI）</w:t>
            </w:r>
            <w:r>
              <w:rPr>
                <w:rFonts w:hint="eastAsia" w:cs="Times New Roman"/>
                <w:snapToGrid w:val="0"/>
                <w:kern w:val="0"/>
                <w:sz w:val="24"/>
                <w:szCs w:val="24"/>
                <w:highlight w:val="none"/>
                <w:lang w:val="en-US" w:eastAsia="zh-CN"/>
              </w:rPr>
              <w:t>、臭气浓度</w:t>
            </w:r>
            <w:r>
              <w:rPr>
                <w:rFonts w:hint="eastAsia" w:ascii="Times New Roman" w:hAnsi="Times New Roman" w:cs="Times New Roman"/>
                <w:snapToGrid w:val="0"/>
                <w:kern w:val="0"/>
                <w:sz w:val="24"/>
                <w:szCs w:val="24"/>
                <w:highlight w:val="none"/>
                <w:lang w:val="en-US" w:eastAsia="zh-CN"/>
              </w:rPr>
              <w:t>）</w:t>
            </w:r>
            <w:r>
              <w:rPr>
                <w:rFonts w:hint="eastAsia" w:cs="Times New Roman"/>
                <w:snapToGrid w:val="0"/>
                <w:kern w:val="0"/>
                <w:sz w:val="24"/>
                <w:szCs w:val="24"/>
                <w:highlight w:val="none"/>
                <w:lang w:val="en-US" w:eastAsia="zh-CN"/>
              </w:rPr>
              <w:t>，由“集气罩+软帘收集+二级活性炭吸附装置+1根15m排气筒（DA003新增）”排放</w:t>
            </w:r>
            <w:r>
              <w:rPr>
                <w:rFonts w:hint="eastAsia" w:ascii="Times New Roman" w:hAnsi="Times New Roman" w:cs="Times New Roman"/>
                <w:snapToGrid w:val="0"/>
                <w:kern w:val="0"/>
                <w:sz w:val="24"/>
                <w:szCs w:val="24"/>
                <w:highlight w:val="none"/>
                <w:lang w:val="en-US" w:eastAsia="zh-CN"/>
              </w:rPr>
              <w:t>，固体废物主要为废胶粘剂桶（S</w:t>
            </w:r>
            <w:r>
              <w:rPr>
                <w:rFonts w:hint="eastAsia" w:cs="Times New Roman"/>
                <w:snapToGrid w:val="0"/>
                <w:kern w:val="0"/>
                <w:sz w:val="24"/>
                <w:szCs w:val="24"/>
                <w:highlight w:val="none"/>
                <w:lang w:val="en-US" w:eastAsia="zh-CN"/>
              </w:rPr>
              <w:t>4</w:t>
            </w:r>
            <w:r>
              <w:rPr>
                <w:rFonts w:hint="eastAsia" w:ascii="Times New Roman" w:hAnsi="Times New Roman" w:cs="Times New Roman"/>
                <w:snapToGrid w:val="0"/>
                <w:kern w:val="0"/>
                <w:sz w:val="24"/>
                <w:szCs w:val="24"/>
                <w:highlight w:val="none"/>
                <w:lang w:val="en-US" w:eastAsia="zh-CN"/>
              </w:rPr>
              <w:t>），同时产生设备噪声（N2）。</w:t>
            </w:r>
          </w:p>
          <w:p w14:paraId="6DA31D01">
            <w:pPr>
              <w:keepNext w:val="0"/>
              <w:keepLines w:val="0"/>
              <w:numPr>
                <w:ilvl w:val="0"/>
                <w:numId w:val="0"/>
              </w:numPr>
              <w:suppressLineNumbers w:val="0"/>
              <w:adjustRightInd w:val="0"/>
              <w:snapToGrid w:val="0"/>
              <w:spacing w:before="0" w:beforeAutospacing="0" w:after="0" w:afterAutospacing="0" w:line="440" w:lineRule="exact"/>
              <w:ind w:left="0" w:leftChars="0" w:right="0" w:firstLine="480" w:firstLineChars="200"/>
              <w:rPr>
                <w:rFonts w:hint="eastAsia" w:ascii="Times New Roman" w:hAnsi="Times New Roman" w:eastAsia="宋体" w:cs="Times New Roman"/>
                <w:snapToGrid w:val="0"/>
                <w:kern w:val="0"/>
                <w:sz w:val="24"/>
                <w:szCs w:val="24"/>
                <w:highlight w:val="none"/>
                <w:lang w:val="en-US" w:eastAsia="zh-CN"/>
              </w:rPr>
            </w:pPr>
            <w:r>
              <w:rPr>
                <w:rFonts w:hint="eastAsia" w:ascii="Times New Roman" w:hAnsi="Times New Roman" w:eastAsia="宋体" w:cs="Times New Roman"/>
                <w:snapToGrid w:val="0"/>
                <w:kern w:val="0"/>
                <w:sz w:val="24"/>
                <w:szCs w:val="24"/>
                <w:highlight w:val="none"/>
                <w:lang w:val="en-US" w:eastAsia="zh-CN" w:bidi="ar-SA"/>
              </w:rPr>
              <w:t>（3）</w:t>
            </w:r>
            <w:r>
              <w:rPr>
                <w:rFonts w:hint="eastAsia" w:ascii="Times New Roman" w:hAnsi="Times New Roman" w:eastAsia="宋体" w:cs="Times New Roman"/>
                <w:snapToGrid w:val="0"/>
                <w:kern w:val="0"/>
                <w:sz w:val="24"/>
                <w:szCs w:val="24"/>
                <w:highlight w:val="none"/>
                <w:lang w:val="en-US" w:eastAsia="zh-CN"/>
              </w:rPr>
              <w:t>固化</w:t>
            </w:r>
          </w:p>
          <w:p w14:paraId="4E0757CB">
            <w:pPr>
              <w:keepNext w:val="0"/>
              <w:keepLines w:val="0"/>
              <w:suppressLineNumbers w:val="0"/>
              <w:adjustRightInd w:val="0"/>
              <w:snapToGrid w:val="0"/>
              <w:spacing w:before="0" w:beforeAutospacing="0" w:after="0" w:afterAutospacing="0" w:line="440" w:lineRule="exact"/>
              <w:ind w:left="0" w:right="0" w:firstLine="480" w:firstLineChars="200"/>
              <w:rPr>
                <w:rFonts w:hint="default" w:ascii="Times New Roman" w:hAnsi="Times New Roman" w:cs="Times New Roman"/>
                <w:highlight w:val="none"/>
                <w:lang w:val="en-US" w:eastAsia="zh-CN"/>
              </w:rPr>
            </w:pPr>
            <w:r>
              <w:rPr>
                <w:rFonts w:hint="eastAsia" w:ascii="Times New Roman" w:hAnsi="Times New Roman" w:cs="Times New Roman"/>
                <w:snapToGrid w:val="0"/>
                <w:kern w:val="0"/>
                <w:sz w:val="24"/>
                <w:szCs w:val="24"/>
                <w:highlight w:val="none"/>
                <w:lang w:eastAsia="zh-CN"/>
              </w:rPr>
              <w:t>复合后</w:t>
            </w:r>
            <w:r>
              <w:rPr>
                <w:rFonts w:hint="eastAsia" w:ascii="Times New Roman" w:hAnsi="Times New Roman" w:cs="Times New Roman"/>
                <w:snapToGrid w:val="0"/>
                <w:kern w:val="0"/>
                <w:sz w:val="24"/>
                <w:szCs w:val="24"/>
                <w:highlight w:val="none"/>
              </w:rPr>
              <w:t>进入密闭固化室进行烘干固化</w:t>
            </w:r>
            <w:r>
              <w:rPr>
                <w:rFonts w:hint="eastAsia" w:ascii="Times New Roman" w:hAnsi="Times New Roman" w:cs="Times New Roman"/>
                <w:snapToGrid w:val="0"/>
                <w:kern w:val="0"/>
                <w:sz w:val="24"/>
                <w:szCs w:val="24"/>
                <w:highlight w:val="none"/>
                <w:lang w:eastAsia="zh-CN"/>
              </w:rPr>
              <w:t>，固化温度约为</w:t>
            </w:r>
            <w:r>
              <w:rPr>
                <w:rFonts w:hint="eastAsia" w:ascii="Times New Roman" w:hAnsi="Times New Roman" w:cs="Times New Roman"/>
                <w:snapToGrid w:val="0"/>
                <w:kern w:val="0"/>
                <w:sz w:val="24"/>
                <w:szCs w:val="24"/>
                <w:highlight w:val="none"/>
                <w:lang w:val="en-US" w:eastAsia="zh-CN"/>
              </w:rPr>
              <w:t>60</w:t>
            </w:r>
            <w:r>
              <w:rPr>
                <w:rFonts w:hint="eastAsia" w:ascii="Times New Roman" w:hAnsi="Times New Roman" w:cs="宋体"/>
                <w:bCs/>
                <w:color w:val="000000"/>
                <w:szCs w:val="24"/>
                <w:highlight w:val="none"/>
              </w:rPr>
              <w:t>℃</w:t>
            </w:r>
            <w:r>
              <w:rPr>
                <w:rFonts w:hint="eastAsia" w:ascii="Times New Roman" w:hAnsi="Times New Roman" w:cs="Times New Roman"/>
                <w:snapToGrid w:val="0"/>
                <w:kern w:val="0"/>
                <w:sz w:val="24"/>
                <w:szCs w:val="24"/>
                <w:highlight w:val="none"/>
              </w:rPr>
              <w:t>，</w:t>
            </w:r>
            <w:r>
              <w:rPr>
                <w:rFonts w:hint="eastAsia" w:ascii="Times New Roman" w:hAnsi="Times New Roman" w:cs="Times New Roman"/>
                <w:snapToGrid w:val="0"/>
                <w:kern w:val="0"/>
                <w:sz w:val="24"/>
                <w:szCs w:val="24"/>
                <w:highlight w:val="none"/>
                <w:lang w:eastAsia="zh-CN"/>
              </w:rPr>
              <w:t>固化</w:t>
            </w:r>
            <w:r>
              <w:rPr>
                <w:rFonts w:hint="eastAsia" w:ascii="Times New Roman" w:hAnsi="Times New Roman" w:cs="Times New Roman"/>
                <w:snapToGrid w:val="0"/>
                <w:kern w:val="0"/>
                <w:sz w:val="24"/>
                <w:szCs w:val="24"/>
                <w:highlight w:val="none"/>
                <w:lang w:val="en-US" w:eastAsia="zh-CN"/>
              </w:rPr>
              <w:t>72h，在热能的驱动下，剩余的-NCO与-OH继续大量反应，使聚合物链段不断延长</w:t>
            </w:r>
            <w:r>
              <w:rPr>
                <w:rFonts w:hint="eastAsia" w:cs="Times New Roman"/>
                <w:snapToGrid w:val="0"/>
                <w:kern w:val="0"/>
                <w:sz w:val="24"/>
                <w:szCs w:val="24"/>
                <w:highlight w:val="none"/>
                <w:lang w:val="en-US" w:eastAsia="zh-CN"/>
              </w:rPr>
              <w:t>，</w:t>
            </w:r>
            <w:r>
              <w:rPr>
                <w:rFonts w:hint="eastAsia" w:ascii="Times New Roman" w:hAnsi="Times New Roman" w:cs="Times New Roman"/>
                <w:snapToGrid w:val="0"/>
                <w:kern w:val="0"/>
                <w:sz w:val="24"/>
                <w:szCs w:val="24"/>
                <w:highlight w:val="none"/>
                <w:lang w:val="en-US" w:eastAsia="zh-CN"/>
              </w:rPr>
              <w:t>固化时</w:t>
            </w:r>
            <w:r>
              <w:rPr>
                <w:rFonts w:hint="eastAsia" w:cs="Times New Roman"/>
                <w:snapToGrid w:val="0"/>
                <w:kern w:val="0"/>
                <w:sz w:val="24"/>
                <w:szCs w:val="24"/>
                <w:highlight w:val="none"/>
                <w:lang w:val="en-US" w:eastAsia="zh-CN"/>
              </w:rPr>
              <w:t>剩余大量</w:t>
            </w:r>
            <w:r>
              <w:rPr>
                <w:rFonts w:hint="eastAsia" w:ascii="Times New Roman" w:hAnsi="Times New Roman" w:cs="Times New Roman"/>
                <w:snapToGrid w:val="0"/>
                <w:kern w:val="0"/>
                <w:sz w:val="24"/>
                <w:szCs w:val="24"/>
                <w:highlight w:val="none"/>
                <w:lang w:val="en-US" w:eastAsia="zh-CN"/>
              </w:rPr>
              <w:t>二苯基甲烷二异氰酸酯</w:t>
            </w:r>
            <w:r>
              <w:rPr>
                <w:rFonts w:hint="eastAsia" w:cs="Times New Roman"/>
                <w:snapToGrid w:val="0"/>
                <w:kern w:val="0"/>
                <w:sz w:val="24"/>
                <w:szCs w:val="24"/>
                <w:highlight w:val="none"/>
                <w:lang w:val="en-US" w:eastAsia="zh-CN"/>
              </w:rPr>
              <w:t>（</w:t>
            </w:r>
            <w:r>
              <w:rPr>
                <w:rFonts w:hint="eastAsia" w:ascii="Times New Roman" w:hAnsi="Times New Roman" w:cs="Times New Roman"/>
                <w:snapToGrid w:val="0"/>
                <w:kern w:val="0"/>
                <w:sz w:val="24"/>
                <w:szCs w:val="24"/>
                <w:highlight w:val="none"/>
                <w:lang w:val="en-US" w:eastAsia="zh-CN"/>
              </w:rPr>
              <w:t>MDI</w:t>
            </w:r>
            <w:r>
              <w:rPr>
                <w:rFonts w:hint="eastAsia" w:cs="Times New Roman"/>
                <w:snapToGrid w:val="0"/>
                <w:kern w:val="0"/>
                <w:sz w:val="24"/>
                <w:szCs w:val="24"/>
                <w:highlight w:val="none"/>
                <w:lang w:val="en-US" w:eastAsia="zh-CN"/>
              </w:rPr>
              <w:t>）挥发</w:t>
            </w:r>
            <w:r>
              <w:rPr>
                <w:rFonts w:hint="eastAsia" w:ascii="Times New Roman" w:hAnsi="Times New Roman" w:cs="Times New Roman"/>
                <w:snapToGrid w:val="0"/>
                <w:kern w:val="0"/>
                <w:sz w:val="24"/>
                <w:szCs w:val="24"/>
                <w:highlight w:val="none"/>
                <w:lang w:val="en-US" w:eastAsia="zh-CN"/>
              </w:rPr>
              <w:t>。</w:t>
            </w:r>
            <w:r>
              <w:rPr>
                <w:rFonts w:hint="eastAsia" w:ascii="Times New Roman" w:hAnsi="Times New Roman" w:cs="Times New Roman"/>
                <w:snapToGrid w:val="0"/>
                <w:kern w:val="0"/>
                <w:sz w:val="24"/>
                <w:szCs w:val="24"/>
                <w:highlight w:val="none"/>
              </w:rPr>
              <w:t>固化后的产品进入下一工序</w:t>
            </w:r>
            <w:r>
              <w:rPr>
                <w:rFonts w:hint="eastAsia" w:cs="Times New Roman"/>
                <w:snapToGrid w:val="0"/>
                <w:kern w:val="0"/>
                <w:sz w:val="24"/>
                <w:szCs w:val="24"/>
                <w:highlight w:val="none"/>
                <w:lang w:val="en-US" w:eastAsia="zh-CN"/>
              </w:rPr>
              <w:t>。</w:t>
            </w:r>
          </w:p>
          <w:p w14:paraId="7FDF8851">
            <w:pPr>
              <w:keepNext w:val="0"/>
              <w:keepLines w:val="0"/>
              <w:suppressLineNumbers w:val="0"/>
              <w:adjustRightInd w:val="0"/>
              <w:snapToGrid w:val="0"/>
              <w:spacing w:before="0" w:beforeAutospacing="0" w:after="0" w:afterAutospacing="0" w:line="440" w:lineRule="exact"/>
              <w:ind w:left="0" w:right="0" w:firstLine="480" w:firstLineChars="200"/>
              <w:rPr>
                <w:rFonts w:hint="eastAsia" w:ascii="Times New Roman" w:hAnsi="Times New Roman" w:cs="Times New Roman"/>
                <w:snapToGrid w:val="0"/>
                <w:kern w:val="0"/>
                <w:sz w:val="24"/>
                <w:szCs w:val="24"/>
                <w:highlight w:val="none"/>
                <w:lang w:eastAsia="zh-CN"/>
              </w:rPr>
            </w:pPr>
            <w:r>
              <w:rPr>
                <w:rFonts w:hint="eastAsia" w:ascii="Times New Roman" w:hAnsi="Times New Roman" w:cs="Times New Roman"/>
                <w:snapToGrid w:val="0"/>
                <w:kern w:val="0"/>
                <w:sz w:val="24"/>
                <w:szCs w:val="24"/>
                <w:highlight w:val="none"/>
                <w:lang w:eastAsia="zh-CN"/>
              </w:rPr>
              <w:t>此工序产生固化废气（</w:t>
            </w:r>
            <w:r>
              <w:rPr>
                <w:rFonts w:hint="eastAsia" w:ascii="Times New Roman" w:hAnsi="Times New Roman" w:cs="Times New Roman"/>
                <w:snapToGrid w:val="0"/>
                <w:kern w:val="0"/>
                <w:sz w:val="24"/>
                <w:szCs w:val="24"/>
                <w:highlight w:val="none"/>
                <w:lang w:val="en-US" w:eastAsia="zh-CN"/>
              </w:rPr>
              <w:t>G3非甲烷总烃</w:t>
            </w:r>
            <w:r>
              <w:rPr>
                <w:rFonts w:hint="eastAsia" w:cs="Times New Roman"/>
                <w:snapToGrid w:val="0"/>
                <w:kern w:val="0"/>
                <w:sz w:val="24"/>
                <w:szCs w:val="24"/>
                <w:highlight w:val="none"/>
                <w:lang w:val="en-US" w:eastAsia="zh-CN"/>
              </w:rPr>
              <w:t>、</w:t>
            </w:r>
            <w:r>
              <w:rPr>
                <w:rFonts w:hint="eastAsia" w:ascii="Times New Roman" w:hAnsi="Times New Roman" w:cs="Times New Roman"/>
                <w:snapToGrid w:val="0"/>
                <w:kern w:val="0"/>
                <w:sz w:val="24"/>
                <w:szCs w:val="24"/>
                <w:highlight w:val="none"/>
                <w:lang w:val="en-US" w:eastAsia="zh-CN"/>
              </w:rPr>
              <w:t>二苯基甲烷二异氰酸酯（MDI）</w:t>
            </w:r>
            <w:r>
              <w:rPr>
                <w:rFonts w:hint="eastAsia" w:cs="Times New Roman"/>
                <w:snapToGrid w:val="0"/>
                <w:kern w:val="0"/>
                <w:sz w:val="24"/>
                <w:szCs w:val="24"/>
                <w:highlight w:val="none"/>
                <w:lang w:val="en-US" w:eastAsia="zh-CN"/>
              </w:rPr>
              <w:t>、臭气浓度</w:t>
            </w:r>
            <w:r>
              <w:rPr>
                <w:rFonts w:hint="eastAsia" w:ascii="Times New Roman" w:hAnsi="Times New Roman" w:cs="Times New Roman"/>
                <w:snapToGrid w:val="0"/>
                <w:kern w:val="0"/>
                <w:sz w:val="24"/>
                <w:szCs w:val="24"/>
                <w:highlight w:val="none"/>
                <w:lang w:val="en-US" w:eastAsia="zh-CN"/>
              </w:rPr>
              <w:t>）</w:t>
            </w:r>
            <w:r>
              <w:rPr>
                <w:rFonts w:hint="eastAsia" w:cs="Times New Roman"/>
                <w:snapToGrid w:val="0"/>
                <w:kern w:val="0"/>
                <w:sz w:val="24"/>
                <w:szCs w:val="24"/>
                <w:highlight w:val="none"/>
                <w:lang w:val="en-US" w:eastAsia="zh-CN"/>
              </w:rPr>
              <w:t>，由“管道收集+二级活性炭吸附装置+1根15m排气筒（DA003新增）”排放</w:t>
            </w:r>
            <w:r>
              <w:rPr>
                <w:rFonts w:hint="eastAsia" w:ascii="Times New Roman" w:hAnsi="Times New Roman" w:cs="Times New Roman"/>
                <w:snapToGrid w:val="0"/>
                <w:kern w:val="0"/>
                <w:sz w:val="24"/>
                <w:szCs w:val="24"/>
                <w:highlight w:val="none"/>
                <w:lang w:val="en-US" w:eastAsia="zh-CN"/>
              </w:rPr>
              <w:t>，同时产生设备噪声（N3）</w:t>
            </w:r>
            <w:r>
              <w:rPr>
                <w:rFonts w:hint="eastAsia" w:ascii="Times New Roman" w:hAnsi="Times New Roman" w:cs="Times New Roman"/>
                <w:snapToGrid w:val="0"/>
                <w:kern w:val="0"/>
                <w:sz w:val="24"/>
                <w:szCs w:val="24"/>
                <w:highlight w:val="none"/>
                <w:lang w:eastAsia="zh-CN"/>
              </w:rPr>
              <w:t>。</w:t>
            </w:r>
          </w:p>
          <w:p w14:paraId="211F28E4">
            <w:pPr>
              <w:keepNext w:val="0"/>
              <w:keepLines w:val="0"/>
              <w:numPr>
                <w:ilvl w:val="0"/>
                <w:numId w:val="0"/>
              </w:numPr>
              <w:suppressLineNumbers w:val="0"/>
              <w:adjustRightInd w:val="0"/>
              <w:snapToGrid w:val="0"/>
              <w:spacing w:before="0" w:beforeAutospacing="0" w:after="0" w:afterAutospacing="0" w:line="440" w:lineRule="exact"/>
              <w:ind w:left="0" w:leftChars="0" w:right="0" w:firstLine="480" w:firstLineChars="200"/>
              <w:rPr>
                <w:rFonts w:hint="default" w:ascii="Times New Roman" w:hAnsi="Times New Roman" w:eastAsia="宋体" w:cs="Times New Roman"/>
                <w:snapToGrid w:val="0"/>
                <w:kern w:val="0"/>
                <w:sz w:val="24"/>
                <w:szCs w:val="24"/>
                <w:highlight w:val="none"/>
                <w:lang w:val="en-US" w:eastAsia="zh-CN"/>
              </w:rPr>
            </w:pPr>
            <w:r>
              <w:rPr>
                <w:rFonts w:hint="default" w:ascii="Times New Roman" w:hAnsi="Times New Roman" w:eastAsia="宋体" w:cs="Times New Roman"/>
                <w:snapToGrid w:val="0"/>
                <w:kern w:val="0"/>
                <w:sz w:val="24"/>
                <w:szCs w:val="24"/>
                <w:highlight w:val="none"/>
                <w:lang w:val="en-US" w:eastAsia="zh-CN" w:bidi="ar-SA"/>
              </w:rPr>
              <w:t>（4）</w:t>
            </w:r>
            <w:r>
              <w:rPr>
                <w:rFonts w:hint="eastAsia" w:ascii="Times New Roman" w:hAnsi="Times New Roman" w:eastAsia="宋体" w:cs="Times New Roman"/>
                <w:snapToGrid w:val="0"/>
                <w:kern w:val="0"/>
                <w:sz w:val="24"/>
                <w:szCs w:val="24"/>
                <w:highlight w:val="none"/>
                <w:lang w:val="en-US" w:eastAsia="zh-CN"/>
              </w:rPr>
              <w:t>分切</w:t>
            </w:r>
          </w:p>
          <w:p w14:paraId="721D6DC3">
            <w:pPr>
              <w:keepNext w:val="0"/>
              <w:keepLines w:val="0"/>
              <w:suppressLineNumbers w:val="0"/>
              <w:adjustRightInd w:val="0"/>
              <w:snapToGrid w:val="0"/>
              <w:spacing w:before="0" w:beforeAutospacing="0" w:after="0" w:afterAutospacing="0" w:line="440" w:lineRule="exact"/>
              <w:ind w:left="0" w:right="0" w:firstLine="480" w:firstLineChars="200"/>
              <w:rPr>
                <w:rFonts w:hint="default" w:ascii="Times New Roman" w:hAnsi="Times New Roman" w:eastAsia="宋体" w:cs="Times New Roman"/>
                <w:snapToGrid w:val="0"/>
                <w:kern w:val="0"/>
                <w:sz w:val="24"/>
                <w:szCs w:val="24"/>
                <w:highlight w:val="none"/>
                <w:lang w:val="en-US" w:eastAsia="zh-CN"/>
              </w:rPr>
            </w:pPr>
            <w:r>
              <w:rPr>
                <w:rFonts w:hint="default" w:ascii="Times New Roman" w:hAnsi="Times New Roman" w:eastAsia="宋体" w:cs="Times New Roman"/>
                <w:snapToGrid w:val="0"/>
                <w:kern w:val="0"/>
                <w:sz w:val="24"/>
                <w:szCs w:val="24"/>
                <w:highlight w:val="none"/>
                <w:lang w:val="en-US" w:eastAsia="zh-CN"/>
              </w:rPr>
              <w:t>复合好的半成品经辊道牵引进入分切机裁切为指定大小。</w:t>
            </w:r>
          </w:p>
          <w:p w14:paraId="6E1C4130">
            <w:pPr>
              <w:keepNext w:val="0"/>
              <w:keepLines w:val="0"/>
              <w:suppressLineNumbers w:val="0"/>
              <w:adjustRightInd w:val="0"/>
              <w:snapToGrid w:val="0"/>
              <w:spacing w:before="0" w:beforeAutospacing="0" w:after="0" w:afterAutospacing="0" w:line="440" w:lineRule="exact"/>
              <w:ind w:left="0" w:right="0" w:firstLine="480" w:firstLineChars="200"/>
              <w:rPr>
                <w:rFonts w:hint="eastAsia" w:ascii="Times New Roman" w:hAnsi="Times New Roman" w:eastAsia="宋体" w:cs="Times New Roman"/>
                <w:snapToGrid w:val="0"/>
                <w:kern w:val="0"/>
                <w:sz w:val="24"/>
                <w:szCs w:val="24"/>
                <w:highlight w:val="none"/>
                <w:lang w:val="en-US" w:eastAsia="zh-CN"/>
              </w:rPr>
            </w:pPr>
            <w:r>
              <w:rPr>
                <w:rFonts w:hint="eastAsia" w:ascii="Times New Roman" w:hAnsi="Times New Roman" w:eastAsia="宋体" w:cs="Times New Roman"/>
                <w:snapToGrid w:val="0"/>
                <w:kern w:val="0"/>
                <w:sz w:val="24"/>
                <w:szCs w:val="24"/>
                <w:highlight w:val="none"/>
                <w:lang w:val="en-US" w:eastAsia="zh-CN"/>
              </w:rPr>
              <w:t>此工序产生废边角料（S</w:t>
            </w:r>
            <w:r>
              <w:rPr>
                <w:rFonts w:hint="eastAsia" w:cs="Times New Roman"/>
                <w:snapToGrid w:val="0"/>
                <w:kern w:val="0"/>
                <w:sz w:val="24"/>
                <w:szCs w:val="24"/>
                <w:highlight w:val="none"/>
                <w:lang w:val="en-US" w:eastAsia="zh-CN"/>
              </w:rPr>
              <w:t>5</w:t>
            </w:r>
            <w:r>
              <w:rPr>
                <w:rFonts w:hint="eastAsia" w:ascii="Times New Roman" w:hAnsi="Times New Roman" w:eastAsia="宋体" w:cs="Times New Roman"/>
                <w:snapToGrid w:val="0"/>
                <w:kern w:val="0"/>
                <w:sz w:val="24"/>
                <w:szCs w:val="24"/>
                <w:highlight w:val="none"/>
                <w:lang w:val="en-US" w:eastAsia="zh-CN"/>
              </w:rPr>
              <w:t>），同时产生设备噪声（N4）。</w:t>
            </w:r>
          </w:p>
          <w:p w14:paraId="5FC97DE6">
            <w:pPr>
              <w:keepNext w:val="0"/>
              <w:keepLines w:val="0"/>
              <w:numPr>
                <w:ilvl w:val="0"/>
                <w:numId w:val="0"/>
              </w:numPr>
              <w:suppressLineNumbers w:val="0"/>
              <w:adjustRightInd w:val="0"/>
              <w:snapToGrid w:val="0"/>
              <w:spacing w:before="0" w:beforeAutospacing="0" w:after="0" w:afterAutospacing="0" w:line="440" w:lineRule="exact"/>
              <w:ind w:left="0" w:leftChars="0" w:right="0" w:firstLine="480" w:firstLineChars="200"/>
              <w:rPr>
                <w:rFonts w:hint="default" w:ascii="Times New Roman" w:hAnsi="Times New Roman" w:eastAsia="宋体" w:cs="Times New Roman"/>
                <w:snapToGrid w:val="0"/>
                <w:kern w:val="0"/>
                <w:sz w:val="24"/>
                <w:szCs w:val="24"/>
                <w:highlight w:val="none"/>
                <w:lang w:val="en-US" w:eastAsia="zh-CN"/>
              </w:rPr>
            </w:pPr>
            <w:r>
              <w:rPr>
                <w:rFonts w:hint="default" w:ascii="Times New Roman" w:hAnsi="Times New Roman" w:eastAsia="宋体" w:cs="Times New Roman"/>
                <w:snapToGrid w:val="0"/>
                <w:kern w:val="0"/>
                <w:sz w:val="24"/>
                <w:szCs w:val="24"/>
                <w:highlight w:val="none"/>
                <w:lang w:val="en-US" w:eastAsia="zh-CN" w:bidi="ar-SA"/>
              </w:rPr>
              <w:t>（5）</w:t>
            </w:r>
            <w:r>
              <w:rPr>
                <w:rFonts w:hint="eastAsia" w:ascii="Times New Roman" w:hAnsi="Times New Roman" w:eastAsia="宋体" w:cs="Times New Roman"/>
                <w:snapToGrid w:val="0"/>
                <w:kern w:val="0"/>
                <w:sz w:val="24"/>
                <w:szCs w:val="24"/>
                <w:highlight w:val="none"/>
                <w:lang w:val="en-US" w:eastAsia="zh-CN"/>
              </w:rPr>
              <w:t>检验</w:t>
            </w:r>
          </w:p>
          <w:p w14:paraId="192F688D">
            <w:pPr>
              <w:keepNext w:val="0"/>
              <w:keepLines w:val="0"/>
              <w:suppressLineNumbers w:val="0"/>
              <w:adjustRightInd w:val="0"/>
              <w:snapToGrid w:val="0"/>
              <w:spacing w:before="0" w:beforeAutospacing="0" w:after="0" w:afterAutospacing="0" w:line="440" w:lineRule="exact"/>
              <w:ind w:left="0" w:right="0" w:firstLine="480" w:firstLineChars="200"/>
              <w:rPr>
                <w:rFonts w:hint="eastAsia" w:ascii="Times New Roman" w:hAnsi="Times New Roman" w:eastAsia="宋体" w:cs="Times New Roman"/>
                <w:snapToGrid w:val="0"/>
                <w:kern w:val="0"/>
                <w:sz w:val="24"/>
                <w:szCs w:val="24"/>
                <w:highlight w:val="none"/>
                <w:lang w:val="en-US" w:eastAsia="zh-CN"/>
              </w:rPr>
            </w:pPr>
            <w:r>
              <w:rPr>
                <w:rFonts w:hint="eastAsia" w:ascii="Times New Roman" w:hAnsi="Times New Roman" w:cs="Times New Roman"/>
                <w:sz w:val="24"/>
                <w:szCs w:val="24"/>
                <w:highlight w:val="none"/>
                <w:lang w:val="en-US" w:eastAsia="zh-CN"/>
              </w:rPr>
              <w:t>按照产品要求、规格等对分切完成的包装袋进行检验，检验合格，即为成品，包装入库待售</w:t>
            </w:r>
            <w:r>
              <w:rPr>
                <w:rFonts w:hint="eastAsia" w:ascii="Times New Roman" w:hAnsi="Times New Roman" w:cs="Times New Roman"/>
                <w:snapToGrid w:val="0"/>
                <w:kern w:val="0"/>
                <w:sz w:val="24"/>
                <w:szCs w:val="24"/>
                <w:highlight w:val="none"/>
              </w:rPr>
              <w:t>。</w:t>
            </w:r>
          </w:p>
          <w:p w14:paraId="006BD301">
            <w:pPr>
              <w:keepNext w:val="0"/>
              <w:keepLines w:val="0"/>
              <w:suppressLineNumbers w:val="0"/>
              <w:adjustRightInd w:val="0"/>
              <w:snapToGrid w:val="0"/>
              <w:spacing w:before="0" w:beforeAutospacing="0" w:after="0" w:afterAutospacing="0" w:line="440" w:lineRule="exact"/>
              <w:ind w:left="0" w:right="0" w:firstLine="480" w:firstLineChars="200"/>
              <w:rPr>
                <w:rFonts w:hint="default" w:ascii="Times New Roman" w:hAnsi="Times New Roman" w:eastAsia="宋体" w:cs="Times New Roman"/>
                <w:snapToGrid w:val="0"/>
                <w:kern w:val="0"/>
                <w:sz w:val="24"/>
                <w:szCs w:val="24"/>
                <w:highlight w:val="none"/>
                <w:lang w:val="en-US" w:eastAsia="zh-CN"/>
              </w:rPr>
            </w:pPr>
            <w:r>
              <w:rPr>
                <w:rFonts w:hint="eastAsia" w:ascii="Times New Roman" w:hAnsi="Times New Roman" w:eastAsia="宋体" w:cs="Times New Roman"/>
                <w:snapToGrid w:val="0"/>
                <w:kern w:val="0"/>
                <w:sz w:val="24"/>
                <w:szCs w:val="24"/>
                <w:highlight w:val="none"/>
                <w:lang w:val="en-US" w:eastAsia="zh-CN"/>
              </w:rPr>
              <w:t>此工序产生不合格品（S</w:t>
            </w:r>
            <w:r>
              <w:rPr>
                <w:rFonts w:hint="eastAsia" w:cs="Times New Roman"/>
                <w:snapToGrid w:val="0"/>
                <w:kern w:val="0"/>
                <w:sz w:val="24"/>
                <w:szCs w:val="24"/>
                <w:highlight w:val="none"/>
                <w:lang w:val="en-US" w:eastAsia="zh-CN"/>
              </w:rPr>
              <w:t>6</w:t>
            </w:r>
            <w:r>
              <w:rPr>
                <w:rFonts w:hint="eastAsia" w:ascii="Times New Roman" w:hAnsi="Times New Roman" w:eastAsia="宋体" w:cs="Times New Roman"/>
                <w:snapToGrid w:val="0"/>
                <w:kern w:val="0"/>
                <w:sz w:val="24"/>
                <w:szCs w:val="24"/>
                <w:highlight w:val="none"/>
                <w:lang w:val="en-US" w:eastAsia="zh-CN"/>
              </w:rPr>
              <w:t>）。</w:t>
            </w:r>
          </w:p>
          <w:p w14:paraId="198E0432">
            <w:pPr>
              <w:keepNext w:val="0"/>
              <w:keepLines w:val="0"/>
              <w:suppressLineNumbers w:val="0"/>
              <w:adjustRightInd w:val="0"/>
              <w:snapToGrid w:val="0"/>
              <w:spacing w:before="0" w:beforeAutospacing="0" w:after="0" w:afterAutospacing="0" w:line="440" w:lineRule="exact"/>
              <w:ind w:left="0" w:right="0" w:firstLine="480" w:firstLineChars="200"/>
              <w:rPr>
                <w:rFonts w:hint="eastAsia" w:ascii="Times New Roman" w:hAnsi="Times New Roman" w:cs="Times New Roman"/>
                <w:b/>
                <w:szCs w:val="21"/>
                <w:highlight w:val="none"/>
              </w:rPr>
            </w:pPr>
            <w:r>
              <w:rPr>
                <w:rFonts w:hint="eastAsia" w:ascii="Times New Roman" w:hAnsi="Times New Roman" w:eastAsia="宋体" w:cs="Times New Roman"/>
                <w:snapToGrid w:val="0"/>
                <w:kern w:val="0"/>
                <w:sz w:val="24"/>
                <w:szCs w:val="24"/>
                <w:highlight w:val="none"/>
                <w:lang w:val="en-US" w:eastAsia="zh-CN"/>
              </w:rPr>
              <w:t>此外，环保设备运行产生废活性炭（S</w:t>
            </w:r>
            <w:r>
              <w:rPr>
                <w:rFonts w:hint="eastAsia" w:cs="Times New Roman"/>
                <w:snapToGrid w:val="0"/>
                <w:kern w:val="0"/>
                <w:sz w:val="24"/>
                <w:szCs w:val="24"/>
                <w:highlight w:val="none"/>
                <w:lang w:val="en-US" w:eastAsia="zh-CN"/>
              </w:rPr>
              <w:t>7</w:t>
            </w:r>
            <w:r>
              <w:rPr>
                <w:rFonts w:hint="eastAsia" w:ascii="Times New Roman" w:hAnsi="Times New Roman" w:eastAsia="宋体" w:cs="Times New Roman"/>
                <w:snapToGrid w:val="0"/>
                <w:kern w:val="0"/>
                <w:sz w:val="24"/>
                <w:szCs w:val="24"/>
                <w:highlight w:val="none"/>
                <w:lang w:val="en-US" w:eastAsia="zh-CN"/>
              </w:rPr>
              <w:t>），同时产生设备运行噪声（N5）</w:t>
            </w:r>
            <w:r>
              <w:rPr>
                <w:rFonts w:hint="eastAsia" w:cs="Times New Roman"/>
                <w:snapToGrid w:val="0"/>
                <w:kern w:val="0"/>
                <w:sz w:val="24"/>
                <w:szCs w:val="24"/>
                <w:highlight w:val="none"/>
                <w:lang w:val="en-US" w:eastAsia="zh-CN"/>
              </w:rPr>
              <w:t>；洁净车间空气过滤器产生废过滤介质（S8）</w:t>
            </w:r>
            <w:r>
              <w:rPr>
                <w:rFonts w:hint="eastAsia" w:ascii="Times New Roman" w:hAnsi="Times New Roman" w:eastAsia="宋体" w:cs="Times New Roman"/>
                <w:snapToGrid w:val="0"/>
                <w:kern w:val="0"/>
                <w:sz w:val="24"/>
                <w:szCs w:val="24"/>
                <w:highlight w:val="none"/>
                <w:lang w:val="en-US" w:eastAsia="zh-CN"/>
              </w:rPr>
              <w:t>。</w:t>
            </w:r>
          </w:p>
          <w:p w14:paraId="0AD0AC2F">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240" w:lineRule="auto"/>
              <w:ind w:left="0" w:right="0" w:firstLine="422" w:firstLineChars="200"/>
              <w:jc w:val="center"/>
              <w:textAlignment w:val="auto"/>
              <w:rPr>
                <w:rFonts w:hint="eastAsia" w:ascii="Times New Roman" w:hAnsi="Times New Roman" w:eastAsia="宋体" w:cs="Times New Roman"/>
                <w:b/>
                <w:bCs/>
                <w:kern w:val="0"/>
                <w:sz w:val="24"/>
                <w:lang w:eastAsia="zh-CN"/>
              </w:rPr>
            </w:pPr>
            <w:r>
              <w:rPr>
                <w:rFonts w:hint="eastAsia" w:ascii="Times New Roman" w:hAnsi="Times New Roman" w:eastAsia="宋体" w:cs="Times New Roman"/>
                <w:b/>
                <w:bCs/>
                <w:color w:val="000000"/>
                <w:kern w:val="0"/>
                <w:sz w:val="21"/>
                <w:szCs w:val="21"/>
                <w:lang w:val="en-US" w:eastAsia="zh-CN" w:bidi="ar-SA"/>
              </w:rPr>
              <w:t>项目生产工序产排污节点一览表</w:t>
            </w:r>
          </w:p>
          <w:tbl>
            <w:tblPr>
              <w:tblStyle w:val="38"/>
              <w:tblW w:w="4947" w:type="pct"/>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116"/>
              <w:gridCol w:w="495"/>
              <w:gridCol w:w="496"/>
              <w:gridCol w:w="1383"/>
              <w:gridCol w:w="1588"/>
              <w:gridCol w:w="3097"/>
            </w:tblGrid>
            <w:tr w14:paraId="5BCC58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0" w:hRule="atLeast"/>
              </w:trPr>
              <w:tc>
                <w:tcPr>
                  <w:tcW w:w="1116" w:type="dxa"/>
                  <w:noWrap w:val="0"/>
                  <w:vAlign w:val="center"/>
                </w:tcPr>
                <w:p w14:paraId="29C06C36">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cs="Times New Roman"/>
                      <w:snapToGrid w:val="0"/>
                      <w:color w:val="000000"/>
                      <w:sz w:val="21"/>
                      <w:szCs w:val="21"/>
                    </w:rPr>
                  </w:pPr>
                  <w:r>
                    <w:rPr>
                      <w:rFonts w:hint="default" w:ascii="Times New Roman" w:hAnsi="Times New Roman" w:cs="Times New Roman"/>
                      <w:snapToGrid w:val="0"/>
                      <w:color w:val="000000"/>
                      <w:sz w:val="21"/>
                      <w:szCs w:val="21"/>
                    </w:rPr>
                    <w:t>污染类型</w:t>
                  </w:r>
                </w:p>
              </w:tc>
              <w:tc>
                <w:tcPr>
                  <w:tcW w:w="991" w:type="dxa"/>
                  <w:gridSpan w:val="2"/>
                  <w:noWrap w:val="0"/>
                  <w:vAlign w:val="center"/>
                </w:tcPr>
                <w:p w14:paraId="31DA6363">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cs="Times New Roman"/>
                      <w:snapToGrid w:val="0"/>
                      <w:color w:val="000000"/>
                      <w:sz w:val="21"/>
                      <w:szCs w:val="21"/>
                    </w:rPr>
                  </w:pPr>
                  <w:r>
                    <w:rPr>
                      <w:rFonts w:hint="default" w:ascii="Times New Roman" w:hAnsi="Times New Roman" w:cs="Times New Roman"/>
                      <w:snapToGrid w:val="0"/>
                      <w:color w:val="000000"/>
                      <w:sz w:val="21"/>
                      <w:szCs w:val="21"/>
                    </w:rPr>
                    <w:t>序号</w:t>
                  </w:r>
                </w:p>
              </w:tc>
              <w:tc>
                <w:tcPr>
                  <w:tcW w:w="1383" w:type="dxa"/>
                  <w:noWrap w:val="0"/>
                  <w:vAlign w:val="center"/>
                </w:tcPr>
                <w:p w14:paraId="0779B29B">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cs="Times New Roman"/>
                      <w:snapToGrid w:val="0"/>
                      <w:color w:val="000000"/>
                      <w:sz w:val="21"/>
                      <w:szCs w:val="21"/>
                      <w:lang w:eastAsia="zh-CN"/>
                    </w:rPr>
                  </w:pPr>
                  <w:r>
                    <w:rPr>
                      <w:rFonts w:hint="default" w:ascii="Times New Roman" w:hAnsi="Times New Roman" w:cs="Times New Roman"/>
                      <w:snapToGrid w:val="0"/>
                      <w:color w:val="000000"/>
                      <w:sz w:val="21"/>
                      <w:szCs w:val="21"/>
                    </w:rPr>
                    <w:t>污染源</w:t>
                  </w:r>
                  <w:r>
                    <w:rPr>
                      <w:rFonts w:hint="default" w:ascii="Times New Roman" w:hAnsi="Times New Roman" w:cs="Times New Roman"/>
                      <w:snapToGrid w:val="0"/>
                      <w:color w:val="000000"/>
                      <w:sz w:val="21"/>
                      <w:szCs w:val="21"/>
                      <w:lang w:eastAsia="zh-CN"/>
                    </w:rPr>
                    <w:t>名称</w:t>
                  </w:r>
                </w:p>
              </w:tc>
              <w:tc>
                <w:tcPr>
                  <w:tcW w:w="1588" w:type="dxa"/>
                  <w:noWrap w:val="0"/>
                  <w:vAlign w:val="center"/>
                </w:tcPr>
                <w:p w14:paraId="55D93573">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cs="Times New Roman"/>
                      <w:snapToGrid w:val="0"/>
                      <w:color w:val="000000"/>
                      <w:sz w:val="21"/>
                      <w:szCs w:val="21"/>
                    </w:rPr>
                  </w:pPr>
                  <w:r>
                    <w:rPr>
                      <w:rFonts w:hint="default" w:ascii="Times New Roman" w:hAnsi="Times New Roman" w:cs="Times New Roman"/>
                      <w:snapToGrid w:val="0"/>
                      <w:color w:val="000000"/>
                      <w:sz w:val="21"/>
                      <w:szCs w:val="21"/>
                    </w:rPr>
                    <w:t>污染物</w:t>
                  </w:r>
                </w:p>
              </w:tc>
              <w:tc>
                <w:tcPr>
                  <w:tcW w:w="3097" w:type="dxa"/>
                  <w:noWrap w:val="0"/>
                  <w:vAlign w:val="center"/>
                </w:tcPr>
                <w:p w14:paraId="6761BAC6">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cs="Times New Roman"/>
                      <w:snapToGrid w:val="0"/>
                      <w:color w:val="000000"/>
                      <w:sz w:val="21"/>
                      <w:szCs w:val="21"/>
                    </w:rPr>
                  </w:pPr>
                  <w:r>
                    <w:rPr>
                      <w:rFonts w:hint="default" w:ascii="Times New Roman" w:hAnsi="Times New Roman" w:cs="Times New Roman"/>
                      <w:snapToGrid w:val="0"/>
                      <w:color w:val="000000"/>
                      <w:sz w:val="21"/>
                      <w:szCs w:val="21"/>
                    </w:rPr>
                    <w:t>治理措施</w:t>
                  </w:r>
                </w:p>
              </w:tc>
            </w:tr>
            <w:tr w14:paraId="000224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6" w:hRule="atLeast"/>
              </w:trPr>
              <w:tc>
                <w:tcPr>
                  <w:tcW w:w="1116" w:type="dxa"/>
                  <w:vMerge w:val="restart"/>
                  <w:noWrap w:val="0"/>
                  <w:vAlign w:val="center"/>
                </w:tcPr>
                <w:p w14:paraId="093252BA">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cs="Times New Roman"/>
                      <w:snapToGrid w:val="0"/>
                      <w:color w:val="000000"/>
                      <w:sz w:val="21"/>
                      <w:szCs w:val="21"/>
                      <w:lang w:eastAsia="zh-CN"/>
                    </w:rPr>
                  </w:pPr>
                  <w:r>
                    <w:rPr>
                      <w:rFonts w:hint="default" w:ascii="Times New Roman" w:hAnsi="Times New Roman" w:cs="Times New Roman"/>
                      <w:snapToGrid w:val="0"/>
                      <w:color w:val="000000"/>
                      <w:sz w:val="21"/>
                      <w:szCs w:val="21"/>
                      <w:lang w:eastAsia="zh-CN"/>
                    </w:rPr>
                    <w:t>废气</w:t>
                  </w:r>
                </w:p>
              </w:tc>
              <w:tc>
                <w:tcPr>
                  <w:tcW w:w="495" w:type="dxa"/>
                  <w:vMerge w:val="restart"/>
                  <w:noWrap w:val="0"/>
                  <w:vAlign w:val="center"/>
                </w:tcPr>
                <w:p w14:paraId="13DD01ED">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cs="Times New Roman"/>
                      <w:snapToGrid w:val="0"/>
                      <w:color w:val="000000"/>
                      <w:spacing w:val="-2"/>
                      <w:sz w:val="21"/>
                      <w:szCs w:val="21"/>
                      <w:lang w:val="en-US" w:eastAsia="zh-CN"/>
                    </w:rPr>
                  </w:pPr>
                  <w:r>
                    <w:rPr>
                      <w:rFonts w:hint="eastAsia" w:ascii="Times New Roman" w:hAnsi="Times New Roman" w:cs="Times New Roman"/>
                      <w:snapToGrid w:val="0"/>
                      <w:color w:val="000000"/>
                      <w:spacing w:val="-2"/>
                      <w:sz w:val="21"/>
                      <w:szCs w:val="21"/>
                      <w:lang w:val="en-US" w:eastAsia="zh-CN"/>
                    </w:rPr>
                    <w:t>G1</w:t>
                  </w:r>
                </w:p>
              </w:tc>
              <w:tc>
                <w:tcPr>
                  <w:tcW w:w="496" w:type="dxa"/>
                  <w:noWrap w:val="0"/>
                  <w:vAlign w:val="center"/>
                </w:tcPr>
                <w:p w14:paraId="3CFE20C4">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cs="Times New Roman"/>
                      <w:snapToGrid w:val="0"/>
                      <w:color w:val="000000"/>
                      <w:spacing w:val="-2"/>
                      <w:sz w:val="21"/>
                      <w:szCs w:val="21"/>
                      <w:lang w:val="en-US" w:eastAsia="zh-CN"/>
                    </w:rPr>
                  </w:pPr>
                  <w:r>
                    <w:rPr>
                      <w:rFonts w:hint="eastAsia" w:ascii="Times New Roman" w:hAnsi="Times New Roman" w:cs="Times New Roman"/>
                      <w:snapToGrid w:val="0"/>
                      <w:color w:val="000000"/>
                      <w:spacing w:val="-2"/>
                      <w:sz w:val="21"/>
                      <w:szCs w:val="21"/>
                      <w:lang w:val="en-US" w:eastAsia="zh-CN"/>
                    </w:rPr>
                    <w:t>G1-1</w:t>
                  </w:r>
                </w:p>
              </w:tc>
              <w:tc>
                <w:tcPr>
                  <w:tcW w:w="1383" w:type="dxa"/>
                  <w:noWrap w:val="0"/>
                  <w:vAlign w:val="center"/>
                </w:tcPr>
                <w:p w14:paraId="06BD4B2D">
                  <w:pPr>
                    <w:keepNext w:val="0"/>
                    <w:keepLines w:val="0"/>
                    <w:widowControl w:val="0"/>
                    <w:suppressLineNumbers w:val="0"/>
                    <w:spacing w:before="0" w:beforeAutospacing="0" w:after="0" w:afterAutospacing="0" w:line="240" w:lineRule="auto"/>
                    <w:ind w:left="0" w:right="0"/>
                    <w:jc w:val="center"/>
                    <w:rPr>
                      <w:rFonts w:hint="eastAsia" w:ascii="Times New Roman" w:hAnsi="Times New Roman" w:cs="Times New Roman"/>
                      <w:snapToGrid w:val="0"/>
                      <w:color w:val="000000"/>
                      <w:sz w:val="21"/>
                      <w:szCs w:val="21"/>
                      <w:lang w:val="en-US" w:eastAsia="zh-CN"/>
                    </w:rPr>
                  </w:pPr>
                  <w:r>
                    <w:rPr>
                      <w:rFonts w:hint="eastAsia" w:ascii="Times New Roman" w:hAnsi="Times New Roman" w:cs="Times New Roman"/>
                      <w:snapToGrid w:val="0"/>
                      <w:color w:val="000000"/>
                      <w:sz w:val="21"/>
                      <w:szCs w:val="21"/>
                      <w:lang w:val="en-US" w:eastAsia="zh-CN"/>
                    </w:rPr>
                    <w:t>水性油墨配制</w:t>
                  </w:r>
                </w:p>
              </w:tc>
              <w:tc>
                <w:tcPr>
                  <w:tcW w:w="1588" w:type="dxa"/>
                  <w:noWrap w:val="0"/>
                  <w:vAlign w:val="center"/>
                </w:tcPr>
                <w:p w14:paraId="10333CF6">
                  <w:pPr>
                    <w:keepNext w:val="0"/>
                    <w:keepLines w:val="0"/>
                    <w:widowControl w:val="0"/>
                    <w:suppressLineNumbers w:val="0"/>
                    <w:spacing w:before="0" w:beforeAutospacing="0" w:after="0" w:afterAutospacing="0" w:line="240" w:lineRule="auto"/>
                    <w:ind w:left="0" w:right="0"/>
                    <w:jc w:val="center"/>
                    <w:rPr>
                      <w:rFonts w:hint="eastAsia" w:ascii="Times New Roman" w:hAnsi="Times New Roman" w:eastAsia="宋体" w:cs="Times New Roman"/>
                      <w:snapToGrid w:val="0"/>
                      <w:color w:val="000000"/>
                      <w:sz w:val="21"/>
                      <w:szCs w:val="21"/>
                      <w:lang w:eastAsia="zh-CN"/>
                    </w:rPr>
                  </w:pPr>
                  <w:r>
                    <w:rPr>
                      <w:rFonts w:hint="default" w:ascii="Times New Roman" w:hAnsi="Times New Roman" w:cs="Times New Roman"/>
                      <w:snapToGrid w:val="0"/>
                      <w:color w:val="000000"/>
                      <w:sz w:val="21"/>
                      <w:szCs w:val="21"/>
                      <w:lang w:eastAsia="zh-CN"/>
                    </w:rPr>
                    <w:t>非甲烷总烃</w:t>
                  </w:r>
                </w:p>
              </w:tc>
              <w:tc>
                <w:tcPr>
                  <w:tcW w:w="3097" w:type="dxa"/>
                  <w:noWrap w:val="0"/>
                  <w:vAlign w:val="center"/>
                </w:tcPr>
                <w:p w14:paraId="31211265">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cs="Times New Roman"/>
                      <w:snapToGrid w:val="0"/>
                      <w:color w:val="000000"/>
                      <w:kern w:val="2"/>
                      <w:sz w:val="21"/>
                      <w:szCs w:val="21"/>
                      <w:highlight w:val="none"/>
                      <w:lang w:val="en-US" w:eastAsia="zh-CN" w:bidi="ar-SA"/>
                    </w:rPr>
                  </w:pPr>
                  <w:r>
                    <w:rPr>
                      <w:rFonts w:hint="eastAsia" w:cs="Times New Roman"/>
                      <w:bCs/>
                      <w:color w:val="000000"/>
                      <w:sz w:val="21"/>
                      <w:szCs w:val="21"/>
                      <w:highlight w:val="none"/>
                      <w:lang w:val="en-US" w:eastAsia="zh-CN"/>
                    </w:rPr>
                    <w:t>管道</w:t>
                  </w:r>
                  <w:r>
                    <w:rPr>
                      <w:rFonts w:hint="eastAsia" w:ascii="Times New Roman" w:hAnsi="Times New Roman" w:cs="Times New Roman"/>
                      <w:bCs/>
                      <w:color w:val="000000"/>
                      <w:sz w:val="21"/>
                      <w:szCs w:val="21"/>
                      <w:highlight w:val="none"/>
                      <w:lang w:val="en-US" w:eastAsia="zh-CN"/>
                    </w:rPr>
                    <w:t>+二级活性炭吸附装置+1根15m排气筒</w:t>
                  </w:r>
                  <w:r>
                    <w:rPr>
                      <w:rFonts w:hint="default" w:ascii="Times New Roman" w:hAnsi="Times New Roman" w:cs="Times New Roman"/>
                      <w:bCs/>
                      <w:color w:val="000000"/>
                      <w:sz w:val="21"/>
                      <w:szCs w:val="21"/>
                      <w:highlight w:val="none"/>
                      <w:lang w:eastAsia="zh-CN"/>
                    </w:rPr>
                    <w:t>（</w:t>
                  </w:r>
                  <w:r>
                    <w:rPr>
                      <w:rFonts w:hint="eastAsia" w:ascii="Times New Roman" w:hAnsi="Times New Roman" w:cs="Times New Roman"/>
                      <w:bCs/>
                      <w:color w:val="000000"/>
                      <w:sz w:val="21"/>
                      <w:szCs w:val="21"/>
                      <w:highlight w:val="none"/>
                      <w:lang w:val="en-US" w:eastAsia="zh-CN"/>
                    </w:rPr>
                    <w:t>DA002</w:t>
                  </w:r>
                  <w:r>
                    <w:rPr>
                      <w:rFonts w:hint="eastAsia" w:cs="Times New Roman"/>
                      <w:bCs/>
                      <w:color w:val="000000"/>
                      <w:sz w:val="21"/>
                      <w:szCs w:val="21"/>
                      <w:highlight w:val="none"/>
                      <w:lang w:val="en-US" w:eastAsia="zh-CN"/>
                    </w:rPr>
                    <w:t>依托</w:t>
                  </w:r>
                  <w:r>
                    <w:rPr>
                      <w:rFonts w:hint="default" w:ascii="Times New Roman" w:hAnsi="Times New Roman" w:cs="Times New Roman"/>
                      <w:bCs/>
                      <w:color w:val="000000"/>
                      <w:sz w:val="21"/>
                      <w:szCs w:val="21"/>
                      <w:highlight w:val="none"/>
                      <w:lang w:eastAsia="zh-CN"/>
                    </w:rPr>
                    <w:t>）</w:t>
                  </w:r>
                </w:p>
              </w:tc>
            </w:tr>
            <w:tr w14:paraId="0C4C63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6" w:hRule="atLeast"/>
              </w:trPr>
              <w:tc>
                <w:tcPr>
                  <w:tcW w:w="1116" w:type="dxa"/>
                  <w:vMerge w:val="continue"/>
                  <w:noWrap w:val="0"/>
                  <w:vAlign w:val="center"/>
                </w:tcPr>
                <w:p w14:paraId="171ABAA7">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cs="Times New Roman"/>
                    </w:rPr>
                  </w:pPr>
                </w:p>
              </w:tc>
              <w:tc>
                <w:tcPr>
                  <w:tcW w:w="495" w:type="dxa"/>
                  <w:vMerge w:val="continue"/>
                  <w:noWrap w:val="0"/>
                  <w:vAlign w:val="center"/>
                </w:tcPr>
                <w:p w14:paraId="6284494D">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cs="Times New Roman"/>
                    </w:rPr>
                  </w:pPr>
                </w:p>
              </w:tc>
              <w:tc>
                <w:tcPr>
                  <w:tcW w:w="496" w:type="dxa"/>
                  <w:noWrap w:val="0"/>
                  <w:vAlign w:val="center"/>
                </w:tcPr>
                <w:p w14:paraId="12412672">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cs="Times New Roman"/>
                      <w:snapToGrid w:val="0"/>
                      <w:color w:val="000000"/>
                      <w:spacing w:val="-2"/>
                      <w:sz w:val="21"/>
                      <w:szCs w:val="21"/>
                      <w:lang w:val="en-US" w:eastAsia="zh-CN"/>
                    </w:rPr>
                  </w:pPr>
                  <w:r>
                    <w:rPr>
                      <w:rFonts w:hint="eastAsia" w:ascii="Times New Roman" w:hAnsi="Times New Roman" w:cs="Times New Roman"/>
                      <w:snapToGrid w:val="0"/>
                      <w:color w:val="000000"/>
                      <w:spacing w:val="-2"/>
                      <w:sz w:val="21"/>
                      <w:szCs w:val="21"/>
                      <w:lang w:val="en-US" w:eastAsia="zh-CN"/>
                    </w:rPr>
                    <w:t>G1-2</w:t>
                  </w:r>
                </w:p>
              </w:tc>
              <w:tc>
                <w:tcPr>
                  <w:tcW w:w="1383" w:type="dxa"/>
                  <w:noWrap w:val="0"/>
                  <w:vAlign w:val="center"/>
                </w:tcPr>
                <w:p w14:paraId="4C530F61">
                  <w:pPr>
                    <w:keepNext w:val="0"/>
                    <w:keepLines w:val="0"/>
                    <w:widowControl w:val="0"/>
                    <w:suppressLineNumbers w:val="0"/>
                    <w:spacing w:before="0" w:beforeAutospacing="0" w:after="0" w:afterAutospacing="0" w:line="240" w:lineRule="auto"/>
                    <w:ind w:left="0" w:right="0"/>
                    <w:jc w:val="center"/>
                    <w:rPr>
                      <w:rFonts w:hint="eastAsia" w:ascii="Times New Roman" w:hAnsi="Times New Roman" w:cs="Times New Roman"/>
                      <w:snapToGrid w:val="0"/>
                      <w:color w:val="000000"/>
                      <w:spacing w:val="-2"/>
                      <w:sz w:val="21"/>
                      <w:szCs w:val="21"/>
                      <w:lang w:val="en-US" w:eastAsia="zh-CN"/>
                    </w:rPr>
                  </w:pPr>
                  <w:r>
                    <w:rPr>
                      <w:rFonts w:hint="eastAsia" w:ascii="Times New Roman" w:hAnsi="Times New Roman" w:cs="Times New Roman"/>
                      <w:snapToGrid w:val="0"/>
                      <w:color w:val="000000"/>
                      <w:spacing w:val="-2"/>
                      <w:sz w:val="21"/>
                      <w:szCs w:val="21"/>
                      <w:lang w:val="en-US" w:eastAsia="zh-CN"/>
                    </w:rPr>
                    <w:t>印刷</w:t>
                  </w:r>
                </w:p>
              </w:tc>
              <w:tc>
                <w:tcPr>
                  <w:tcW w:w="1588" w:type="dxa"/>
                  <w:noWrap w:val="0"/>
                  <w:vAlign w:val="center"/>
                </w:tcPr>
                <w:p w14:paraId="66581AFB">
                  <w:pPr>
                    <w:keepNext w:val="0"/>
                    <w:keepLines w:val="0"/>
                    <w:widowControl w:val="0"/>
                    <w:suppressLineNumbers w:val="0"/>
                    <w:spacing w:before="0" w:beforeAutospacing="0" w:after="0" w:afterAutospacing="0" w:line="240" w:lineRule="auto"/>
                    <w:ind w:left="0" w:right="0"/>
                    <w:jc w:val="center"/>
                    <w:rPr>
                      <w:rFonts w:hint="eastAsia" w:ascii="Times New Roman" w:hAnsi="Times New Roman" w:cs="Times New Roman"/>
                      <w:snapToGrid w:val="0"/>
                      <w:color w:val="000000"/>
                      <w:spacing w:val="-2"/>
                      <w:sz w:val="21"/>
                      <w:szCs w:val="21"/>
                      <w:lang w:val="en-US" w:eastAsia="zh-CN"/>
                    </w:rPr>
                  </w:pPr>
                  <w:r>
                    <w:rPr>
                      <w:rFonts w:hint="eastAsia" w:ascii="Times New Roman" w:hAnsi="Times New Roman" w:cs="Times New Roman"/>
                      <w:snapToGrid w:val="0"/>
                      <w:color w:val="000000"/>
                      <w:spacing w:val="-2"/>
                      <w:sz w:val="21"/>
                      <w:szCs w:val="21"/>
                      <w:lang w:val="en-US" w:eastAsia="zh-CN"/>
                    </w:rPr>
                    <w:t>非甲烷总烃</w:t>
                  </w:r>
                </w:p>
              </w:tc>
              <w:tc>
                <w:tcPr>
                  <w:tcW w:w="3097" w:type="dxa"/>
                  <w:noWrap w:val="0"/>
                  <w:vAlign w:val="center"/>
                </w:tcPr>
                <w:p w14:paraId="5DA7F600">
                  <w:pPr>
                    <w:keepNext w:val="0"/>
                    <w:keepLines w:val="0"/>
                    <w:widowControl w:val="0"/>
                    <w:suppressLineNumbers w:val="0"/>
                    <w:spacing w:before="0" w:beforeAutospacing="0" w:after="0" w:afterAutospacing="0" w:line="240" w:lineRule="auto"/>
                    <w:ind w:left="0" w:right="0"/>
                    <w:jc w:val="center"/>
                    <w:rPr>
                      <w:rFonts w:hint="eastAsia" w:ascii="Times New Roman" w:hAnsi="Times New Roman" w:cs="Times New Roman"/>
                      <w:snapToGrid w:val="0"/>
                      <w:color w:val="000000"/>
                      <w:spacing w:val="-2"/>
                      <w:sz w:val="21"/>
                      <w:szCs w:val="21"/>
                      <w:highlight w:val="none"/>
                      <w:lang w:val="en-US" w:eastAsia="zh-CN"/>
                    </w:rPr>
                  </w:pPr>
                  <w:r>
                    <w:rPr>
                      <w:rFonts w:hint="eastAsia" w:cs="Times New Roman"/>
                      <w:bCs/>
                      <w:color w:val="000000"/>
                      <w:sz w:val="21"/>
                      <w:szCs w:val="21"/>
                      <w:highlight w:val="none"/>
                      <w:lang w:val="en-US" w:eastAsia="zh-CN"/>
                    </w:rPr>
                    <w:t>集气罩+软帘收集</w:t>
                  </w:r>
                  <w:r>
                    <w:rPr>
                      <w:rFonts w:hint="eastAsia" w:ascii="Times New Roman" w:hAnsi="Times New Roman" w:cs="Times New Roman"/>
                      <w:bCs/>
                      <w:color w:val="000000"/>
                      <w:sz w:val="21"/>
                      <w:szCs w:val="21"/>
                      <w:highlight w:val="none"/>
                      <w:lang w:val="en-US" w:eastAsia="zh-CN"/>
                    </w:rPr>
                    <w:t>+二级活性炭吸附装置+1根15m排气筒</w:t>
                  </w:r>
                  <w:r>
                    <w:rPr>
                      <w:rFonts w:hint="default" w:ascii="Times New Roman" w:hAnsi="Times New Roman" w:cs="Times New Roman"/>
                      <w:bCs/>
                      <w:color w:val="000000"/>
                      <w:sz w:val="21"/>
                      <w:szCs w:val="21"/>
                      <w:highlight w:val="none"/>
                      <w:lang w:eastAsia="zh-CN"/>
                    </w:rPr>
                    <w:t>（</w:t>
                  </w:r>
                  <w:r>
                    <w:rPr>
                      <w:rFonts w:hint="eastAsia" w:ascii="Times New Roman" w:hAnsi="Times New Roman" w:cs="Times New Roman"/>
                      <w:bCs/>
                      <w:color w:val="000000"/>
                      <w:sz w:val="21"/>
                      <w:szCs w:val="21"/>
                      <w:highlight w:val="none"/>
                      <w:lang w:val="en-US" w:eastAsia="zh-CN"/>
                    </w:rPr>
                    <w:t>DA003</w:t>
                  </w:r>
                  <w:r>
                    <w:rPr>
                      <w:rFonts w:hint="eastAsia" w:cs="Times New Roman"/>
                      <w:bCs/>
                      <w:color w:val="000000"/>
                      <w:sz w:val="21"/>
                      <w:szCs w:val="21"/>
                      <w:highlight w:val="none"/>
                      <w:lang w:val="en-US" w:eastAsia="zh-CN"/>
                    </w:rPr>
                    <w:t>新增</w:t>
                  </w:r>
                  <w:r>
                    <w:rPr>
                      <w:rFonts w:hint="default" w:ascii="Times New Roman" w:hAnsi="Times New Roman" w:cs="Times New Roman"/>
                      <w:bCs/>
                      <w:color w:val="000000"/>
                      <w:sz w:val="21"/>
                      <w:szCs w:val="21"/>
                      <w:highlight w:val="none"/>
                      <w:lang w:eastAsia="zh-CN"/>
                    </w:rPr>
                    <w:t>）</w:t>
                  </w:r>
                </w:p>
              </w:tc>
            </w:tr>
            <w:tr w14:paraId="65EC9A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6" w:hRule="atLeast"/>
              </w:trPr>
              <w:tc>
                <w:tcPr>
                  <w:tcW w:w="1116" w:type="dxa"/>
                  <w:vMerge w:val="continue"/>
                  <w:noWrap w:val="0"/>
                  <w:vAlign w:val="center"/>
                </w:tcPr>
                <w:p w14:paraId="6B51B423">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cs="Times New Roman"/>
                    </w:rPr>
                  </w:pPr>
                </w:p>
              </w:tc>
              <w:tc>
                <w:tcPr>
                  <w:tcW w:w="495" w:type="dxa"/>
                  <w:vMerge w:val="continue"/>
                  <w:noWrap w:val="0"/>
                  <w:vAlign w:val="center"/>
                </w:tcPr>
                <w:p w14:paraId="329EDD1C">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cs="Times New Roman"/>
                    </w:rPr>
                  </w:pPr>
                </w:p>
              </w:tc>
              <w:tc>
                <w:tcPr>
                  <w:tcW w:w="496" w:type="dxa"/>
                  <w:noWrap w:val="0"/>
                  <w:vAlign w:val="center"/>
                </w:tcPr>
                <w:p w14:paraId="4914EAEB">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cs="Times New Roman"/>
                      <w:snapToGrid w:val="0"/>
                      <w:color w:val="000000"/>
                      <w:spacing w:val="-2"/>
                      <w:sz w:val="21"/>
                      <w:szCs w:val="21"/>
                      <w:lang w:val="en-US" w:eastAsia="zh-CN"/>
                    </w:rPr>
                  </w:pPr>
                  <w:r>
                    <w:rPr>
                      <w:rFonts w:hint="eastAsia" w:cs="Times New Roman"/>
                      <w:snapToGrid w:val="0"/>
                      <w:color w:val="000000"/>
                      <w:spacing w:val="-2"/>
                      <w:sz w:val="21"/>
                      <w:szCs w:val="21"/>
                      <w:lang w:val="en-US" w:eastAsia="zh-CN"/>
                    </w:rPr>
                    <w:t>G1-3</w:t>
                  </w:r>
                </w:p>
              </w:tc>
              <w:tc>
                <w:tcPr>
                  <w:tcW w:w="1383" w:type="dxa"/>
                  <w:noWrap w:val="0"/>
                  <w:vAlign w:val="center"/>
                </w:tcPr>
                <w:p w14:paraId="01992537">
                  <w:pPr>
                    <w:keepNext w:val="0"/>
                    <w:keepLines w:val="0"/>
                    <w:widowControl w:val="0"/>
                    <w:suppressLineNumbers w:val="0"/>
                    <w:spacing w:before="0" w:beforeAutospacing="0" w:after="0" w:afterAutospacing="0" w:line="240" w:lineRule="auto"/>
                    <w:ind w:left="0" w:right="0"/>
                    <w:jc w:val="center"/>
                    <w:rPr>
                      <w:rFonts w:hint="eastAsia" w:ascii="Times New Roman" w:hAnsi="Times New Roman" w:cs="Times New Roman"/>
                      <w:snapToGrid w:val="0"/>
                      <w:color w:val="000000"/>
                      <w:spacing w:val="-2"/>
                      <w:sz w:val="21"/>
                      <w:szCs w:val="21"/>
                      <w:lang w:val="en-US" w:eastAsia="zh-CN"/>
                    </w:rPr>
                  </w:pPr>
                  <w:r>
                    <w:rPr>
                      <w:rFonts w:hint="eastAsia" w:cs="Times New Roman"/>
                      <w:snapToGrid w:val="0"/>
                      <w:color w:val="000000"/>
                      <w:spacing w:val="-2"/>
                      <w:sz w:val="21"/>
                      <w:szCs w:val="21"/>
                      <w:lang w:val="en-US" w:eastAsia="zh-CN"/>
                    </w:rPr>
                    <w:t>擦拭</w:t>
                  </w:r>
                </w:p>
              </w:tc>
              <w:tc>
                <w:tcPr>
                  <w:tcW w:w="1588" w:type="dxa"/>
                  <w:noWrap w:val="0"/>
                  <w:vAlign w:val="center"/>
                </w:tcPr>
                <w:p w14:paraId="40ACB548">
                  <w:pPr>
                    <w:keepNext w:val="0"/>
                    <w:keepLines w:val="0"/>
                    <w:widowControl w:val="0"/>
                    <w:suppressLineNumbers w:val="0"/>
                    <w:spacing w:before="0" w:beforeAutospacing="0" w:after="0" w:afterAutospacing="0" w:line="240" w:lineRule="auto"/>
                    <w:ind w:left="0" w:right="0"/>
                    <w:jc w:val="center"/>
                    <w:rPr>
                      <w:rFonts w:hint="eastAsia" w:ascii="Times New Roman" w:hAnsi="Times New Roman" w:cs="Times New Roman"/>
                      <w:snapToGrid w:val="0"/>
                      <w:color w:val="000000"/>
                      <w:spacing w:val="-2"/>
                      <w:sz w:val="21"/>
                      <w:szCs w:val="21"/>
                      <w:lang w:val="en-US" w:eastAsia="zh-CN"/>
                    </w:rPr>
                  </w:pPr>
                  <w:r>
                    <w:rPr>
                      <w:rFonts w:hint="eastAsia" w:ascii="Times New Roman" w:hAnsi="Times New Roman" w:cs="Times New Roman"/>
                      <w:snapToGrid w:val="0"/>
                      <w:color w:val="000000"/>
                      <w:spacing w:val="-2"/>
                      <w:sz w:val="21"/>
                      <w:szCs w:val="21"/>
                      <w:lang w:val="en-US" w:eastAsia="zh-CN"/>
                    </w:rPr>
                    <w:t>非甲烷总烃</w:t>
                  </w:r>
                </w:p>
              </w:tc>
              <w:tc>
                <w:tcPr>
                  <w:tcW w:w="3097" w:type="dxa"/>
                  <w:noWrap w:val="0"/>
                  <w:vAlign w:val="center"/>
                </w:tcPr>
                <w:p w14:paraId="3B191283">
                  <w:pPr>
                    <w:keepNext w:val="0"/>
                    <w:keepLines w:val="0"/>
                    <w:widowControl w:val="0"/>
                    <w:suppressLineNumbers w:val="0"/>
                    <w:spacing w:before="0" w:beforeAutospacing="0" w:after="0" w:afterAutospacing="0" w:line="240" w:lineRule="auto"/>
                    <w:ind w:left="0" w:right="0"/>
                    <w:jc w:val="center"/>
                    <w:rPr>
                      <w:rFonts w:hint="eastAsia" w:cs="Times New Roman"/>
                      <w:bCs/>
                      <w:color w:val="000000"/>
                      <w:sz w:val="21"/>
                      <w:szCs w:val="21"/>
                      <w:highlight w:val="none"/>
                      <w:lang w:val="en-US" w:eastAsia="zh-CN"/>
                    </w:rPr>
                  </w:pPr>
                  <w:r>
                    <w:rPr>
                      <w:rFonts w:hint="eastAsia" w:cs="Times New Roman"/>
                      <w:bCs/>
                      <w:color w:val="000000"/>
                      <w:sz w:val="21"/>
                      <w:szCs w:val="21"/>
                      <w:highlight w:val="none"/>
                      <w:lang w:val="en-US" w:eastAsia="zh-CN"/>
                    </w:rPr>
                    <w:t>管道</w:t>
                  </w:r>
                  <w:r>
                    <w:rPr>
                      <w:rFonts w:hint="eastAsia" w:ascii="Times New Roman" w:hAnsi="Times New Roman" w:cs="Times New Roman"/>
                      <w:bCs/>
                      <w:color w:val="000000"/>
                      <w:sz w:val="21"/>
                      <w:szCs w:val="21"/>
                      <w:highlight w:val="none"/>
                      <w:lang w:val="en-US" w:eastAsia="zh-CN"/>
                    </w:rPr>
                    <w:t>+二级活性炭吸附装置+1根15m排气筒</w:t>
                  </w:r>
                  <w:r>
                    <w:rPr>
                      <w:rFonts w:hint="default" w:ascii="Times New Roman" w:hAnsi="Times New Roman" w:cs="Times New Roman"/>
                      <w:bCs/>
                      <w:color w:val="000000"/>
                      <w:sz w:val="21"/>
                      <w:szCs w:val="21"/>
                      <w:highlight w:val="none"/>
                      <w:lang w:eastAsia="zh-CN"/>
                    </w:rPr>
                    <w:t>（</w:t>
                  </w:r>
                  <w:r>
                    <w:rPr>
                      <w:rFonts w:hint="eastAsia" w:ascii="Times New Roman" w:hAnsi="Times New Roman" w:cs="Times New Roman"/>
                      <w:bCs/>
                      <w:color w:val="000000"/>
                      <w:sz w:val="21"/>
                      <w:szCs w:val="21"/>
                      <w:highlight w:val="none"/>
                      <w:lang w:val="en-US" w:eastAsia="zh-CN"/>
                    </w:rPr>
                    <w:t>DA002</w:t>
                  </w:r>
                  <w:r>
                    <w:rPr>
                      <w:rFonts w:hint="eastAsia" w:cs="Times New Roman"/>
                      <w:bCs/>
                      <w:color w:val="000000"/>
                      <w:sz w:val="21"/>
                      <w:szCs w:val="21"/>
                      <w:highlight w:val="none"/>
                      <w:lang w:val="en-US" w:eastAsia="zh-CN"/>
                    </w:rPr>
                    <w:t>依托</w:t>
                  </w:r>
                  <w:r>
                    <w:rPr>
                      <w:rFonts w:hint="default" w:ascii="Times New Roman" w:hAnsi="Times New Roman" w:cs="Times New Roman"/>
                      <w:bCs/>
                      <w:color w:val="000000"/>
                      <w:sz w:val="21"/>
                      <w:szCs w:val="21"/>
                      <w:highlight w:val="none"/>
                      <w:lang w:eastAsia="zh-CN"/>
                    </w:rPr>
                    <w:t>）</w:t>
                  </w:r>
                </w:p>
              </w:tc>
            </w:tr>
            <w:tr w14:paraId="32C7EE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0" w:hRule="atLeast"/>
              </w:trPr>
              <w:tc>
                <w:tcPr>
                  <w:tcW w:w="1116" w:type="dxa"/>
                  <w:vMerge w:val="continue"/>
                  <w:noWrap w:val="0"/>
                  <w:vAlign w:val="center"/>
                </w:tcPr>
                <w:p w14:paraId="7B0DD507">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cs="Times New Roman"/>
                    </w:rPr>
                  </w:pPr>
                </w:p>
              </w:tc>
              <w:tc>
                <w:tcPr>
                  <w:tcW w:w="991" w:type="dxa"/>
                  <w:gridSpan w:val="2"/>
                  <w:noWrap w:val="0"/>
                  <w:vAlign w:val="center"/>
                </w:tcPr>
                <w:p w14:paraId="4814CD50">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cs="Times New Roman"/>
                      <w:snapToGrid w:val="0"/>
                      <w:color w:val="000000"/>
                      <w:spacing w:val="-2"/>
                      <w:sz w:val="21"/>
                      <w:szCs w:val="21"/>
                      <w:lang w:val="en-US" w:eastAsia="zh-CN"/>
                    </w:rPr>
                  </w:pPr>
                  <w:r>
                    <w:rPr>
                      <w:rFonts w:hint="eastAsia" w:ascii="Times New Roman" w:hAnsi="Times New Roman" w:cs="Times New Roman"/>
                      <w:snapToGrid w:val="0"/>
                      <w:color w:val="000000"/>
                      <w:spacing w:val="-2"/>
                      <w:sz w:val="21"/>
                      <w:szCs w:val="21"/>
                      <w:lang w:val="en-US" w:eastAsia="zh-CN"/>
                    </w:rPr>
                    <w:t>G2</w:t>
                  </w:r>
                </w:p>
              </w:tc>
              <w:tc>
                <w:tcPr>
                  <w:tcW w:w="1383" w:type="dxa"/>
                  <w:noWrap w:val="0"/>
                  <w:vAlign w:val="center"/>
                </w:tcPr>
                <w:p w14:paraId="1E9B285D">
                  <w:pPr>
                    <w:keepNext w:val="0"/>
                    <w:keepLines w:val="0"/>
                    <w:widowControl w:val="0"/>
                    <w:suppressLineNumbers w:val="0"/>
                    <w:spacing w:before="0" w:beforeAutospacing="0" w:after="0" w:afterAutospacing="0" w:line="240" w:lineRule="auto"/>
                    <w:ind w:left="0" w:right="0"/>
                    <w:jc w:val="center"/>
                    <w:rPr>
                      <w:rFonts w:hint="eastAsia" w:ascii="Times New Roman" w:hAnsi="Times New Roman" w:cs="Times New Roman"/>
                      <w:snapToGrid w:val="0"/>
                      <w:color w:val="000000"/>
                      <w:spacing w:val="-2"/>
                      <w:sz w:val="21"/>
                      <w:szCs w:val="21"/>
                      <w:lang w:val="en-US" w:eastAsia="zh-CN"/>
                    </w:rPr>
                  </w:pPr>
                  <w:r>
                    <w:rPr>
                      <w:rFonts w:hint="eastAsia" w:ascii="Times New Roman" w:hAnsi="Times New Roman" w:cs="Times New Roman"/>
                      <w:snapToGrid w:val="0"/>
                      <w:color w:val="000000"/>
                      <w:spacing w:val="-2"/>
                      <w:sz w:val="21"/>
                      <w:szCs w:val="21"/>
                      <w:lang w:val="en-US" w:eastAsia="zh-CN"/>
                    </w:rPr>
                    <w:t>复合</w:t>
                  </w:r>
                </w:p>
              </w:tc>
              <w:tc>
                <w:tcPr>
                  <w:tcW w:w="1588" w:type="dxa"/>
                  <w:noWrap w:val="0"/>
                  <w:vAlign w:val="center"/>
                </w:tcPr>
                <w:p w14:paraId="5A720CA3">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cs="Times New Roman"/>
                      <w:snapToGrid w:val="0"/>
                      <w:color w:val="000000"/>
                      <w:spacing w:val="-2"/>
                      <w:sz w:val="21"/>
                      <w:szCs w:val="21"/>
                      <w:lang w:val="en-US" w:eastAsia="zh-CN"/>
                    </w:rPr>
                  </w:pPr>
                  <w:r>
                    <w:rPr>
                      <w:rFonts w:hint="eastAsia" w:ascii="Times New Roman" w:hAnsi="Times New Roman" w:cs="Times New Roman"/>
                      <w:snapToGrid w:val="0"/>
                      <w:color w:val="000000"/>
                      <w:spacing w:val="-2"/>
                      <w:sz w:val="21"/>
                      <w:szCs w:val="21"/>
                      <w:lang w:val="en-US" w:eastAsia="zh-CN"/>
                    </w:rPr>
                    <w:t>非甲烷总烃、二苯基甲烷二异氰酸酯（MDI）</w:t>
                  </w:r>
                  <w:r>
                    <w:rPr>
                      <w:rFonts w:hint="eastAsia" w:cs="Times New Roman"/>
                      <w:snapToGrid w:val="0"/>
                      <w:color w:val="000000"/>
                      <w:spacing w:val="-2"/>
                      <w:sz w:val="21"/>
                      <w:szCs w:val="21"/>
                      <w:lang w:val="en-US" w:eastAsia="zh-CN"/>
                    </w:rPr>
                    <w:t>、臭气浓度</w:t>
                  </w:r>
                </w:p>
              </w:tc>
              <w:tc>
                <w:tcPr>
                  <w:tcW w:w="3097" w:type="dxa"/>
                  <w:noWrap w:val="0"/>
                  <w:vAlign w:val="center"/>
                </w:tcPr>
                <w:p w14:paraId="3086CDA6">
                  <w:pPr>
                    <w:keepNext w:val="0"/>
                    <w:keepLines w:val="0"/>
                    <w:widowControl w:val="0"/>
                    <w:suppressLineNumbers w:val="0"/>
                    <w:spacing w:before="0" w:beforeAutospacing="0" w:after="0" w:afterAutospacing="0" w:line="240" w:lineRule="auto"/>
                    <w:ind w:left="0" w:right="0"/>
                    <w:jc w:val="center"/>
                    <w:rPr>
                      <w:rFonts w:hint="eastAsia" w:ascii="Times New Roman" w:hAnsi="Times New Roman" w:cs="Times New Roman"/>
                      <w:snapToGrid w:val="0"/>
                      <w:color w:val="000000"/>
                      <w:spacing w:val="-2"/>
                      <w:sz w:val="21"/>
                      <w:szCs w:val="21"/>
                      <w:highlight w:val="none"/>
                      <w:lang w:val="en-US" w:eastAsia="zh-CN"/>
                    </w:rPr>
                  </w:pPr>
                  <w:r>
                    <w:rPr>
                      <w:rFonts w:hint="eastAsia" w:cs="Times New Roman"/>
                      <w:bCs/>
                      <w:color w:val="000000"/>
                      <w:sz w:val="21"/>
                      <w:szCs w:val="21"/>
                      <w:highlight w:val="none"/>
                      <w:lang w:val="en-US" w:eastAsia="zh-CN"/>
                    </w:rPr>
                    <w:t>集气罩+软帘收集</w:t>
                  </w:r>
                  <w:r>
                    <w:rPr>
                      <w:rFonts w:hint="eastAsia" w:ascii="Times New Roman" w:hAnsi="Times New Roman" w:cs="Times New Roman"/>
                      <w:bCs/>
                      <w:color w:val="000000"/>
                      <w:sz w:val="21"/>
                      <w:szCs w:val="21"/>
                      <w:highlight w:val="none"/>
                      <w:lang w:val="en-US" w:eastAsia="zh-CN"/>
                    </w:rPr>
                    <w:t>+二级活性炭吸附装置+1根15m排气筒</w:t>
                  </w:r>
                  <w:r>
                    <w:rPr>
                      <w:rFonts w:hint="default" w:ascii="Times New Roman" w:hAnsi="Times New Roman" w:cs="Times New Roman"/>
                      <w:bCs/>
                      <w:color w:val="000000"/>
                      <w:sz w:val="21"/>
                      <w:szCs w:val="21"/>
                      <w:highlight w:val="none"/>
                      <w:lang w:eastAsia="zh-CN"/>
                    </w:rPr>
                    <w:t>（</w:t>
                  </w:r>
                  <w:r>
                    <w:rPr>
                      <w:rFonts w:hint="eastAsia" w:ascii="Times New Roman" w:hAnsi="Times New Roman" w:cs="Times New Roman"/>
                      <w:bCs/>
                      <w:color w:val="000000"/>
                      <w:sz w:val="21"/>
                      <w:szCs w:val="21"/>
                      <w:highlight w:val="none"/>
                      <w:lang w:val="en-US" w:eastAsia="zh-CN"/>
                    </w:rPr>
                    <w:t>DA003</w:t>
                  </w:r>
                  <w:r>
                    <w:rPr>
                      <w:rFonts w:hint="eastAsia" w:cs="Times New Roman"/>
                      <w:bCs/>
                      <w:color w:val="000000"/>
                      <w:sz w:val="21"/>
                      <w:szCs w:val="21"/>
                      <w:highlight w:val="none"/>
                      <w:lang w:val="en-US" w:eastAsia="zh-CN"/>
                    </w:rPr>
                    <w:t>新增</w:t>
                  </w:r>
                  <w:r>
                    <w:rPr>
                      <w:rFonts w:hint="default" w:ascii="Times New Roman" w:hAnsi="Times New Roman" w:cs="Times New Roman"/>
                      <w:bCs/>
                      <w:color w:val="000000"/>
                      <w:sz w:val="21"/>
                      <w:szCs w:val="21"/>
                      <w:highlight w:val="none"/>
                      <w:lang w:eastAsia="zh-CN"/>
                    </w:rPr>
                    <w:t>）</w:t>
                  </w:r>
                </w:p>
              </w:tc>
            </w:tr>
            <w:tr w14:paraId="07C362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0" w:hRule="atLeast"/>
              </w:trPr>
              <w:tc>
                <w:tcPr>
                  <w:tcW w:w="1116" w:type="dxa"/>
                  <w:vMerge w:val="continue"/>
                  <w:noWrap w:val="0"/>
                  <w:vAlign w:val="center"/>
                </w:tcPr>
                <w:p w14:paraId="2472EEB1">
                  <w:pPr>
                    <w:keepNext w:val="0"/>
                    <w:keepLines w:val="0"/>
                    <w:widowControl w:val="0"/>
                    <w:suppressLineNumbers w:val="0"/>
                    <w:spacing w:before="0" w:beforeAutospacing="0" w:after="0" w:afterAutospacing="0" w:line="240" w:lineRule="auto"/>
                    <w:ind w:left="0" w:right="0"/>
                    <w:jc w:val="center"/>
                    <w:rPr>
                      <w:rFonts w:hint="eastAsia" w:ascii="Times New Roman" w:hAnsi="Times New Roman" w:cs="Times New Roman"/>
                      <w:snapToGrid w:val="0"/>
                      <w:color w:val="000000"/>
                      <w:spacing w:val="-2"/>
                      <w:sz w:val="21"/>
                      <w:szCs w:val="21"/>
                      <w:lang w:val="en-US" w:eastAsia="zh-CN"/>
                    </w:rPr>
                  </w:pPr>
                </w:p>
              </w:tc>
              <w:tc>
                <w:tcPr>
                  <w:tcW w:w="991" w:type="dxa"/>
                  <w:gridSpan w:val="2"/>
                  <w:noWrap w:val="0"/>
                  <w:vAlign w:val="center"/>
                </w:tcPr>
                <w:p w14:paraId="65E5227E">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cs="Times New Roman"/>
                      <w:snapToGrid w:val="0"/>
                      <w:color w:val="000000"/>
                      <w:spacing w:val="-2"/>
                      <w:sz w:val="21"/>
                      <w:szCs w:val="21"/>
                      <w:lang w:val="en-US" w:eastAsia="zh-CN"/>
                    </w:rPr>
                  </w:pPr>
                  <w:r>
                    <w:rPr>
                      <w:rFonts w:hint="eastAsia" w:ascii="Times New Roman" w:hAnsi="Times New Roman" w:cs="Times New Roman"/>
                      <w:snapToGrid w:val="0"/>
                      <w:color w:val="000000"/>
                      <w:spacing w:val="-2"/>
                      <w:sz w:val="21"/>
                      <w:szCs w:val="21"/>
                      <w:lang w:val="en-US" w:eastAsia="zh-CN"/>
                    </w:rPr>
                    <w:t>G3</w:t>
                  </w:r>
                </w:p>
              </w:tc>
              <w:tc>
                <w:tcPr>
                  <w:tcW w:w="1383" w:type="dxa"/>
                  <w:noWrap w:val="0"/>
                  <w:vAlign w:val="center"/>
                </w:tcPr>
                <w:p w14:paraId="2F83CD67">
                  <w:pPr>
                    <w:keepNext w:val="0"/>
                    <w:keepLines w:val="0"/>
                    <w:widowControl w:val="0"/>
                    <w:suppressLineNumbers w:val="0"/>
                    <w:spacing w:before="0" w:beforeAutospacing="0" w:after="0" w:afterAutospacing="0" w:line="240" w:lineRule="auto"/>
                    <w:ind w:left="0" w:right="0"/>
                    <w:jc w:val="center"/>
                    <w:rPr>
                      <w:rFonts w:hint="eastAsia" w:ascii="Times New Roman" w:hAnsi="Times New Roman" w:cs="Times New Roman"/>
                      <w:snapToGrid w:val="0"/>
                      <w:color w:val="000000"/>
                      <w:spacing w:val="-2"/>
                      <w:sz w:val="21"/>
                      <w:szCs w:val="21"/>
                      <w:lang w:val="en-US" w:eastAsia="zh-CN"/>
                    </w:rPr>
                  </w:pPr>
                  <w:r>
                    <w:rPr>
                      <w:rFonts w:hint="eastAsia" w:ascii="Times New Roman" w:hAnsi="Times New Roman" w:cs="Times New Roman"/>
                      <w:snapToGrid w:val="0"/>
                      <w:color w:val="000000"/>
                      <w:spacing w:val="-2"/>
                      <w:sz w:val="21"/>
                      <w:szCs w:val="21"/>
                      <w:lang w:val="en-US" w:eastAsia="zh-CN"/>
                    </w:rPr>
                    <w:t>固化</w:t>
                  </w:r>
                </w:p>
              </w:tc>
              <w:tc>
                <w:tcPr>
                  <w:tcW w:w="1588" w:type="dxa"/>
                  <w:noWrap w:val="0"/>
                  <w:vAlign w:val="center"/>
                </w:tcPr>
                <w:p w14:paraId="49A429B2">
                  <w:pPr>
                    <w:keepNext w:val="0"/>
                    <w:keepLines w:val="0"/>
                    <w:widowControl w:val="0"/>
                    <w:suppressLineNumbers w:val="0"/>
                    <w:spacing w:before="0" w:beforeAutospacing="0" w:after="0" w:afterAutospacing="0" w:line="240" w:lineRule="auto"/>
                    <w:ind w:left="0" w:right="0"/>
                    <w:jc w:val="center"/>
                    <w:rPr>
                      <w:rFonts w:hint="eastAsia" w:ascii="Times New Roman" w:hAnsi="Times New Roman" w:cs="Times New Roman"/>
                      <w:snapToGrid w:val="0"/>
                      <w:color w:val="000000"/>
                      <w:spacing w:val="-2"/>
                      <w:sz w:val="21"/>
                      <w:szCs w:val="21"/>
                      <w:lang w:val="en-US" w:eastAsia="zh-CN"/>
                    </w:rPr>
                  </w:pPr>
                  <w:r>
                    <w:rPr>
                      <w:rFonts w:hint="eastAsia" w:ascii="Times New Roman" w:hAnsi="Times New Roman" w:cs="Times New Roman"/>
                      <w:snapToGrid w:val="0"/>
                      <w:color w:val="000000"/>
                      <w:spacing w:val="-2"/>
                      <w:sz w:val="21"/>
                      <w:szCs w:val="21"/>
                      <w:lang w:val="en-US" w:eastAsia="zh-CN"/>
                    </w:rPr>
                    <w:t>非甲烷总烃</w:t>
                  </w:r>
                  <w:r>
                    <w:rPr>
                      <w:rFonts w:hint="eastAsia" w:cs="Times New Roman"/>
                      <w:snapToGrid w:val="0"/>
                      <w:color w:val="000000"/>
                      <w:spacing w:val="-2"/>
                      <w:sz w:val="21"/>
                      <w:szCs w:val="21"/>
                      <w:lang w:val="en-US" w:eastAsia="zh-CN"/>
                    </w:rPr>
                    <w:t>、</w:t>
                  </w:r>
                  <w:r>
                    <w:rPr>
                      <w:rFonts w:hint="eastAsia" w:ascii="Times New Roman" w:hAnsi="Times New Roman" w:cs="Times New Roman"/>
                      <w:snapToGrid w:val="0"/>
                      <w:color w:val="000000"/>
                      <w:spacing w:val="-2"/>
                      <w:sz w:val="21"/>
                      <w:szCs w:val="21"/>
                      <w:lang w:val="en-US" w:eastAsia="zh-CN"/>
                    </w:rPr>
                    <w:t>二苯基甲烷二异氰酸酯（MDI）</w:t>
                  </w:r>
                  <w:r>
                    <w:rPr>
                      <w:rFonts w:hint="eastAsia" w:cs="Times New Roman"/>
                      <w:snapToGrid w:val="0"/>
                      <w:color w:val="000000"/>
                      <w:spacing w:val="-2"/>
                      <w:sz w:val="21"/>
                      <w:szCs w:val="21"/>
                      <w:lang w:val="en-US" w:eastAsia="zh-CN"/>
                    </w:rPr>
                    <w:t>、臭气浓度</w:t>
                  </w:r>
                </w:p>
              </w:tc>
              <w:tc>
                <w:tcPr>
                  <w:tcW w:w="3097" w:type="dxa"/>
                  <w:noWrap w:val="0"/>
                  <w:vAlign w:val="center"/>
                </w:tcPr>
                <w:p w14:paraId="7ECB53A0">
                  <w:pPr>
                    <w:keepNext w:val="0"/>
                    <w:keepLines w:val="0"/>
                    <w:widowControl w:val="0"/>
                    <w:suppressLineNumbers w:val="0"/>
                    <w:spacing w:before="0" w:beforeAutospacing="0" w:after="0" w:afterAutospacing="0" w:line="240" w:lineRule="auto"/>
                    <w:ind w:left="0" w:right="0"/>
                    <w:jc w:val="center"/>
                    <w:rPr>
                      <w:rFonts w:hint="eastAsia" w:ascii="Times New Roman" w:hAnsi="Times New Roman" w:cs="Times New Roman"/>
                      <w:snapToGrid w:val="0"/>
                      <w:color w:val="000000"/>
                      <w:spacing w:val="-2"/>
                      <w:sz w:val="21"/>
                      <w:szCs w:val="21"/>
                      <w:highlight w:val="none"/>
                      <w:lang w:val="en-US" w:eastAsia="zh-CN"/>
                    </w:rPr>
                  </w:pPr>
                  <w:r>
                    <w:rPr>
                      <w:rFonts w:hint="eastAsia" w:cs="Times New Roman"/>
                      <w:bCs/>
                      <w:color w:val="000000"/>
                      <w:sz w:val="21"/>
                      <w:szCs w:val="21"/>
                      <w:highlight w:val="none"/>
                      <w:lang w:val="en-US" w:eastAsia="zh-CN"/>
                    </w:rPr>
                    <w:t>管道</w:t>
                  </w:r>
                  <w:r>
                    <w:rPr>
                      <w:rFonts w:hint="eastAsia" w:ascii="Times New Roman" w:hAnsi="Times New Roman" w:cs="Times New Roman"/>
                      <w:bCs/>
                      <w:color w:val="000000"/>
                      <w:sz w:val="21"/>
                      <w:szCs w:val="21"/>
                      <w:highlight w:val="none"/>
                      <w:lang w:val="en-US" w:eastAsia="zh-CN"/>
                    </w:rPr>
                    <w:t>+二级活性炭吸附装置+1根15m排气筒</w:t>
                  </w:r>
                  <w:r>
                    <w:rPr>
                      <w:rFonts w:hint="default" w:ascii="Times New Roman" w:hAnsi="Times New Roman" w:cs="Times New Roman"/>
                      <w:bCs/>
                      <w:color w:val="000000"/>
                      <w:sz w:val="21"/>
                      <w:szCs w:val="21"/>
                      <w:highlight w:val="none"/>
                      <w:lang w:eastAsia="zh-CN"/>
                    </w:rPr>
                    <w:t>（</w:t>
                  </w:r>
                  <w:r>
                    <w:rPr>
                      <w:rFonts w:hint="eastAsia" w:ascii="Times New Roman" w:hAnsi="Times New Roman" w:cs="Times New Roman"/>
                      <w:bCs/>
                      <w:color w:val="000000"/>
                      <w:sz w:val="21"/>
                      <w:szCs w:val="21"/>
                      <w:highlight w:val="none"/>
                      <w:lang w:val="en-US" w:eastAsia="zh-CN"/>
                    </w:rPr>
                    <w:t>DA003</w:t>
                  </w:r>
                  <w:r>
                    <w:rPr>
                      <w:rFonts w:hint="eastAsia" w:cs="Times New Roman"/>
                      <w:bCs/>
                      <w:color w:val="000000"/>
                      <w:sz w:val="21"/>
                      <w:szCs w:val="21"/>
                      <w:highlight w:val="none"/>
                      <w:lang w:val="en-US" w:eastAsia="zh-CN"/>
                    </w:rPr>
                    <w:t>新增</w:t>
                  </w:r>
                  <w:r>
                    <w:rPr>
                      <w:rFonts w:hint="default" w:ascii="Times New Roman" w:hAnsi="Times New Roman" w:cs="Times New Roman"/>
                      <w:bCs/>
                      <w:color w:val="000000"/>
                      <w:sz w:val="21"/>
                      <w:szCs w:val="21"/>
                      <w:highlight w:val="none"/>
                      <w:lang w:eastAsia="zh-CN"/>
                    </w:rPr>
                    <w:t>）</w:t>
                  </w:r>
                </w:p>
              </w:tc>
            </w:tr>
            <w:tr w14:paraId="654164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0" w:hRule="atLeast"/>
              </w:trPr>
              <w:tc>
                <w:tcPr>
                  <w:tcW w:w="1116" w:type="dxa"/>
                  <w:noWrap w:val="0"/>
                  <w:vAlign w:val="center"/>
                </w:tcPr>
                <w:p w14:paraId="333DF237">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cs="Times New Roman"/>
                      <w:snapToGrid w:val="0"/>
                      <w:color w:val="000000"/>
                      <w:sz w:val="21"/>
                      <w:szCs w:val="21"/>
                    </w:rPr>
                  </w:pPr>
                  <w:r>
                    <w:rPr>
                      <w:rFonts w:hint="default" w:ascii="Times New Roman" w:hAnsi="Times New Roman" w:cs="Times New Roman"/>
                      <w:snapToGrid w:val="0"/>
                      <w:color w:val="000000"/>
                      <w:sz w:val="21"/>
                      <w:szCs w:val="21"/>
                    </w:rPr>
                    <w:t>废水</w:t>
                  </w:r>
                </w:p>
              </w:tc>
              <w:tc>
                <w:tcPr>
                  <w:tcW w:w="991" w:type="dxa"/>
                  <w:gridSpan w:val="2"/>
                  <w:noWrap w:val="0"/>
                  <w:vAlign w:val="center"/>
                </w:tcPr>
                <w:p w14:paraId="4DDCEC12">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cs="Times New Roman"/>
                      <w:snapToGrid w:val="0"/>
                      <w:color w:val="000000"/>
                      <w:sz w:val="21"/>
                      <w:szCs w:val="21"/>
                      <w:lang w:val="en-US" w:eastAsia="zh-CN"/>
                    </w:rPr>
                  </w:pPr>
                  <w:r>
                    <w:rPr>
                      <w:rFonts w:hint="eastAsia" w:ascii="Times New Roman" w:hAnsi="Times New Roman" w:cs="Times New Roman"/>
                      <w:snapToGrid w:val="0"/>
                      <w:color w:val="000000"/>
                      <w:sz w:val="21"/>
                      <w:szCs w:val="21"/>
                      <w:lang w:val="en-US" w:eastAsia="zh-CN"/>
                    </w:rPr>
                    <w:t>/</w:t>
                  </w:r>
                </w:p>
              </w:tc>
              <w:tc>
                <w:tcPr>
                  <w:tcW w:w="1383" w:type="dxa"/>
                  <w:noWrap w:val="0"/>
                  <w:vAlign w:val="center"/>
                </w:tcPr>
                <w:p w14:paraId="35957276">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cs="Times New Roman"/>
                      <w:snapToGrid w:val="0"/>
                      <w:color w:val="000000"/>
                      <w:sz w:val="21"/>
                      <w:szCs w:val="21"/>
                      <w:lang w:val="en-US" w:eastAsia="zh-CN"/>
                    </w:rPr>
                  </w:pPr>
                  <w:r>
                    <w:rPr>
                      <w:rFonts w:hint="eastAsia" w:ascii="Times New Roman" w:hAnsi="Times New Roman" w:cs="Times New Roman"/>
                      <w:snapToGrid w:val="0"/>
                      <w:color w:val="000000"/>
                      <w:sz w:val="21"/>
                      <w:szCs w:val="21"/>
                      <w:lang w:val="en-US" w:eastAsia="zh-CN"/>
                    </w:rPr>
                    <w:t>/</w:t>
                  </w:r>
                </w:p>
              </w:tc>
              <w:tc>
                <w:tcPr>
                  <w:tcW w:w="1588" w:type="dxa"/>
                  <w:noWrap w:val="0"/>
                  <w:vAlign w:val="center"/>
                </w:tcPr>
                <w:p w14:paraId="0618F9B8">
                  <w:pPr>
                    <w:keepNext w:val="0"/>
                    <w:keepLines w:val="0"/>
                    <w:widowControl w:val="0"/>
                    <w:suppressLineNumbers w:val="0"/>
                    <w:spacing w:before="0" w:beforeAutospacing="0" w:after="0" w:afterAutospacing="0" w:line="240" w:lineRule="auto"/>
                    <w:ind w:left="0" w:right="0"/>
                    <w:jc w:val="center"/>
                    <w:rPr>
                      <w:rFonts w:hint="eastAsia" w:ascii="Times New Roman" w:hAnsi="Times New Roman" w:eastAsia="宋体" w:cs="Times New Roman"/>
                      <w:snapToGrid w:val="0"/>
                      <w:color w:val="000000"/>
                      <w:sz w:val="21"/>
                      <w:szCs w:val="21"/>
                      <w:lang w:val="en-US" w:eastAsia="zh-CN"/>
                    </w:rPr>
                  </w:pPr>
                  <w:r>
                    <w:rPr>
                      <w:rFonts w:hint="eastAsia" w:ascii="Times New Roman" w:hAnsi="Times New Roman" w:cs="Times New Roman"/>
                      <w:color w:val="auto"/>
                      <w:szCs w:val="21"/>
                      <w:lang w:val="en-US" w:eastAsia="zh-CN"/>
                    </w:rPr>
                    <w:t>/</w:t>
                  </w:r>
                </w:p>
              </w:tc>
              <w:tc>
                <w:tcPr>
                  <w:tcW w:w="3097" w:type="dxa"/>
                  <w:noWrap w:val="0"/>
                  <w:vAlign w:val="center"/>
                </w:tcPr>
                <w:p w14:paraId="3D0F4295">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cs="Times New Roman"/>
                      <w:bCs/>
                      <w:color w:val="000000"/>
                      <w:sz w:val="21"/>
                      <w:szCs w:val="21"/>
                      <w:lang w:val="en-US" w:eastAsia="zh-CN"/>
                    </w:rPr>
                  </w:pPr>
                  <w:r>
                    <w:rPr>
                      <w:rFonts w:hint="eastAsia" w:ascii="Times New Roman" w:hAnsi="Times New Roman" w:eastAsia="宋体" w:cs="Times New Roman"/>
                      <w:bCs/>
                      <w:color w:val="000000"/>
                      <w:sz w:val="21"/>
                      <w:szCs w:val="21"/>
                      <w:lang w:val="en-US" w:eastAsia="zh-CN"/>
                    </w:rPr>
                    <w:t>/</w:t>
                  </w:r>
                </w:p>
              </w:tc>
            </w:tr>
            <w:tr w14:paraId="18051E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0" w:hRule="atLeast"/>
              </w:trPr>
              <w:tc>
                <w:tcPr>
                  <w:tcW w:w="1116" w:type="dxa"/>
                  <w:tcBorders>
                    <w:bottom w:val="single" w:color="auto" w:sz="4" w:space="0"/>
                  </w:tcBorders>
                  <w:noWrap w:val="0"/>
                  <w:vAlign w:val="center"/>
                </w:tcPr>
                <w:p w14:paraId="3759F3FF">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cs="Times New Roman"/>
                      <w:snapToGrid w:val="0"/>
                      <w:color w:val="000000"/>
                      <w:sz w:val="21"/>
                      <w:szCs w:val="21"/>
                    </w:rPr>
                  </w:pPr>
                  <w:r>
                    <w:rPr>
                      <w:rFonts w:hint="default" w:ascii="Times New Roman" w:hAnsi="Times New Roman" w:cs="Times New Roman"/>
                      <w:snapToGrid w:val="0"/>
                      <w:color w:val="000000"/>
                      <w:sz w:val="21"/>
                      <w:szCs w:val="21"/>
                    </w:rPr>
                    <w:t>噪声</w:t>
                  </w:r>
                </w:p>
              </w:tc>
              <w:tc>
                <w:tcPr>
                  <w:tcW w:w="991" w:type="dxa"/>
                  <w:gridSpan w:val="2"/>
                  <w:tcBorders>
                    <w:bottom w:val="single" w:color="auto" w:sz="4" w:space="0"/>
                  </w:tcBorders>
                  <w:noWrap w:val="0"/>
                  <w:vAlign w:val="center"/>
                </w:tcPr>
                <w:p w14:paraId="00788008">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snapToGrid w:val="0"/>
                      <w:color w:val="000000"/>
                      <w:sz w:val="21"/>
                      <w:szCs w:val="21"/>
                      <w:lang w:val="en-US" w:eastAsia="zh-CN"/>
                    </w:rPr>
                  </w:pPr>
                  <w:r>
                    <w:rPr>
                      <w:rFonts w:hint="default" w:ascii="Times New Roman" w:hAnsi="Times New Roman" w:cs="Times New Roman"/>
                      <w:snapToGrid w:val="0"/>
                      <w:color w:val="000000"/>
                      <w:sz w:val="21"/>
                      <w:szCs w:val="21"/>
                    </w:rPr>
                    <w:t>N</w:t>
                  </w:r>
                  <w:r>
                    <w:rPr>
                      <w:rFonts w:hint="eastAsia" w:ascii="Times New Roman" w:hAnsi="Times New Roman" w:cs="Times New Roman"/>
                      <w:snapToGrid w:val="0"/>
                      <w:color w:val="000000"/>
                      <w:sz w:val="21"/>
                      <w:szCs w:val="21"/>
                      <w:lang w:val="en-US" w:eastAsia="zh-CN"/>
                    </w:rPr>
                    <w:t>1-N5</w:t>
                  </w:r>
                </w:p>
              </w:tc>
              <w:tc>
                <w:tcPr>
                  <w:tcW w:w="1383" w:type="dxa"/>
                  <w:noWrap w:val="0"/>
                  <w:vAlign w:val="center"/>
                </w:tcPr>
                <w:p w14:paraId="00C9A635">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cs="Times New Roman"/>
                      <w:snapToGrid w:val="0"/>
                      <w:color w:val="000000"/>
                      <w:sz w:val="21"/>
                      <w:szCs w:val="21"/>
                      <w:lang w:eastAsia="zh-CN"/>
                    </w:rPr>
                  </w:pPr>
                  <w:r>
                    <w:rPr>
                      <w:rFonts w:hint="eastAsia" w:ascii="Times New Roman" w:hAnsi="Times New Roman" w:cs="Times New Roman"/>
                      <w:snapToGrid w:val="0"/>
                      <w:color w:val="000000"/>
                      <w:sz w:val="21"/>
                      <w:szCs w:val="21"/>
                      <w:lang w:val="en-US" w:eastAsia="zh-CN"/>
                    </w:rPr>
                    <w:t>设备</w:t>
                  </w:r>
                  <w:r>
                    <w:rPr>
                      <w:rFonts w:hint="default" w:ascii="Times New Roman" w:hAnsi="Times New Roman" w:cs="Times New Roman"/>
                      <w:snapToGrid w:val="0"/>
                      <w:color w:val="000000"/>
                      <w:sz w:val="21"/>
                      <w:szCs w:val="21"/>
                      <w:lang w:eastAsia="zh-CN"/>
                    </w:rPr>
                    <w:t>噪声</w:t>
                  </w:r>
                </w:p>
              </w:tc>
              <w:tc>
                <w:tcPr>
                  <w:tcW w:w="1588" w:type="dxa"/>
                  <w:noWrap w:val="0"/>
                  <w:vAlign w:val="center"/>
                </w:tcPr>
                <w:p w14:paraId="5A712D51">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cs="Times New Roman"/>
                      <w:snapToGrid w:val="0"/>
                      <w:color w:val="000000"/>
                      <w:sz w:val="21"/>
                      <w:szCs w:val="21"/>
                    </w:rPr>
                  </w:pPr>
                  <w:r>
                    <w:rPr>
                      <w:rFonts w:hint="default" w:ascii="Times New Roman" w:hAnsi="Times New Roman" w:cs="Times New Roman"/>
                      <w:snapToGrid w:val="0"/>
                      <w:color w:val="000000"/>
                      <w:sz w:val="21"/>
                      <w:szCs w:val="21"/>
                    </w:rPr>
                    <w:t>等效A声级</w:t>
                  </w:r>
                </w:p>
              </w:tc>
              <w:tc>
                <w:tcPr>
                  <w:tcW w:w="3097" w:type="dxa"/>
                  <w:noWrap w:val="0"/>
                  <w:vAlign w:val="center"/>
                </w:tcPr>
                <w:p w14:paraId="5EA9F142">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cs="Times New Roman"/>
                      <w:snapToGrid w:val="0"/>
                      <w:color w:val="000000"/>
                      <w:sz w:val="21"/>
                      <w:szCs w:val="21"/>
                      <w:lang w:val="en-US" w:eastAsia="zh-CN"/>
                    </w:rPr>
                  </w:pPr>
                  <w:r>
                    <w:rPr>
                      <w:rFonts w:hint="default" w:ascii="Times New Roman" w:hAnsi="Times New Roman" w:cs="Times New Roman"/>
                      <w:snapToGrid w:val="0"/>
                      <w:color w:val="000000"/>
                      <w:sz w:val="21"/>
                      <w:szCs w:val="21"/>
                      <w:lang w:eastAsia="zh-CN"/>
                    </w:rPr>
                    <w:t>基础减振+厂房隔声+距离衰减</w:t>
                  </w:r>
                  <w:r>
                    <w:rPr>
                      <w:rFonts w:hint="eastAsia" w:cs="Times New Roman"/>
                      <w:snapToGrid w:val="0"/>
                      <w:color w:val="000000"/>
                      <w:sz w:val="21"/>
                      <w:szCs w:val="21"/>
                      <w:lang w:val="en-US" w:eastAsia="zh-CN"/>
                    </w:rPr>
                    <w:t>+风机隔音罩</w:t>
                  </w:r>
                </w:p>
              </w:tc>
            </w:tr>
            <w:tr w14:paraId="5BF5C7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0" w:hRule="atLeast"/>
              </w:trPr>
              <w:tc>
                <w:tcPr>
                  <w:tcW w:w="1116" w:type="dxa"/>
                  <w:vMerge w:val="restart"/>
                  <w:tcBorders>
                    <w:top w:val="single" w:color="auto" w:sz="4" w:space="0"/>
                    <w:left w:val="single" w:color="auto" w:sz="4" w:space="0"/>
                  </w:tcBorders>
                  <w:noWrap w:val="0"/>
                  <w:vAlign w:val="center"/>
                </w:tcPr>
                <w:p w14:paraId="029B33FA">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cs="Times New Roman"/>
                      <w:snapToGrid w:val="0"/>
                      <w:color w:val="000000"/>
                      <w:sz w:val="21"/>
                      <w:szCs w:val="21"/>
                    </w:rPr>
                  </w:pPr>
                  <w:r>
                    <w:rPr>
                      <w:rFonts w:hint="default" w:ascii="Times New Roman" w:hAnsi="Times New Roman" w:cs="Times New Roman"/>
                      <w:snapToGrid w:val="0"/>
                      <w:color w:val="000000"/>
                      <w:sz w:val="21"/>
                      <w:szCs w:val="21"/>
                    </w:rPr>
                    <w:t>固体废物</w:t>
                  </w:r>
                </w:p>
              </w:tc>
              <w:tc>
                <w:tcPr>
                  <w:tcW w:w="991" w:type="dxa"/>
                  <w:gridSpan w:val="2"/>
                  <w:tcBorders>
                    <w:top w:val="single" w:color="auto" w:sz="4" w:space="0"/>
                    <w:right w:val="single" w:color="auto" w:sz="4" w:space="0"/>
                  </w:tcBorders>
                  <w:noWrap w:val="0"/>
                  <w:vAlign w:val="center"/>
                </w:tcPr>
                <w:p w14:paraId="71DBBF29">
                  <w:pPr>
                    <w:keepNext w:val="0"/>
                    <w:keepLines w:val="0"/>
                    <w:widowControl w:val="0"/>
                    <w:suppressLineNumbers w:val="0"/>
                    <w:spacing w:before="0" w:beforeAutospacing="0" w:after="0" w:afterAutospacing="0" w:line="240" w:lineRule="auto"/>
                    <w:ind w:left="0" w:right="0"/>
                    <w:jc w:val="center"/>
                    <w:rPr>
                      <w:rFonts w:hint="eastAsia" w:ascii="Times New Roman" w:hAnsi="Times New Roman" w:eastAsia="宋体" w:cs="Times New Roman"/>
                      <w:snapToGrid w:val="0"/>
                      <w:color w:val="000000"/>
                      <w:kern w:val="2"/>
                      <w:sz w:val="21"/>
                      <w:szCs w:val="21"/>
                      <w:lang w:val="en-US" w:eastAsia="zh-CN" w:bidi="ar-SA"/>
                    </w:rPr>
                  </w:pPr>
                  <w:r>
                    <w:rPr>
                      <w:rFonts w:hint="default" w:ascii="Times New Roman" w:hAnsi="Times New Roman" w:cs="Times New Roman"/>
                      <w:snapToGrid w:val="0"/>
                      <w:color w:val="000000"/>
                      <w:sz w:val="21"/>
                      <w:szCs w:val="21"/>
                    </w:rPr>
                    <w:t>S</w:t>
                  </w:r>
                  <w:r>
                    <w:rPr>
                      <w:rFonts w:hint="eastAsia" w:ascii="Times New Roman" w:hAnsi="Times New Roman" w:cs="Times New Roman"/>
                      <w:snapToGrid w:val="0"/>
                      <w:color w:val="000000"/>
                      <w:sz w:val="21"/>
                      <w:szCs w:val="21"/>
                      <w:lang w:val="en-US" w:eastAsia="zh-CN"/>
                    </w:rPr>
                    <w:t>1</w:t>
                  </w:r>
                </w:p>
              </w:tc>
              <w:tc>
                <w:tcPr>
                  <w:tcW w:w="1383" w:type="dxa"/>
                  <w:vMerge w:val="restart"/>
                  <w:tcBorders>
                    <w:left w:val="single" w:color="auto" w:sz="4" w:space="0"/>
                  </w:tcBorders>
                  <w:noWrap w:val="0"/>
                  <w:vAlign w:val="center"/>
                </w:tcPr>
                <w:p w14:paraId="4F194442">
                  <w:pPr>
                    <w:keepNext w:val="0"/>
                    <w:keepLines w:val="0"/>
                    <w:suppressLineNumbers w:val="0"/>
                    <w:spacing w:before="0" w:beforeAutospacing="0" w:after="0" w:afterAutospacing="0" w:line="240" w:lineRule="auto"/>
                    <w:ind w:left="0" w:right="0"/>
                    <w:jc w:val="center"/>
                    <w:rPr>
                      <w:rFonts w:hint="default" w:ascii="Times New Roman" w:hAnsi="宋体" w:eastAsia="宋体" w:cs="Times New Roman"/>
                      <w:bCs/>
                      <w:szCs w:val="21"/>
                      <w:lang w:val="en-US" w:eastAsia="zh-CN"/>
                    </w:rPr>
                  </w:pPr>
                  <w:r>
                    <w:rPr>
                      <w:rFonts w:hint="eastAsia" w:cs="Times New Roman"/>
                      <w:bCs/>
                      <w:color w:val="000000"/>
                      <w:kern w:val="2"/>
                      <w:sz w:val="21"/>
                      <w:szCs w:val="21"/>
                      <w:lang w:val="en-US" w:eastAsia="zh-CN" w:bidi="ar-SA"/>
                    </w:rPr>
                    <w:t>印刷</w:t>
                  </w:r>
                </w:p>
              </w:tc>
              <w:tc>
                <w:tcPr>
                  <w:tcW w:w="1588" w:type="dxa"/>
                  <w:noWrap w:val="0"/>
                  <w:vAlign w:val="center"/>
                </w:tcPr>
                <w:p w14:paraId="703A4F7A">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snapToGrid w:val="0"/>
                      <w:color w:val="000000"/>
                      <w:kern w:val="2"/>
                      <w:sz w:val="21"/>
                      <w:szCs w:val="21"/>
                      <w:lang w:val="en-US" w:eastAsia="zh-CN" w:bidi="ar-SA"/>
                    </w:rPr>
                  </w:pPr>
                  <w:r>
                    <w:rPr>
                      <w:rFonts w:hint="eastAsia" w:ascii="Times New Roman" w:hAnsi="Times New Roman" w:cs="Times New Roman"/>
                      <w:szCs w:val="21"/>
                      <w:lang w:eastAsia="zh-CN"/>
                    </w:rPr>
                    <w:t>废水性油墨桶</w:t>
                  </w:r>
                </w:p>
              </w:tc>
              <w:tc>
                <w:tcPr>
                  <w:tcW w:w="3097" w:type="dxa"/>
                  <w:vMerge w:val="restart"/>
                  <w:noWrap w:val="0"/>
                  <w:vAlign w:val="center"/>
                </w:tcPr>
                <w:p w14:paraId="0E19F94B">
                  <w:pPr>
                    <w:keepNext w:val="0"/>
                    <w:keepLines w:val="0"/>
                    <w:widowControl w:val="0"/>
                    <w:suppressLineNumbers w:val="0"/>
                    <w:spacing w:before="0" w:beforeAutospacing="0" w:after="0" w:afterAutospacing="0" w:line="240" w:lineRule="auto"/>
                    <w:ind w:left="0" w:right="0"/>
                    <w:jc w:val="center"/>
                    <w:rPr>
                      <w:rFonts w:hint="default" w:ascii="Times New Roman" w:hAnsi="宋体" w:cs="Times New Roman"/>
                      <w:bCs/>
                      <w:szCs w:val="21"/>
                      <w:lang w:val="en-US" w:eastAsia="zh-CN"/>
                    </w:rPr>
                  </w:pPr>
                  <w:r>
                    <w:rPr>
                      <w:rFonts w:hint="default" w:ascii="Times New Roman" w:hAnsi="Times New Roman" w:cs="Times New Roman"/>
                      <w:snapToGrid w:val="0"/>
                      <w:color w:val="000000"/>
                      <w:sz w:val="21"/>
                      <w:szCs w:val="21"/>
                      <w:lang w:eastAsia="zh-CN"/>
                    </w:rPr>
                    <w:t>危废间暂存，定期交有资质单位处理</w:t>
                  </w:r>
                </w:p>
              </w:tc>
            </w:tr>
            <w:tr w14:paraId="404593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0" w:hRule="atLeast"/>
              </w:trPr>
              <w:tc>
                <w:tcPr>
                  <w:tcW w:w="1116" w:type="dxa"/>
                  <w:vMerge w:val="continue"/>
                  <w:tcBorders>
                    <w:left w:val="single" w:color="auto" w:sz="4" w:space="0"/>
                  </w:tcBorders>
                  <w:noWrap w:val="0"/>
                  <w:vAlign w:val="center"/>
                </w:tcPr>
                <w:p w14:paraId="3D0B5AB9">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cs="Times New Roman"/>
                      <w:snapToGrid w:val="0"/>
                      <w:color w:val="000000"/>
                      <w:sz w:val="21"/>
                      <w:szCs w:val="21"/>
                    </w:rPr>
                  </w:pPr>
                </w:p>
              </w:tc>
              <w:tc>
                <w:tcPr>
                  <w:tcW w:w="991" w:type="dxa"/>
                  <w:gridSpan w:val="2"/>
                  <w:tcBorders>
                    <w:right w:val="single" w:color="auto" w:sz="4" w:space="0"/>
                  </w:tcBorders>
                  <w:noWrap w:val="0"/>
                  <w:vAlign w:val="center"/>
                </w:tcPr>
                <w:p w14:paraId="5762F4E3">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snapToGrid w:val="0"/>
                      <w:color w:val="000000"/>
                      <w:sz w:val="21"/>
                      <w:szCs w:val="21"/>
                      <w:lang w:val="en-US" w:eastAsia="zh-CN"/>
                    </w:rPr>
                  </w:pPr>
                  <w:r>
                    <w:rPr>
                      <w:rFonts w:hint="eastAsia" w:cs="Times New Roman"/>
                      <w:snapToGrid w:val="0"/>
                      <w:color w:val="000000"/>
                      <w:sz w:val="21"/>
                      <w:szCs w:val="21"/>
                      <w:lang w:val="en-US" w:eastAsia="zh-CN"/>
                    </w:rPr>
                    <w:t>S2</w:t>
                  </w:r>
                </w:p>
              </w:tc>
              <w:tc>
                <w:tcPr>
                  <w:tcW w:w="1383" w:type="dxa"/>
                  <w:vMerge w:val="continue"/>
                  <w:tcBorders>
                    <w:left w:val="single" w:color="auto" w:sz="4" w:space="0"/>
                  </w:tcBorders>
                  <w:noWrap w:val="0"/>
                  <w:vAlign w:val="center"/>
                </w:tcPr>
                <w:p w14:paraId="5C30949A">
                  <w:pPr>
                    <w:keepNext w:val="0"/>
                    <w:keepLines w:val="0"/>
                    <w:suppressLineNumbers w:val="0"/>
                    <w:spacing w:before="0" w:beforeAutospacing="0" w:after="0" w:afterAutospacing="0" w:line="240" w:lineRule="auto"/>
                    <w:ind w:left="0" w:right="0"/>
                    <w:jc w:val="center"/>
                    <w:rPr>
                      <w:rFonts w:hint="default" w:ascii="Times New Roman" w:hAnsi="宋体" w:eastAsia="宋体" w:cs="Times New Roman"/>
                      <w:bCs/>
                      <w:szCs w:val="21"/>
                      <w:lang w:val="en-US" w:eastAsia="zh-CN"/>
                    </w:rPr>
                  </w:pPr>
                </w:p>
              </w:tc>
              <w:tc>
                <w:tcPr>
                  <w:tcW w:w="1588" w:type="dxa"/>
                  <w:noWrap w:val="0"/>
                  <w:vAlign w:val="center"/>
                </w:tcPr>
                <w:p w14:paraId="0E739343">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napToGrid w:val="0"/>
                      <w:color w:val="000000"/>
                      <w:sz w:val="21"/>
                      <w:szCs w:val="21"/>
                      <w:lang w:val="en-US" w:eastAsia="zh-CN"/>
                    </w:rPr>
                  </w:pPr>
                  <w:r>
                    <w:rPr>
                      <w:rFonts w:hint="eastAsia" w:ascii="Times New Roman" w:hAnsi="Times New Roman" w:cs="Times New Roman"/>
                      <w:snapToGrid w:val="0"/>
                      <w:color w:val="000000"/>
                      <w:sz w:val="21"/>
                      <w:szCs w:val="21"/>
                      <w:lang w:val="en-US" w:eastAsia="zh-CN"/>
                    </w:rPr>
                    <w:t>废纯水桶</w:t>
                  </w:r>
                </w:p>
              </w:tc>
              <w:tc>
                <w:tcPr>
                  <w:tcW w:w="3097" w:type="dxa"/>
                  <w:noWrap w:val="0"/>
                  <w:vAlign w:val="center"/>
                </w:tcPr>
                <w:p w14:paraId="7E256AAF">
                  <w:pPr>
                    <w:keepNext w:val="0"/>
                    <w:keepLines w:val="0"/>
                    <w:widowControl w:val="0"/>
                    <w:suppressLineNumbers w:val="0"/>
                    <w:spacing w:before="0" w:beforeAutospacing="0" w:after="0" w:afterAutospacing="0" w:line="240" w:lineRule="auto"/>
                    <w:ind w:left="0" w:right="0"/>
                    <w:jc w:val="center"/>
                    <w:rPr>
                      <w:rFonts w:hint="default" w:ascii="Times New Roman" w:hAnsi="宋体" w:cs="Times New Roman"/>
                      <w:bCs/>
                      <w:szCs w:val="21"/>
                      <w:lang w:val="en-US" w:eastAsia="zh-CN"/>
                    </w:rPr>
                  </w:pPr>
                  <w:r>
                    <w:rPr>
                      <w:rFonts w:hint="default" w:ascii="Times New Roman" w:hAnsi="Times New Roman" w:cs="Times New Roman"/>
                      <w:snapToGrid w:val="0"/>
                      <w:color w:val="000000"/>
                      <w:sz w:val="21"/>
                      <w:szCs w:val="21"/>
                      <w:lang w:eastAsia="zh-CN"/>
                    </w:rPr>
                    <w:t>收集后外售</w:t>
                  </w:r>
                  <w:r>
                    <w:rPr>
                      <w:rFonts w:hint="eastAsia" w:ascii="Times New Roman" w:hAnsi="Times New Roman" w:cs="Times New Roman"/>
                      <w:snapToGrid w:val="0"/>
                      <w:color w:val="000000"/>
                      <w:sz w:val="21"/>
                      <w:szCs w:val="21"/>
                      <w:lang w:val="en-US" w:eastAsia="zh-CN"/>
                    </w:rPr>
                    <w:t>综合利用</w:t>
                  </w:r>
                </w:p>
              </w:tc>
            </w:tr>
            <w:tr w14:paraId="5E857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0" w:hRule="atLeast"/>
              </w:trPr>
              <w:tc>
                <w:tcPr>
                  <w:tcW w:w="1116" w:type="dxa"/>
                  <w:vMerge w:val="continue"/>
                  <w:tcBorders>
                    <w:left w:val="single" w:color="auto" w:sz="4" w:space="0"/>
                  </w:tcBorders>
                  <w:noWrap w:val="0"/>
                  <w:vAlign w:val="center"/>
                </w:tcPr>
                <w:p w14:paraId="218F2480">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cs="Times New Roman"/>
                      <w:snapToGrid w:val="0"/>
                      <w:color w:val="000000"/>
                      <w:sz w:val="21"/>
                      <w:szCs w:val="21"/>
                    </w:rPr>
                  </w:pPr>
                </w:p>
              </w:tc>
              <w:tc>
                <w:tcPr>
                  <w:tcW w:w="991" w:type="dxa"/>
                  <w:gridSpan w:val="2"/>
                  <w:tcBorders>
                    <w:top w:val="single" w:color="auto" w:sz="4" w:space="0"/>
                  </w:tcBorders>
                  <w:shd w:val="clear" w:color="auto" w:fill="auto"/>
                  <w:noWrap w:val="0"/>
                  <w:vAlign w:val="center"/>
                </w:tcPr>
                <w:p w14:paraId="06F9DD37">
                  <w:pPr>
                    <w:keepNext w:val="0"/>
                    <w:keepLines w:val="0"/>
                    <w:widowControl w:val="0"/>
                    <w:suppressLineNumbers w:val="0"/>
                    <w:spacing w:before="0" w:beforeAutospacing="0" w:after="0" w:afterAutospacing="0" w:line="240" w:lineRule="auto"/>
                    <w:ind w:left="0" w:leftChars="0" w:right="0" w:rightChars="0"/>
                    <w:jc w:val="center"/>
                    <w:rPr>
                      <w:rFonts w:hint="eastAsia" w:ascii="Times New Roman" w:hAnsi="Times New Roman" w:eastAsia="宋体" w:cs="Times New Roman"/>
                      <w:snapToGrid w:val="0"/>
                      <w:color w:val="000000"/>
                      <w:kern w:val="2"/>
                      <w:sz w:val="21"/>
                      <w:szCs w:val="21"/>
                      <w:lang w:val="en-US" w:eastAsia="zh-CN" w:bidi="ar-SA"/>
                    </w:rPr>
                  </w:pPr>
                  <w:r>
                    <w:rPr>
                      <w:rFonts w:hint="default" w:ascii="Times New Roman" w:hAnsi="Times New Roman" w:cs="Times New Roman"/>
                      <w:snapToGrid w:val="0"/>
                      <w:color w:val="000000"/>
                      <w:sz w:val="21"/>
                      <w:szCs w:val="21"/>
                    </w:rPr>
                    <w:t>S</w:t>
                  </w:r>
                  <w:r>
                    <w:rPr>
                      <w:rFonts w:hint="eastAsia" w:cs="Times New Roman"/>
                      <w:snapToGrid w:val="0"/>
                      <w:color w:val="000000"/>
                      <w:sz w:val="21"/>
                      <w:szCs w:val="21"/>
                      <w:lang w:val="en-US" w:eastAsia="zh-CN"/>
                    </w:rPr>
                    <w:t>3</w:t>
                  </w:r>
                </w:p>
              </w:tc>
              <w:tc>
                <w:tcPr>
                  <w:tcW w:w="1383" w:type="dxa"/>
                  <w:vMerge w:val="continue"/>
                  <w:tcBorders>
                    <w:left w:val="single" w:color="auto" w:sz="4" w:space="0"/>
                  </w:tcBorders>
                  <w:noWrap w:val="0"/>
                  <w:vAlign w:val="center"/>
                </w:tcPr>
                <w:p w14:paraId="6B676631">
                  <w:pPr>
                    <w:keepNext w:val="0"/>
                    <w:keepLines w:val="0"/>
                    <w:suppressLineNumbers w:val="0"/>
                    <w:spacing w:before="0" w:beforeAutospacing="0" w:after="0" w:afterAutospacing="0" w:line="240" w:lineRule="auto"/>
                    <w:ind w:left="0" w:right="0"/>
                    <w:jc w:val="center"/>
                    <w:rPr>
                      <w:rFonts w:hint="default" w:ascii="Times New Roman" w:hAnsi="宋体" w:eastAsia="宋体" w:cs="Times New Roman"/>
                      <w:bCs/>
                      <w:szCs w:val="21"/>
                      <w:lang w:val="en-US" w:eastAsia="zh-CN"/>
                    </w:rPr>
                  </w:pPr>
                </w:p>
              </w:tc>
              <w:tc>
                <w:tcPr>
                  <w:tcW w:w="1588" w:type="dxa"/>
                  <w:noWrap w:val="0"/>
                  <w:vAlign w:val="center"/>
                </w:tcPr>
                <w:p w14:paraId="41D58B8C">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szCs w:val="21"/>
                    </w:rPr>
                  </w:pPr>
                  <w:r>
                    <w:rPr>
                      <w:rFonts w:hint="eastAsia" w:ascii="Times New Roman" w:hAnsi="宋体" w:cs="Times New Roman"/>
                      <w:bCs/>
                      <w:szCs w:val="21"/>
                      <w:lang w:val="en-US" w:eastAsia="zh-CN"/>
                    </w:rPr>
                    <w:t>废抹布</w:t>
                  </w:r>
                </w:p>
              </w:tc>
              <w:tc>
                <w:tcPr>
                  <w:tcW w:w="3097" w:type="dxa"/>
                  <w:vMerge w:val="restart"/>
                  <w:noWrap w:val="0"/>
                  <w:vAlign w:val="center"/>
                </w:tcPr>
                <w:p w14:paraId="29C5A2C4">
                  <w:pPr>
                    <w:keepNext w:val="0"/>
                    <w:keepLines w:val="0"/>
                    <w:widowControl w:val="0"/>
                    <w:suppressLineNumbers w:val="0"/>
                    <w:spacing w:before="0" w:beforeAutospacing="0" w:after="0" w:afterAutospacing="0" w:line="240" w:lineRule="auto"/>
                    <w:ind w:left="0" w:right="0"/>
                    <w:jc w:val="center"/>
                    <w:rPr>
                      <w:rFonts w:hint="default" w:ascii="Times New Roman" w:hAnsi="宋体" w:cs="Times New Roman"/>
                      <w:bCs/>
                      <w:szCs w:val="21"/>
                      <w:lang w:val="en-US" w:eastAsia="zh-CN"/>
                    </w:rPr>
                  </w:pPr>
                  <w:r>
                    <w:rPr>
                      <w:rFonts w:hint="default" w:ascii="Times New Roman" w:hAnsi="Times New Roman" w:cs="Times New Roman"/>
                      <w:snapToGrid w:val="0"/>
                      <w:color w:val="000000"/>
                      <w:sz w:val="21"/>
                      <w:szCs w:val="21"/>
                      <w:lang w:eastAsia="zh-CN"/>
                    </w:rPr>
                    <w:t>危废间暂存，定期交有资质单位处理</w:t>
                  </w:r>
                </w:p>
              </w:tc>
            </w:tr>
            <w:tr w14:paraId="102B4D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0" w:hRule="atLeast"/>
              </w:trPr>
              <w:tc>
                <w:tcPr>
                  <w:tcW w:w="1116" w:type="dxa"/>
                  <w:vMerge w:val="continue"/>
                  <w:tcBorders>
                    <w:left w:val="single" w:color="auto" w:sz="4" w:space="0"/>
                  </w:tcBorders>
                  <w:noWrap w:val="0"/>
                  <w:vAlign w:val="center"/>
                </w:tcPr>
                <w:p w14:paraId="11BF4266">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cs="Times New Roman"/>
                      <w:snapToGrid w:val="0"/>
                      <w:color w:val="000000"/>
                      <w:sz w:val="21"/>
                      <w:szCs w:val="21"/>
                    </w:rPr>
                  </w:pPr>
                </w:p>
              </w:tc>
              <w:tc>
                <w:tcPr>
                  <w:tcW w:w="991" w:type="dxa"/>
                  <w:gridSpan w:val="2"/>
                  <w:shd w:val="clear" w:color="auto" w:fill="auto"/>
                  <w:noWrap w:val="0"/>
                  <w:vAlign w:val="center"/>
                </w:tcPr>
                <w:p w14:paraId="5FE4AF93">
                  <w:pPr>
                    <w:keepNext w:val="0"/>
                    <w:keepLines w:val="0"/>
                    <w:widowControl/>
                    <w:suppressLineNumbers w:val="0"/>
                    <w:spacing w:before="0" w:beforeAutospacing="0" w:after="0" w:afterAutospacing="0" w:line="240" w:lineRule="auto"/>
                    <w:ind w:left="0" w:leftChars="0" w:right="0" w:rightChars="0"/>
                    <w:jc w:val="center"/>
                    <w:rPr>
                      <w:rFonts w:hint="eastAsia" w:ascii="Times New Roman" w:hAnsi="Times New Roman" w:eastAsia="宋体" w:cs="Times New Roman"/>
                      <w:snapToGrid w:val="0"/>
                      <w:color w:val="000000"/>
                      <w:kern w:val="2"/>
                      <w:sz w:val="21"/>
                      <w:szCs w:val="21"/>
                      <w:lang w:val="en-US" w:eastAsia="zh-CN" w:bidi="ar-SA"/>
                    </w:rPr>
                  </w:pPr>
                  <w:r>
                    <w:rPr>
                      <w:rFonts w:hint="eastAsia" w:ascii="Times New Roman" w:hAnsi="Times New Roman" w:cs="Times New Roman"/>
                      <w:snapToGrid w:val="0"/>
                      <w:color w:val="000000"/>
                      <w:sz w:val="21"/>
                      <w:szCs w:val="21"/>
                      <w:lang w:val="en-US" w:eastAsia="zh-CN"/>
                    </w:rPr>
                    <w:t>S4</w:t>
                  </w:r>
                </w:p>
              </w:tc>
              <w:tc>
                <w:tcPr>
                  <w:tcW w:w="1383" w:type="dxa"/>
                  <w:shd w:val="clear" w:color="auto" w:fill="auto"/>
                  <w:noWrap w:val="0"/>
                  <w:vAlign w:val="center"/>
                </w:tcPr>
                <w:p w14:paraId="2BFDFB0B">
                  <w:pPr>
                    <w:keepNext w:val="0"/>
                    <w:keepLines w:val="0"/>
                    <w:suppressLineNumbers w:val="0"/>
                    <w:spacing w:before="0" w:beforeAutospacing="0" w:after="0" w:afterAutospacing="0" w:line="240" w:lineRule="auto"/>
                    <w:ind w:left="0" w:leftChars="0" w:right="0" w:rightChars="0"/>
                    <w:jc w:val="center"/>
                    <w:rPr>
                      <w:rFonts w:hint="default" w:ascii="Times New Roman" w:hAnsi="宋体" w:eastAsia="宋体" w:cs="Times New Roman"/>
                      <w:bCs/>
                      <w:kern w:val="2"/>
                      <w:sz w:val="21"/>
                      <w:szCs w:val="21"/>
                      <w:lang w:val="en-US" w:eastAsia="zh-CN" w:bidi="ar-SA"/>
                    </w:rPr>
                  </w:pPr>
                  <w:r>
                    <w:rPr>
                      <w:rFonts w:hint="eastAsia" w:ascii="Times New Roman" w:hAnsi="宋体" w:eastAsia="宋体" w:cs="Times New Roman"/>
                      <w:bCs/>
                      <w:szCs w:val="21"/>
                      <w:lang w:val="en-US" w:eastAsia="zh-CN"/>
                    </w:rPr>
                    <w:t>复合</w:t>
                  </w:r>
                </w:p>
              </w:tc>
              <w:tc>
                <w:tcPr>
                  <w:tcW w:w="1588" w:type="dxa"/>
                  <w:shd w:val="clear" w:color="auto" w:fill="auto"/>
                  <w:noWrap w:val="0"/>
                  <w:vAlign w:val="center"/>
                </w:tcPr>
                <w:p w14:paraId="1C3E1DBA">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eastAsia" w:ascii="Times New Roman" w:hAnsi="宋体" w:cs="Times New Roman"/>
                      <w:bCs/>
                      <w:szCs w:val="21"/>
                      <w:lang w:val="en-US" w:eastAsia="zh-CN"/>
                    </w:rPr>
                    <w:t>废胶粘剂桶</w:t>
                  </w:r>
                </w:p>
              </w:tc>
              <w:tc>
                <w:tcPr>
                  <w:tcW w:w="3097" w:type="dxa"/>
                  <w:vMerge w:val="continue"/>
                  <w:noWrap w:val="0"/>
                  <w:vAlign w:val="center"/>
                </w:tcPr>
                <w:p w14:paraId="164A0C42">
                  <w:pPr>
                    <w:keepNext w:val="0"/>
                    <w:keepLines w:val="0"/>
                    <w:widowControl w:val="0"/>
                    <w:suppressLineNumbers w:val="0"/>
                    <w:spacing w:before="0" w:beforeAutospacing="0" w:after="0" w:afterAutospacing="0" w:line="240" w:lineRule="auto"/>
                    <w:ind w:left="0" w:right="0"/>
                    <w:jc w:val="center"/>
                    <w:rPr>
                      <w:rFonts w:hint="default" w:ascii="Times New Roman" w:hAnsi="宋体" w:cs="Times New Roman"/>
                      <w:bCs/>
                      <w:szCs w:val="21"/>
                      <w:lang w:val="en-US" w:eastAsia="zh-CN"/>
                    </w:rPr>
                  </w:pPr>
                </w:p>
              </w:tc>
            </w:tr>
            <w:tr w14:paraId="5DA38D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0" w:hRule="atLeast"/>
              </w:trPr>
              <w:tc>
                <w:tcPr>
                  <w:tcW w:w="1116" w:type="dxa"/>
                  <w:vMerge w:val="continue"/>
                  <w:tcBorders>
                    <w:left w:val="single" w:color="auto" w:sz="4" w:space="0"/>
                  </w:tcBorders>
                  <w:noWrap w:val="0"/>
                  <w:vAlign w:val="center"/>
                </w:tcPr>
                <w:p w14:paraId="3AA1E764">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cs="Times New Roman"/>
                    </w:rPr>
                  </w:pPr>
                </w:p>
              </w:tc>
              <w:tc>
                <w:tcPr>
                  <w:tcW w:w="991" w:type="dxa"/>
                  <w:gridSpan w:val="2"/>
                  <w:shd w:val="clear" w:color="auto" w:fill="auto"/>
                  <w:noWrap w:val="0"/>
                  <w:vAlign w:val="center"/>
                </w:tcPr>
                <w:p w14:paraId="2B704056">
                  <w:pPr>
                    <w:keepNext w:val="0"/>
                    <w:keepLines w:val="0"/>
                    <w:widowControl w:val="0"/>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snapToGrid w:val="0"/>
                      <w:color w:val="000000"/>
                      <w:kern w:val="2"/>
                      <w:sz w:val="21"/>
                      <w:szCs w:val="21"/>
                      <w:lang w:val="en-US" w:eastAsia="zh-CN" w:bidi="ar-SA"/>
                    </w:rPr>
                  </w:pPr>
                  <w:r>
                    <w:rPr>
                      <w:rFonts w:hint="eastAsia" w:ascii="Times New Roman" w:hAnsi="Times New Roman" w:cs="Times New Roman"/>
                      <w:snapToGrid w:val="0"/>
                      <w:color w:val="000000"/>
                      <w:sz w:val="21"/>
                      <w:szCs w:val="21"/>
                      <w:lang w:val="en-US" w:eastAsia="zh-CN"/>
                    </w:rPr>
                    <w:t>S</w:t>
                  </w:r>
                  <w:r>
                    <w:rPr>
                      <w:rFonts w:hint="eastAsia" w:cs="Times New Roman"/>
                      <w:snapToGrid w:val="0"/>
                      <w:color w:val="000000"/>
                      <w:sz w:val="21"/>
                      <w:szCs w:val="21"/>
                      <w:lang w:val="en-US" w:eastAsia="zh-CN"/>
                    </w:rPr>
                    <w:t>5</w:t>
                  </w:r>
                </w:p>
              </w:tc>
              <w:tc>
                <w:tcPr>
                  <w:tcW w:w="1383" w:type="dxa"/>
                  <w:shd w:val="clear" w:color="auto" w:fill="auto"/>
                  <w:noWrap w:val="0"/>
                  <w:vAlign w:val="center"/>
                </w:tcPr>
                <w:p w14:paraId="11A50198">
                  <w:pPr>
                    <w:keepNext w:val="0"/>
                    <w:keepLines w:val="0"/>
                    <w:suppressLineNumbers w:val="0"/>
                    <w:spacing w:before="0" w:beforeAutospacing="0" w:after="0" w:afterAutospacing="0" w:line="240" w:lineRule="auto"/>
                    <w:ind w:left="0" w:leftChars="0" w:right="0" w:rightChars="0"/>
                    <w:jc w:val="center"/>
                    <w:rPr>
                      <w:rFonts w:hint="default" w:ascii="Times New Roman" w:hAnsi="宋体" w:eastAsia="宋体" w:cs="Times New Roman"/>
                      <w:bCs/>
                      <w:kern w:val="2"/>
                      <w:sz w:val="21"/>
                      <w:szCs w:val="21"/>
                      <w:lang w:val="en-US" w:eastAsia="zh-CN" w:bidi="ar-SA"/>
                    </w:rPr>
                  </w:pPr>
                  <w:r>
                    <w:rPr>
                      <w:rFonts w:hint="eastAsia" w:ascii="Times New Roman" w:hAnsi="宋体" w:cs="Times New Roman"/>
                      <w:bCs/>
                      <w:szCs w:val="21"/>
                      <w:lang w:val="en-US" w:eastAsia="zh-CN"/>
                    </w:rPr>
                    <w:t>分切</w:t>
                  </w:r>
                </w:p>
              </w:tc>
              <w:tc>
                <w:tcPr>
                  <w:tcW w:w="1588" w:type="dxa"/>
                  <w:shd w:val="clear" w:color="auto" w:fill="auto"/>
                  <w:noWrap w:val="0"/>
                  <w:vAlign w:val="center"/>
                </w:tcPr>
                <w:p w14:paraId="0443A43C">
                  <w:pPr>
                    <w:keepNext w:val="0"/>
                    <w:keepLines w:val="0"/>
                    <w:suppressLineNumbers w:val="0"/>
                    <w:spacing w:before="0" w:beforeAutospacing="0" w:after="0" w:afterAutospacing="0" w:line="240" w:lineRule="auto"/>
                    <w:ind w:left="0" w:leftChars="0" w:right="0" w:rightChars="0"/>
                    <w:jc w:val="center"/>
                    <w:rPr>
                      <w:rFonts w:hint="eastAsia" w:ascii="Times New Roman" w:hAnsi="宋体" w:eastAsia="宋体" w:cs="Times New Roman"/>
                      <w:bCs/>
                      <w:kern w:val="2"/>
                      <w:sz w:val="21"/>
                      <w:szCs w:val="21"/>
                      <w:lang w:val="en-US" w:eastAsia="zh-CN" w:bidi="ar-SA"/>
                    </w:rPr>
                  </w:pPr>
                  <w:r>
                    <w:rPr>
                      <w:rFonts w:hint="eastAsia" w:ascii="Times New Roman" w:hAnsi="宋体" w:cs="Times New Roman"/>
                      <w:bCs/>
                      <w:szCs w:val="21"/>
                      <w:lang w:val="en-US" w:eastAsia="zh-CN"/>
                    </w:rPr>
                    <w:t>废边角料</w:t>
                  </w:r>
                </w:p>
              </w:tc>
              <w:tc>
                <w:tcPr>
                  <w:tcW w:w="3097" w:type="dxa"/>
                  <w:vMerge w:val="restart"/>
                  <w:noWrap w:val="0"/>
                  <w:vAlign w:val="center"/>
                </w:tcPr>
                <w:p w14:paraId="192DA213">
                  <w:pPr>
                    <w:keepNext w:val="0"/>
                    <w:keepLines w:val="0"/>
                    <w:widowControl w:val="0"/>
                    <w:suppressLineNumbers w:val="0"/>
                    <w:spacing w:before="0" w:beforeAutospacing="0" w:after="0" w:afterAutospacing="0" w:line="240" w:lineRule="auto"/>
                    <w:ind w:left="0" w:right="0"/>
                    <w:jc w:val="center"/>
                    <w:rPr>
                      <w:rFonts w:hint="default" w:ascii="Times New Roman" w:hAnsi="宋体" w:cs="Times New Roman"/>
                      <w:bCs/>
                      <w:szCs w:val="21"/>
                      <w:lang w:val="en-US" w:eastAsia="zh-CN"/>
                    </w:rPr>
                  </w:pPr>
                  <w:r>
                    <w:rPr>
                      <w:rFonts w:hint="default" w:ascii="Times New Roman" w:hAnsi="Times New Roman" w:cs="Times New Roman"/>
                      <w:snapToGrid w:val="0"/>
                      <w:color w:val="000000"/>
                      <w:sz w:val="21"/>
                      <w:szCs w:val="21"/>
                      <w:lang w:eastAsia="zh-CN"/>
                    </w:rPr>
                    <w:t>收集后外售</w:t>
                  </w:r>
                  <w:r>
                    <w:rPr>
                      <w:rFonts w:hint="eastAsia" w:ascii="Times New Roman" w:hAnsi="Times New Roman" w:cs="Times New Roman"/>
                      <w:snapToGrid w:val="0"/>
                      <w:color w:val="000000"/>
                      <w:sz w:val="21"/>
                      <w:szCs w:val="21"/>
                      <w:lang w:val="en-US" w:eastAsia="zh-CN"/>
                    </w:rPr>
                    <w:t>综合利用</w:t>
                  </w:r>
                </w:p>
              </w:tc>
            </w:tr>
            <w:tr w14:paraId="5A737F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5" w:hRule="atLeast"/>
              </w:trPr>
              <w:tc>
                <w:tcPr>
                  <w:tcW w:w="1116" w:type="dxa"/>
                  <w:vMerge w:val="continue"/>
                  <w:tcBorders>
                    <w:left w:val="single" w:color="auto" w:sz="4" w:space="0"/>
                  </w:tcBorders>
                  <w:noWrap w:val="0"/>
                  <w:vAlign w:val="center"/>
                </w:tcPr>
                <w:p w14:paraId="16362624">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cs="Times New Roman"/>
                    </w:rPr>
                  </w:pPr>
                </w:p>
              </w:tc>
              <w:tc>
                <w:tcPr>
                  <w:tcW w:w="991" w:type="dxa"/>
                  <w:gridSpan w:val="2"/>
                  <w:shd w:val="clear" w:color="auto" w:fill="auto"/>
                  <w:noWrap w:val="0"/>
                  <w:vAlign w:val="center"/>
                </w:tcPr>
                <w:p w14:paraId="04266DE2">
                  <w:pPr>
                    <w:keepNext w:val="0"/>
                    <w:keepLines w:val="0"/>
                    <w:widowControl w:val="0"/>
                    <w:suppressLineNumbers w:val="0"/>
                    <w:spacing w:before="0" w:beforeAutospacing="0" w:after="0" w:afterAutospacing="0" w:line="240" w:lineRule="auto"/>
                    <w:ind w:left="0" w:leftChars="0" w:right="0" w:rightChars="0"/>
                    <w:jc w:val="center"/>
                    <w:rPr>
                      <w:rFonts w:hint="eastAsia" w:ascii="Times New Roman" w:hAnsi="Times New Roman" w:eastAsia="宋体" w:cs="Times New Roman"/>
                      <w:kern w:val="2"/>
                      <w:sz w:val="21"/>
                      <w:szCs w:val="24"/>
                      <w:lang w:val="en-US" w:eastAsia="zh-CN" w:bidi="ar-SA"/>
                    </w:rPr>
                  </w:pPr>
                  <w:r>
                    <w:rPr>
                      <w:rFonts w:hint="eastAsia" w:ascii="Times New Roman" w:hAnsi="Times New Roman" w:cs="Times New Roman"/>
                      <w:snapToGrid w:val="0"/>
                      <w:color w:val="000000"/>
                      <w:sz w:val="21"/>
                      <w:szCs w:val="21"/>
                      <w:lang w:val="en-US" w:eastAsia="zh-CN"/>
                    </w:rPr>
                    <w:t>S</w:t>
                  </w:r>
                  <w:r>
                    <w:rPr>
                      <w:rFonts w:hint="eastAsia" w:cs="Times New Roman"/>
                      <w:snapToGrid w:val="0"/>
                      <w:color w:val="000000"/>
                      <w:sz w:val="21"/>
                      <w:szCs w:val="21"/>
                      <w:lang w:val="en-US" w:eastAsia="zh-CN"/>
                    </w:rPr>
                    <w:t>6</w:t>
                  </w:r>
                </w:p>
              </w:tc>
              <w:tc>
                <w:tcPr>
                  <w:tcW w:w="1383" w:type="dxa"/>
                  <w:shd w:val="clear" w:color="auto" w:fill="auto"/>
                  <w:noWrap w:val="0"/>
                  <w:vAlign w:val="center"/>
                </w:tcPr>
                <w:p w14:paraId="0BE8CB3A">
                  <w:pPr>
                    <w:keepNext w:val="0"/>
                    <w:keepLines w:val="0"/>
                    <w:suppressLineNumbers w:val="0"/>
                    <w:spacing w:before="0" w:beforeAutospacing="0" w:after="0" w:afterAutospacing="0" w:line="240" w:lineRule="auto"/>
                    <w:ind w:left="0" w:leftChars="0" w:right="0" w:rightChars="0"/>
                    <w:jc w:val="center"/>
                    <w:rPr>
                      <w:rFonts w:hint="default" w:ascii="Times New Roman" w:hAnsi="宋体" w:eastAsia="宋体" w:cs="Times New Roman"/>
                      <w:bCs/>
                      <w:kern w:val="2"/>
                      <w:sz w:val="21"/>
                      <w:szCs w:val="21"/>
                      <w:lang w:val="en-US" w:eastAsia="zh-CN" w:bidi="ar-SA"/>
                    </w:rPr>
                  </w:pPr>
                  <w:r>
                    <w:rPr>
                      <w:rFonts w:hint="eastAsia" w:ascii="Times New Roman" w:hAnsi="宋体" w:cs="Times New Roman"/>
                      <w:bCs/>
                      <w:szCs w:val="21"/>
                      <w:lang w:val="en-US" w:eastAsia="zh-CN"/>
                    </w:rPr>
                    <w:t>检验</w:t>
                  </w:r>
                </w:p>
              </w:tc>
              <w:tc>
                <w:tcPr>
                  <w:tcW w:w="1588" w:type="dxa"/>
                  <w:shd w:val="clear" w:color="auto" w:fill="auto"/>
                  <w:noWrap w:val="0"/>
                  <w:vAlign w:val="center"/>
                </w:tcPr>
                <w:p w14:paraId="549B3F93">
                  <w:pPr>
                    <w:keepNext w:val="0"/>
                    <w:keepLines w:val="0"/>
                    <w:suppressLineNumbers w:val="0"/>
                    <w:spacing w:before="0" w:beforeAutospacing="0" w:after="0" w:afterAutospacing="0" w:line="240" w:lineRule="auto"/>
                    <w:ind w:left="0" w:leftChars="0" w:right="0" w:rightChars="0"/>
                    <w:jc w:val="center"/>
                    <w:rPr>
                      <w:rFonts w:hint="eastAsia" w:ascii="Times New Roman" w:hAnsi="宋体" w:eastAsia="宋体" w:cs="Times New Roman"/>
                      <w:bCs/>
                      <w:kern w:val="2"/>
                      <w:sz w:val="21"/>
                      <w:szCs w:val="21"/>
                      <w:lang w:val="en-US" w:eastAsia="zh-CN" w:bidi="ar-SA"/>
                    </w:rPr>
                  </w:pPr>
                  <w:r>
                    <w:rPr>
                      <w:rFonts w:hint="eastAsia" w:ascii="Times New Roman" w:hAnsi="宋体" w:cs="Times New Roman"/>
                      <w:bCs/>
                      <w:szCs w:val="21"/>
                      <w:lang w:val="en-US" w:eastAsia="zh-CN"/>
                    </w:rPr>
                    <w:t>不合格品</w:t>
                  </w:r>
                </w:p>
              </w:tc>
              <w:tc>
                <w:tcPr>
                  <w:tcW w:w="3097" w:type="dxa"/>
                  <w:vMerge w:val="continue"/>
                  <w:noWrap w:val="0"/>
                  <w:vAlign w:val="center"/>
                </w:tcPr>
                <w:p w14:paraId="718D6C16">
                  <w:pPr>
                    <w:keepNext w:val="0"/>
                    <w:keepLines w:val="0"/>
                    <w:widowControl w:val="0"/>
                    <w:suppressLineNumbers w:val="0"/>
                    <w:spacing w:before="0" w:beforeAutospacing="0" w:after="0" w:afterAutospacing="0" w:line="240" w:lineRule="auto"/>
                    <w:ind w:left="0" w:right="0"/>
                    <w:jc w:val="center"/>
                    <w:rPr>
                      <w:rFonts w:hint="default" w:ascii="Times New Roman" w:hAnsi="宋体" w:cs="Times New Roman"/>
                      <w:bCs/>
                      <w:szCs w:val="21"/>
                      <w:lang w:val="en-US" w:eastAsia="zh-CN"/>
                    </w:rPr>
                  </w:pPr>
                </w:p>
              </w:tc>
            </w:tr>
            <w:tr w14:paraId="27EB79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5" w:hRule="atLeast"/>
              </w:trPr>
              <w:tc>
                <w:tcPr>
                  <w:tcW w:w="1116" w:type="dxa"/>
                  <w:vMerge w:val="continue"/>
                  <w:tcBorders>
                    <w:left w:val="single" w:color="auto" w:sz="4" w:space="0"/>
                  </w:tcBorders>
                  <w:noWrap w:val="0"/>
                  <w:vAlign w:val="center"/>
                </w:tcPr>
                <w:p w14:paraId="1851C4B7">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cs="Times New Roman"/>
                    </w:rPr>
                  </w:pPr>
                </w:p>
              </w:tc>
              <w:tc>
                <w:tcPr>
                  <w:tcW w:w="991" w:type="dxa"/>
                  <w:gridSpan w:val="2"/>
                  <w:shd w:val="clear" w:color="auto" w:fill="auto"/>
                  <w:noWrap w:val="0"/>
                  <w:vAlign w:val="center"/>
                </w:tcPr>
                <w:p w14:paraId="1B9211D2">
                  <w:pPr>
                    <w:keepNext w:val="0"/>
                    <w:keepLines w:val="0"/>
                    <w:widowControl w:val="0"/>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snapToGrid w:val="0"/>
                      <w:color w:val="000000"/>
                      <w:kern w:val="2"/>
                      <w:sz w:val="21"/>
                      <w:szCs w:val="21"/>
                      <w:lang w:val="en-US" w:eastAsia="zh-CN" w:bidi="ar-SA"/>
                    </w:rPr>
                  </w:pPr>
                  <w:r>
                    <w:rPr>
                      <w:rFonts w:hint="eastAsia" w:ascii="Times New Roman" w:hAnsi="Times New Roman" w:cs="Times New Roman"/>
                      <w:snapToGrid w:val="0"/>
                      <w:color w:val="000000"/>
                      <w:sz w:val="21"/>
                      <w:szCs w:val="21"/>
                      <w:lang w:val="en-US" w:eastAsia="zh-CN"/>
                    </w:rPr>
                    <w:t>S</w:t>
                  </w:r>
                  <w:r>
                    <w:rPr>
                      <w:rFonts w:hint="eastAsia" w:cs="Times New Roman"/>
                      <w:snapToGrid w:val="0"/>
                      <w:color w:val="000000"/>
                      <w:sz w:val="21"/>
                      <w:szCs w:val="21"/>
                      <w:lang w:val="en-US" w:eastAsia="zh-CN"/>
                    </w:rPr>
                    <w:t>7</w:t>
                  </w:r>
                </w:p>
              </w:tc>
              <w:tc>
                <w:tcPr>
                  <w:tcW w:w="1383" w:type="dxa"/>
                  <w:shd w:val="clear" w:color="auto" w:fill="auto"/>
                  <w:noWrap w:val="0"/>
                  <w:vAlign w:val="center"/>
                </w:tcPr>
                <w:p w14:paraId="29364D69">
                  <w:pPr>
                    <w:keepNext w:val="0"/>
                    <w:keepLines w:val="0"/>
                    <w:suppressLineNumbers w:val="0"/>
                    <w:spacing w:before="0" w:beforeAutospacing="0" w:after="0" w:afterAutospacing="0" w:line="240" w:lineRule="auto"/>
                    <w:ind w:left="0" w:leftChars="0" w:right="0" w:rightChars="0"/>
                    <w:jc w:val="center"/>
                    <w:rPr>
                      <w:rFonts w:hint="eastAsia" w:ascii="Times New Roman" w:hAnsi="宋体" w:eastAsia="宋体" w:cs="Times New Roman"/>
                      <w:bCs/>
                      <w:kern w:val="2"/>
                      <w:sz w:val="21"/>
                      <w:szCs w:val="21"/>
                      <w:lang w:val="en-US" w:eastAsia="zh-CN" w:bidi="ar-SA"/>
                    </w:rPr>
                  </w:pPr>
                  <w:r>
                    <w:rPr>
                      <w:rFonts w:hint="eastAsia" w:ascii="Times New Roman" w:hAnsi="宋体" w:cs="Times New Roman"/>
                      <w:bCs/>
                      <w:szCs w:val="21"/>
                      <w:lang w:val="en-US" w:eastAsia="zh-CN"/>
                    </w:rPr>
                    <w:t>环保设备</w:t>
                  </w:r>
                </w:p>
              </w:tc>
              <w:tc>
                <w:tcPr>
                  <w:tcW w:w="1588" w:type="dxa"/>
                  <w:shd w:val="clear" w:color="auto" w:fill="auto"/>
                  <w:noWrap w:val="0"/>
                  <w:vAlign w:val="center"/>
                </w:tcPr>
                <w:p w14:paraId="24EEE82B">
                  <w:pPr>
                    <w:keepNext w:val="0"/>
                    <w:keepLines w:val="0"/>
                    <w:suppressLineNumbers w:val="0"/>
                    <w:spacing w:before="0" w:beforeAutospacing="0" w:after="0" w:afterAutospacing="0" w:line="240" w:lineRule="auto"/>
                    <w:ind w:left="0" w:leftChars="0" w:right="0" w:rightChars="0"/>
                    <w:jc w:val="center"/>
                    <w:rPr>
                      <w:rFonts w:hint="eastAsia" w:ascii="Times New Roman" w:hAnsi="宋体" w:eastAsia="宋体" w:cs="Times New Roman"/>
                      <w:bCs/>
                      <w:kern w:val="2"/>
                      <w:sz w:val="21"/>
                      <w:szCs w:val="21"/>
                      <w:lang w:val="en-US" w:eastAsia="zh-CN" w:bidi="ar-SA"/>
                    </w:rPr>
                  </w:pPr>
                  <w:r>
                    <w:rPr>
                      <w:rFonts w:hint="eastAsia" w:ascii="Times New Roman" w:hAnsi="宋体" w:cs="Times New Roman"/>
                      <w:bCs/>
                      <w:szCs w:val="21"/>
                      <w:lang w:val="en-US" w:eastAsia="zh-CN"/>
                    </w:rPr>
                    <w:t>废活性炭</w:t>
                  </w:r>
                </w:p>
              </w:tc>
              <w:tc>
                <w:tcPr>
                  <w:tcW w:w="3097" w:type="dxa"/>
                  <w:vMerge w:val="restart"/>
                  <w:shd w:val="clear" w:color="auto" w:fill="auto"/>
                  <w:noWrap w:val="0"/>
                  <w:vAlign w:val="center"/>
                </w:tcPr>
                <w:p w14:paraId="37AF05B2">
                  <w:pPr>
                    <w:keepNext w:val="0"/>
                    <w:keepLines w:val="0"/>
                    <w:widowControl w:val="0"/>
                    <w:suppressLineNumbers w:val="0"/>
                    <w:spacing w:before="0" w:beforeAutospacing="0" w:after="0" w:afterAutospacing="0" w:line="240" w:lineRule="auto"/>
                    <w:ind w:left="0" w:leftChars="0" w:right="0" w:rightChars="0"/>
                    <w:jc w:val="center"/>
                    <w:rPr>
                      <w:rFonts w:hint="default" w:ascii="Times New Roman" w:hAnsi="宋体" w:eastAsia="宋体" w:cs="Times New Roman"/>
                      <w:bCs/>
                      <w:kern w:val="2"/>
                      <w:sz w:val="21"/>
                      <w:szCs w:val="21"/>
                      <w:lang w:val="en-US" w:eastAsia="zh-CN" w:bidi="ar-SA"/>
                    </w:rPr>
                  </w:pPr>
                  <w:r>
                    <w:rPr>
                      <w:rFonts w:hint="default" w:ascii="Times New Roman" w:hAnsi="Times New Roman" w:cs="Times New Roman"/>
                      <w:snapToGrid w:val="0"/>
                      <w:color w:val="000000"/>
                      <w:sz w:val="21"/>
                      <w:szCs w:val="21"/>
                      <w:lang w:eastAsia="zh-CN"/>
                    </w:rPr>
                    <w:t>危废间暂存，定期交有资质单位处理</w:t>
                  </w:r>
                </w:p>
              </w:tc>
            </w:tr>
            <w:tr w14:paraId="5A77E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5" w:hRule="atLeast"/>
              </w:trPr>
              <w:tc>
                <w:tcPr>
                  <w:tcW w:w="1116" w:type="dxa"/>
                  <w:vMerge w:val="continue"/>
                  <w:tcBorders>
                    <w:left w:val="single" w:color="auto" w:sz="4" w:space="0"/>
                  </w:tcBorders>
                  <w:noWrap w:val="0"/>
                  <w:vAlign w:val="center"/>
                </w:tcPr>
                <w:p w14:paraId="7DAF9C46">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cs="Times New Roman"/>
                    </w:rPr>
                  </w:pPr>
                </w:p>
              </w:tc>
              <w:tc>
                <w:tcPr>
                  <w:tcW w:w="991" w:type="dxa"/>
                  <w:gridSpan w:val="2"/>
                  <w:shd w:val="clear" w:color="auto" w:fill="auto"/>
                  <w:noWrap w:val="0"/>
                  <w:vAlign w:val="center"/>
                </w:tcPr>
                <w:p w14:paraId="3872C508">
                  <w:pPr>
                    <w:keepNext w:val="0"/>
                    <w:keepLines w:val="0"/>
                    <w:widowControl w:val="0"/>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snapToGrid w:val="0"/>
                      <w:color w:val="000000"/>
                      <w:kern w:val="2"/>
                      <w:sz w:val="21"/>
                      <w:szCs w:val="21"/>
                      <w:lang w:val="en-US" w:eastAsia="zh-CN" w:bidi="ar-SA"/>
                    </w:rPr>
                  </w:pPr>
                  <w:r>
                    <w:rPr>
                      <w:rFonts w:hint="eastAsia" w:cs="Times New Roman"/>
                      <w:snapToGrid w:val="0"/>
                      <w:color w:val="000000"/>
                      <w:sz w:val="21"/>
                      <w:szCs w:val="21"/>
                      <w:lang w:val="en-US" w:eastAsia="zh-CN"/>
                    </w:rPr>
                    <w:t>S8</w:t>
                  </w:r>
                </w:p>
              </w:tc>
              <w:tc>
                <w:tcPr>
                  <w:tcW w:w="1383" w:type="dxa"/>
                  <w:shd w:val="clear" w:color="auto" w:fill="auto"/>
                  <w:noWrap w:val="0"/>
                  <w:vAlign w:val="center"/>
                </w:tcPr>
                <w:p w14:paraId="15E160BC">
                  <w:pPr>
                    <w:keepNext w:val="0"/>
                    <w:keepLines w:val="0"/>
                    <w:suppressLineNumbers w:val="0"/>
                    <w:spacing w:before="0" w:beforeAutospacing="0" w:after="0" w:afterAutospacing="0" w:line="240" w:lineRule="auto"/>
                    <w:ind w:left="0" w:leftChars="0" w:right="0" w:rightChars="0"/>
                    <w:jc w:val="center"/>
                    <w:rPr>
                      <w:rFonts w:hint="eastAsia" w:ascii="Times New Roman" w:hAnsi="宋体" w:eastAsia="宋体" w:cs="Times New Roman"/>
                      <w:bCs/>
                      <w:kern w:val="2"/>
                      <w:sz w:val="21"/>
                      <w:szCs w:val="21"/>
                      <w:lang w:val="en-US" w:eastAsia="zh-CN" w:bidi="ar-SA"/>
                    </w:rPr>
                  </w:pPr>
                  <w:r>
                    <w:rPr>
                      <w:rFonts w:hint="eastAsia" w:hAnsi="宋体" w:cs="Times New Roman"/>
                      <w:bCs/>
                      <w:szCs w:val="21"/>
                      <w:lang w:val="en-US" w:eastAsia="zh-CN"/>
                    </w:rPr>
                    <w:t>洁净车间空气过滤器</w:t>
                  </w:r>
                </w:p>
              </w:tc>
              <w:tc>
                <w:tcPr>
                  <w:tcW w:w="1588" w:type="dxa"/>
                  <w:shd w:val="clear" w:color="auto" w:fill="auto"/>
                  <w:noWrap w:val="0"/>
                  <w:vAlign w:val="center"/>
                </w:tcPr>
                <w:p w14:paraId="77BC4693">
                  <w:pPr>
                    <w:keepNext w:val="0"/>
                    <w:keepLines w:val="0"/>
                    <w:suppressLineNumbers w:val="0"/>
                    <w:spacing w:before="0" w:beforeAutospacing="0" w:after="0" w:afterAutospacing="0" w:line="240" w:lineRule="auto"/>
                    <w:ind w:left="0" w:leftChars="0" w:right="0" w:rightChars="0"/>
                    <w:jc w:val="center"/>
                    <w:rPr>
                      <w:rFonts w:hint="eastAsia" w:ascii="Times New Roman" w:hAnsi="宋体" w:eastAsia="宋体" w:cs="Times New Roman"/>
                      <w:bCs/>
                      <w:kern w:val="2"/>
                      <w:sz w:val="21"/>
                      <w:szCs w:val="21"/>
                      <w:lang w:val="en-US" w:eastAsia="zh-CN" w:bidi="ar-SA"/>
                    </w:rPr>
                  </w:pPr>
                  <w:r>
                    <w:rPr>
                      <w:rFonts w:hint="eastAsia" w:hAnsi="宋体" w:cs="Times New Roman"/>
                      <w:bCs/>
                      <w:szCs w:val="21"/>
                      <w:lang w:val="en-US" w:eastAsia="zh-CN"/>
                    </w:rPr>
                    <w:t>废过滤介质</w:t>
                  </w:r>
                </w:p>
              </w:tc>
              <w:tc>
                <w:tcPr>
                  <w:tcW w:w="3097" w:type="dxa"/>
                  <w:vMerge w:val="continue"/>
                  <w:shd w:val="clear" w:color="auto" w:fill="auto"/>
                  <w:noWrap w:val="0"/>
                  <w:vAlign w:val="center"/>
                </w:tcPr>
                <w:p w14:paraId="0D471A1C">
                  <w:pPr>
                    <w:keepNext w:val="0"/>
                    <w:keepLines w:val="0"/>
                    <w:widowControl w:val="0"/>
                    <w:suppressLineNumbers w:val="0"/>
                    <w:spacing w:before="0" w:beforeAutospacing="0" w:after="0" w:afterAutospacing="0" w:line="240" w:lineRule="auto"/>
                    <w:ind w:left="0" w:leftChars="0" w:right="0" w:rightChars="0"/>
                    <w:jc w:val="center"/>
                    <w:rPr>
                      <w:rFonts w:hint="eastAsia" w:ascii="Times New Roman" w:hAnsi="Times New Roman" w:eastAsia="宋体" w:cs="Times New Roman"/>
                      <w:snapToGrid w:val="0"/>
                      <w:color w:val="000000"/>
                      <w:kern w:val="2"/>
                      <w:sz w:val="21"/>
                      <w:szCs w:val="21"/>
                      <w:lang w:val="en-US" w:eastAsia="zh-CN" w:bidi="ar-SA"/>
                    </w:rPr>
                  </w:pPr>
                </w:p>
              </w:tc>
            </w:tr>
            <w:tr w14:paraId="783C15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5" w:hRule="atLeast"/>
              </w:trPr>
              <w:tc>
                <w:tcPr>
                  <w:tcW w:w="8175" w:type="dxa"/>
                  <w:gridSpan w:val="6"/>
                  <w:tcBorders>
                    <w:left w:val="single" w:color="auto" w:sz="4" w:space="0"/>
                  </w:tcBorders>
                  <w:noWrap w:val="0"/>
                  <w:vAlign w:val="center"/>
                </w:tcPr>
                <w:p w14:paraId="60F7932E">
                  <w:pPr>
                    <w:keepNext w:val="0"/>
                    <w:keepLines w:val="0"/>
                    <w:widowControl w:val="0"/>
                    <w:suppressLineNumbers w:val="0"/>
                    <w:spacing w:before="0" w:beforeAutospacing="0" w:after="0" w:afterAutospacing="0" w:line="240" w:lineRule="auto"/>
                    <w:ind w:left="0" w:leftChars="0" w:right="0" w:rightChars="0"/>
                    <w:jc w:val="both"/>
                    <w:rPr>
                      <w:rFonts w:hint="eastAsia" w:ascii="Times New Roman" w:hAnsi="Times New Roman" w:eastAsia="宋体" w:cs="Times New Roman"/>
                      <w:b/>
                      <w:bCs/>
                      <w:snapToGrid w:val="0"/>
                      <w:color w:val="000000"/>
                      <w:kern w:val="2"/>
                      <w:sz w:val="21"/>
                      <w:szCs w:val="21"/>
                      <w:lang w:val="en-US" w:eastAsia="zh-CN" w:bidi="ar-SA"/>
                    </w:rPr>
                  </w:pPr>
                  <w:r>
                    <w:rPr>
                      <w:rFonts w:hint="eastAsia" w:ascii="Times New Roman" w:hAnsi="Times New Roman" w:eastAsia="宋体" w:cs="Times New Roman"/>
                      <w:b/>
                      <w:bCs/>
                      <w:snapToGrid w:val="0"/>
                      <w:color w:val="000000"/>
                      <w:kern w:val="2"/>
                      <w:sz w:val="21"/>
                      <w:szCs w:val="21"/>
                      <w:lang w:val="en-US" w:eastAsia="zh-CN" w:bidi="ar-SA"/>
                    </w:rPr>
                    <w:t>注：依据《固体废物鉴别标准通则》(GB34330-2017)“6.1以下物质不作为固体废物管理：a任何不需要修复和加工即可用于其原始用途的物质，或者在产生点经过修复和加工后满足国家、地方制定或行业通行的产品质量标准并且用于其原始用途的物质”的规定。本项目废</w:t>
                  </w:r>
                  <w:r>
                    <w:rPr>
                      <w:rFonts w:hint="eastAsia" w:cs="Times New Roman"/>
                      <w:b/>
                      <w:bCs/>
                      <w:snapToGrid w:val="0"/>
                      <w:color w:val="000000"/>
                      <w:kern w:val="2"/>
                      <w:sz w:val="21"/>
                      <w:szCs w:val="21"/>
                      <w:lang w:val="en-US" w:eastAsia="zh-CN" w:bidi="ar-SA"/>
                    </w:rPr>
                    <w:t>无水乙醇</w:t>
                  </w:r>
                  <w:r>
                    <w:rPr>
                      <w:rFonts w:hint="eastAsia" w:ascii="Times New Roman" w:hAnsi="Times New Roman" w:eastAsia="宋体" w:cs="Times New Roman"/>
                      <w:b/>
                      <w:bCs/>
                      <w:snapToGrid w:val="0"/>
                      <w:color w:val="000000"/>
                      <w:kern w:val="2"/>
                      <w:sz w:val="21"/>
                      <w:szCs w:val="21"/>
                      <w:lang w:val="en-US" w:eastAsia="zh-CN" w:bidi="ar-SA"/>
                    </w:rPr>
                    <w:t>桶作为周转桶由厂家回收周转使用，因此项目废</w:t>
                  </w:r>
                  <w:r>
                    <w:rPr>
                      <w:rFonts w:hint="eastAsia" w:cs="Times New Roman"/>
                      <w:b/>
                      <w:bCs/>
                      <w:snapToGrid w:val="0"/>
                      <w:color w:val="000000"/>
                      <w:kern w:val="2"/>
                      <w:sz w:val="21"/>
                      <w:szCs w:val="21"/>
                      <w:lang w:val="en-US" w:eastAsia="zh-CN" w:bidi="ar-SA"/>
                    </w:rPr>
                    <w:t>无水乙醇</w:t>
                  </w:r>
                  <w:r>
                    <w:rPr>
                      <w:rFonts w:hint="eastAsia" w:ascii="Times New Roman" w:hAnsi="Times New Roman" w:eastAsia="宋体" w:cs="Times New Roman"/>
                      <w:b/>
                      <w:bCs/>
                      <w:snapToGrid w:val="0"/>
                      <w:color w:val="000000"/>
                      <w:kern w:val="2"/>
                      <w:sz w:val="21"/>
                      <w:szCs w:val="21"/>
                      <w:lang w:val="en-US" w:eastAsia="zh-CN" w:bidi="ar-SA"/>
                    </w:rPr>
                    <w:t>桶不属于固体废物，不作为危废处理。</w:t>
                  </w:r>
                </w:p>
              </w:tc>
            </w:tr>
          </w:tbl>
          <w:p w14:paraId="564B2AE1">
            <w:pPr>
              <w:keepNext w:val="0"/>
              <w:keepLines w:val="0"/>
              <w:suppressLineNumbers w:val="0"/>
              <w:spacing w:before="0" w:beforeAutospacing="0" w:after="0" w:afterAutospacing="0" w:line="440" w:lineRule="atLeast"/>
              <w:ind w:left="0" w:right="0"/>
              <w:jc w:val="both"/>
              <w:rPr>
                <w:rFonts w:hint="default" w:ascii="Times New Roman" w:hAnsi="Times New Roman" w:cs="Times New Roman"/>
                <w:b/>
                <w:sz w:val="24"/>
                <w:szCs w:val="22"/>
              </w:rPr>
            </w:pPr>
          </w:p>
        </w:tc>
      </w:tr>
      <w:tr w14:paraId="06D1C26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473" w:hRule="atLeast"/>
          <w:jc w:val="center"/>
        </w:trPr>
        <w:tc>
          <w:tcPr>
            <w:tcW w:w="496" w:type="dxa"/>
            <w:noWrap w:val="0"/>
            <w:vAlign w:val="center"/>
          </w:tcPr>
          <w:p w14:paraId="1551A539">
            <w:pPr>
              <w:pStyle w:val="34"/>
              <w:keepNext w:val="0"/>
              <w:keepLines w:val="0"/>
              <w:suppressLineNumbers w:val="0"/>
              <w:adjustRightInd w:val="0"/>
              <w:snapToGrid w:val="0"/>
              <w:spacing w:before="0" w:beforeAutospacing="0" w:after="0" w:afterAutospacing="0" w:line="240" w:lineRule="atLeast"/>
              <w:ind w:left="0" w:right="0"/>
              <w:jc w:val="center"/>
              <w:rPr>
                <w:rFonts w:hint="default" w:ascii="Times New Roman" w:hAnsi="Times New Roman" w:cs="Times New Roman"/>
                <w:b/>
                <w:szCs w:val="24"/>
                <w:lang w:val="en-US" w:eastAsia="zh-CN"/>
              </w:rPr>
            </w:pPr>
            <w:r>
              <w:rPr>
                <w:rFonts w:hint="default" w:ascii="Times New Roman" w:hAnsi="Times New Roman" w:cs="Times New Roman"/>
                <w:b/>
                <w:bCs/>
                <w:kern w:val="2"/>
                <w:szCs w:val="24"/>
                <w:lang w:val="en-US" w:eastAsia="zh-CN"/>
              </w:rPr>
              <w:t>与项目有关的原有环境污染问题</w:t>
            </w:r>
          </w:p>
        </w:tc>
        <w:tc>
          <w:tcPr>
            <w:tcW w:w="8488" w:type="dxa"/>
            <w:noWrap w:val="0"/>
            <w:vAlign w:val="top"/>
          </w:tcPr>
          <w:p w14:paraId="1AD672E8">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textAlignment w:val="auto"/>
              <w:rPr>
                <w:rFonts w:hint="default" w:ascii="Times New Roman" w:hAnsi="Times New Roman" w:eastAsia="宋体" w:cs="Times New Roman"/>
                <w:color w:val="auto"/>
                <w:kern w:val="21"/>
                <w:sz w:val="24"/>
                <w:szCs w:val="24"/>
                <w:lang w:val="en-US" w:eastAsia="zh-CN" w:bidi="ar-SA"/>
              </w:rPr>
            </w:pPr>
            <w:r>
              <w:rPr>
                <w:rFonts w:hint="default" w:ascii="Times New Roman" w:hAnsi="Times New Roman" w:eastAsia="宋体" w:cs="Times New Roman"/>
                <w:b/>
                <w:bCs/>
                <w:sz w:val="24"/>
                <w:szCs w:val="22"/>
                <w:lang w:val="en-US" w:eastAsia="zh-CN"/>
              </w:rPr>
              <w:t>1、</w:t>
            </w:r>
            <w:r>
              <w:rPr>
                <w:rFonts w:hint="eastAsia" w:ascii="Times New Roman" w:hAnsi="Times New Roman" w:eastAsia="宋体" w:cs="Times New Roman"/>
                <w:b/>
                <w:bCs/>
                <w:sz w:val="24"/>
                <w:szCs w:val="22"/>
                <w:lang w:val="en-US" w:eastAsia="zh-CN"/>
              </w:rPr>
              <w:t>现有工程</w:t>
            </w:r>
            <w:r>
              <w:rPr>
                <w:rFonts w:hint="default" w:ascii="Times New Roman" w:hAnsi="Times New Roman" w:eastAsia="宋体" w:cs="Times New Roman"/>
                <w:b/>
                <w:bCs/>
                <w:sz w:val="24"/>
                <w:szCs w:val="22"/>
                <w:lang w:val="en-US" w:eastAsia="zh-CN"/>
              </w:rPr>
              <w:t>环保手续执行情况</w:t>
            </w:r>
          </w:p>
          <w:p w14:paraId="346C015B">
            <w:pPr>
              <w:keepNext w:val="0"/>
              <w:keepLines w:val="0"/>
              <w:suppressLineNumbers w:val="0"/>
              <w:spacing w:before="0" w:beforeAutospacing="0" w:after="0" w:afterAutospacing="0" w:line="240" w:lineRule="auto"/>
              <w:ind w:left="0" w:right="0" w:firstLine="422" w:firstLineChars="200"/>
              <w:jc w:val="center"/>
              <w:rPr>
                <w:rFonts w:hint="default" w:ascii="Times New Roman" w:hAnsi="Times New Roman" w:cs="Times New Roman"/>
                <w:sz w:val="24"/>
              </w:rPr>
            </w:pPr>
            <w:r>
              <w:rPr>
                <w:rFonts w:hint="eastAsia" w:ascii="Times New Roman" w:hAnsi="Times New Roman" w:eastAsia="宋体" w:cs="Times New Roman"/>
                <w:b/>
                <w:bCs/>
                <w:color w:val="000000"/>
                <w:kern w:val="0"/>
                <w:sz w:val="21"/>
                <w:szCs w:val="21"/>
                <w:lang w:val="en-US" w:eastAsia="zh-CN" w:bidi="ar-SA"/>
              </w:rPr>
              <w:t>现有工程环保手续履行情况表</w:t>
            </w:r>
          </w:p>
          <w:tbl>
            <w:tblPr>
              <w:tblStyle w:val="38"/>
              <w:tblW w:w="4995" w:type="pct"/>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48"/>
              <w:gridCol w:w="875"/>
              <w:gridCol w:w="2685"/>
              <w:gridCol w:w="2546"/>
            </w:tblGrid>
            <w:tr w14:paraId="1759D8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2160" w:type="dxa"/>
                  <w:noWrap w:val="0"/>
                  <w:vAlign w:val="center"/>
                </w:tcPr>
                <w:p w14:paraId="3327908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szCs w:val="21"/>
                    </w:rPr>
                  </w:pPr>
                  <w:r>
                    <w:rPr>
                      <w:rFonts w:hint="default" w:ascii="Times New Roman" w:hAnsi="宋体" w:cs="Times New Roman"/>
                      <w:szCs w:val="21"/>
                    </w:rPr>
                    <w:t>项目</w:t>
                  </w:r>
                </w:p>
              </w:tc>
              <w:tc>
                <w:tcPr>
                  <w:tcW w:w="879" w:type="dxa"/>
                  <w:noWrap w:val="0"/>
                  <w:vAlign w:val="center"/>
                </w:tcPr>
                <w:p w14:paraId="6EC1039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szCs w:val="21"/>
                    </w:rPr>
                  </w:pPr>
                  <w:r>
                    <w:rPr>
                      <w:rFonts w:hint="default" w:ascii="Times New Roman" w:hAnsi="宋体" w:cs="Times New Roman"/>
                      <w:szCs w:val="21"/>
                    </w:rPr>
                    <w:t>类别</w:t>
                  </w:r>
                </w:p>
              </w:tc>
              <w:tc>
                <w:tcPr>
                  <w:tcW w:w="2700" w:type="dxa"/>
                  <w:noWrap w:val="0"/>
                  <w:vAlign w:val="center"/>
                </w:tcPr>
                <w:p w14:paraId="32F130A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szCs w:val="21"/>
                    </w:rPr>
                  </w:pPr>
                  <w:r>
                    <w:rPr>
                      <w:rFonts w:hint="default" w:ascii="Times New Roman" w:hAnsi="宋体" w:cs="Times New Roman"/>
                      <w:szCs w:val="21"/>
                    </w:rPr>
                    <w:t>环评或其他手续批复情况</w:t>
                  </w:r>
                </w:p>
              </w:tc>
              <w:tc>
                <w:tcPr>
                  <w:tcW w:w="2560" w:type="dxa"/>
                  <w:noWrap w:val="0"/>
                  <w:vAlign w:val="center"/>
                </w:tcPr>
                <w:p w14:paraId="427E032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szCs w:val="21"/>
                    </w:rPr>
                  </w:pPr>
                  <w:r>
                    <w:rPr>
                      <w:rFonts w:hint="default" w:ascii="Times New Roman" w:hAnsi="宋体" w:cs="Times New Roman"/>
                      <w:szCs w:val="21"/>
                    </w:rPr>
                    <w:t>验收</w:t>
                  </w:r>
                  <w:r>
                    <w:rPr>
                      <w:rFonts w:hint="default" w:ascii="Times New Roman" w:hAnsi="Times New Roman" w:cs="Times New Roman"/>
                      <w:szCs w:val="21"/>
                    </w:rPr>
                    <w:t>/</w:t>
                  </w:r>
                  <w:r>
                    <w:rPr>
                      <w:rFonts w:hint="default" w:ascii="Times New Roman" w:hAnsi="宋体" w:cs="Times New Roman"/>
                      <w:szCs w:val="21"/>
                    </w:rPr>
                    <w:t>备案情况</w:t>
                  </w:r>
                </w:p>
              </w:tc>
            </w:tr>
            <w:tr w14:paraId="438E62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160" w:type="dxa"/>
                  <w:noWrap w:val="0"/>
                  <w:vAlign w:val="center"/>
                </w:tcPr>
                <w:p w14:paraId="13DB642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default" w:ascii="Times New Roman" w:hAnsi="Times New Roman" w:cs="Times New Roman"/>
                      <w:sz w:val="21"/>
                      <w:szCs w:val="21"/>
                    </w:rPr>
                  </w:pPr>
                  <w:r>
                    <w:rPr>
                      <w:rFonts w:hint="eastAsia" w:ascii="Times New Roman" w:hAnsi="Times New Roman" w:eastAsia="宋体" w:cs="Times New Roman"/>
                      <w:color w:val="auto"/>
                      <w:kern w:val="21"/>
                      <w:sz w:val="21"/>
                      <w:szCs w:val="21"/>
                      <w:lang w:val="en-US" w:eastAsia="zh-CN" w:bidi="ar-SA"/>
                    </w:rPr>
                    <w:t>北京东华原医疗设备有限责任公司沧州分公司中药煎药、包装设备及耗材生产项目（一期工程）</w:t>
                  </w:r>
                </w:p>
              </w:tc>
              <w:tc>
                <w:tcPr>
                  <w:tcW w:w="879" w:type="dxa"/>
                  <w:noWrap w:val="0"/>
                  <w:vAlign w:val="center"/>
                </w:tcPr>
                <w:p w14:paraId="197681F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sz w:val="21"/>
                      <w:szCs w:val="21"/>
                    </w:rPr>
                  </w:pPr>
                  <w:r>
                    <w:rPr>
                      <w:rFonts w:hint="default" w:ascii="Times New Roman" w:hAnsi="宋体" w:cs="Times New Roman"/>
                      <w:sz w:val="21"/>
                      <w:szCs w:val="21"/>
                    </w:rPr>
                    <w:t>报告表</w:t>
                  </w:r>
                </w:p>
              </w:tc>
              <w:tc>
                <w:tcPr>
                  <w:tcW w:w="2700" w:type="dxa"/>
                  <w:noWrap w:val="0"/>
                  <w:vAlign w:val="center"/>
                </w:tcPr>
                <w:p w14:paraId="508F816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sz w:val="21"/>
                      <w:szCs w:val="21"/>
                    </w:rPr>
                  </w:pPr>
                  <w:r>
                    <w:rPr>
                      <w:rFonts w:hint="eastAsia" w:ascii="Times New Roman" w:hAnsi="Times New Roman" w:eastAsia="宋体" w:cs="Times New Roman"/>
                      <w:color w:val="auto"/>
                      <w:kern w:val="21"/>
                      <w:sz w:val="21"/>
                      <w:szCs w:val="21"/>
                      <w:lang w:val="en-US" w:eastAsia="zh-CN" w:bidi="ar-SA"/>
                    </w:rPr>
                    <w:t>2018年5月22日取得</w:t>
                  </w:r>
                  <w:r>
                    <w:rPr>
                      <w:rFonts w:hint="eastAsia" w:ascii="Times New Roman" w:hAnsi="Times New Roman" w:cs="Times New Roman"/>
                      <w:sz w:val="21"/>
                      <w:szCs w:val="21"/>
                      <w:lang w:eastAsia="zh-CN"/>
                    </w:rPr>
                    <w:t>沧州临港经济技术开发区行政</w:t>
                  </w:r>
                  <w:r>
                    <w:rPr>
                      <w:rFonts w:hint="eastAsia" w:ascii="Times New Roman" w:hAnsi="Times New Roman" w:eastAsia="宋体" w:cs="Times New Roman"/>
                      <w:color w:val="auto"/>
                      <w:kern w:val="21"/>
                      <w:sz w:val="21"/>
                      <w:szCs w:val="21"/>
                      <w:lang w:val="en-US" w:eastAsia="zh-CN" w:bidi="ar-SA"/>
                    </w:rPr>
                    <w:t>审批局的审批意见，批复文号为“沧港审环表〔2018〕16号”</w:t>
                  </w:r>
                </w:p>
              </w:tc>
              <w:tc>
                <w:tcPr>
                  <w:tcW w:w="2560" w:type="dxa"/>
                  <w:noWrap w:val="0"/>
                  <w:vAlign w:val="center"/>
                </w:tcPr>
                <w:p w14:paraId="09C8157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sz w:val="21"/>
                      <w:szCs w:val="21"/>
                    </w:rPr>
                  </w:pPr>
                  <w:r>
                    <w:rPr>
                      <w:rFonts w:hint="eastAsia" w:ascii="Times New Roman" w:hAnsi="Times New Roman" w:eastAsia="宋体" w:cs="Times New Roman"/>
                      <w:color w:val="auto"/>
                      <w:kern w:val="21"/>
                      <w:sz w:val="21"/>
                      <w:szCs w:val="21"/>
                      <w:lang w:val="en-US" w:eastAsia="zh-CN" w:bidi="ar-SA"/>
                    </w:rPr>
                    <w:t>/</w:t>
                  </w:r>
                </w:p>
              </w:tc>
            </w:tr>
            <w:tr w14:paraId="5904A2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6" w:hRule="atLeast"/>
              </w:trPr>
              <w:tc>
                <w:tcPr>
                  <w:tcW w:w="2160" w:type="dxa"/>
                  <w:noWrap w:val="0"/>
                  <w:vAlign w:val="center"/>
                </w:tcPr>
                <w:p w14:paraId="6BFE0F5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default" w:ascii="Times New Roman" w:hAnsi="Times New Roman" w:cs="Times New Roman"/>
                      <w:kern w:val="2"/>
                      <w:sz w:val="21"/>
                      <w:szCs w:val="21"/>
                      <w:lang w:val="en-US" w:eastAsia="zh-CN" w:bidi="ar-SA"/>
                    </w:rPr>
                  </w:pPr>
                  <w:r>
                    <w:rPr>
                      <w:rFonts w:hint="eastAsia" w:ascii="Times New Roman" w:hAnsi="Times New Roman" w:cs="Times New Roman"/>
                      <w:kern w:val="2"/>
                      <w:sz w:val="21"/>
                      <w:szCs w:val="21"/>
                      <w:lang w:val="en-US" w:eastAsia="zh-CN" w:bidi="ar-SA"/>
                    </w:rPr>
                    <w:t>北京东华原医疗设备有限责任公司沧州分公司中药煎药、包装设备及耗材生产项目（一期工程）环境影响补充报告</w:t>
                  </w:r>
                </w:p>
              </w:tc>
              <w:tc>
                <w:tcPr>
                  <w:tcW w:w="879" w:type="dxa"/>
                  <w:noWrap w:val="0"/>
                  <w:vAlign w:val="center"/>
                </w:tcPr>
                <w:p w14:paraId="6BC9EC4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宋体" w:cs="Times New Roman"/>
                      <w:color w:val="auto"/>
                      <w:sz w:val="21"/>
                      <w:szCs w:val="21"/>
                      <w:lang w:eastAsia="zh-CN"/>
                    </w:rPr>
                  </w:pPr>
                  <w:r>
                    <w:rPr>
                      <w:rFonts w:hint="eastAsia" w:ascii="Times New Roman" w:hAnsi="宋体" w:cs="Times New Roman"/>
                      <w:color w:val="auto"/>
                      <w:sz w:val="21"/>
                      <w:szCs w:val="21"/>
                      <w:lang w:eastAsia="zh-CN"/>
                    </w:rPr>
                    <w:t>补充</w:t>
                  </w:r>
                </w:p>
                <w:p w14:paraId="604BBF5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FF0000"/>
                      <w:kern w:val="2"/>
                      <w:sz w:val="21"/>
                      <w:szCs w:val="21"/>
                      <w:lang w:val="en-US" w:eastAsia="zh-CN" w:bidi="ar-SA"/>
                    </w:rPr>
                  </w:pPr>
                  <w:r>
                    <w:rPr>
                      <w:rFonts w:hint="eastAsia" w:ascii="Times New Roman" w:hAnsi="宋体" w:cs="Times New Roman"/>
                      <w:color w:val="auto"/>
                      <w:sz w:val="21"/>
                      <w:szCs w:val="21"/>
                      <w:lang w:eastAsia="zh-CN"/>
                    </w:rPr>
                    <w:t>环评</w:t>
                  </w:r>
                </w:p>
              </w:tc>
              <w:tc>
                <w:tcPr>
                  <w:tcW w:w="2700" w:type="dxa"/>
                  <w:noWrap w:val="0"/>
                  <w:vAlign w:val="center"/>
                </w:tcPr>
                <w:p w14:paraId="3E43D43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FF0000"/>
                      <w:kern w:val="2"/>
                      <w:sz w:val="21"/>
                      <w:szCs w:val="21"/>
                      <w:lang w:val="en-US" w:eastAsia="zh-CN" w:bidi="ar-SA"/>
                    </w:rPr>
                  </w:pPr>
                  <w:r>
                    <w:rPr>
                      <w:rFonts w:hint="eastAsia" w:ascii="Times New Roman" w:hAnsi="Times New Roman" w:eastAsia="宋体" w:cs="Times New Roman"/>
                      <w:color w:val="auto"/>
                      <w:kern w:val="21"/>
                      <w:sz w:val="21"/>
                      <w:szCs w:val="21"/>
                      <w:lang w:val="en-US" w:eastAsia="zh-CN" w:bidi="ar-SA"/>
                    </w:rPr>
                    <w:t>2020年9月11日取得</w:t>
                  </w:r>
                  <w:r>
                    <w:rPr>
                      <w:rFonts w:hint="eastAsia" w:ascii="Times New Roman" w:hAnsi="Times New Roman" w:cs="Times New Roman"/>
                      <w:sz w:val="21"/>
                      <w:szCs w:val="21"/>
                      <w:lang w:eastAsia="zh-CN"/>
                    </w:rPr>
                    <w:t>沧州临港经济技术开发区行政</w:t>
                  </w:r>
                  <w:r>
                    <w:rPr>
                      <w:rFonts w:hint="eastAsia" w:ascii="Times New Roman" w:hAnsi="Times New Roman" w:eastAsia="宋体" w:cs="Times New Roman"/>
                      <w:color w:val="auto"/>
                      <w:kern w:val="21"/>
                      <w:sz w:val="21"/>
                      <w:szCs w:val="21"/>
                      <w:lang w:val="en-US" w:eastAsia="zh-CN" w:bidi="ar-SA"/>
                    </w:rPr>
                    <w:t>审批局的审批意见，批复文号为“沧港环函字〔2020〕18号”</w:t>
                  </w:r>
                </w:p>
              </w:tc>
              <w:tc>
                <w:tcPr>
                  <w:tcW w:w="2560" w:type="dxa"/>
                  <w:noWrap w:val="0"/>
                  <w:vAlign w:val="center"/>
                </w:tcPr>
                <w:p w14:paraId="6D95446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FF0000"/>
                      <w:sz w:val="21"/>
                      <w:szCs w:val="21"/>
                    </w:rPr>
                  </w:pPr>
                  <w:r>
                    <w:rPr>
                      <w:rFonts w:hint="eastAsia" w:ascii="Times New Roman" w:hAnsi="Times New Roman" w:eastAsia="宋体" w:cs="Times New Roman"/>
                      <w:color w:val="auto"/>
                      <w:kern w:val="21"/>
                      <w:sz w:val="21"/>
                      <w:szCs w:val="21"/>
                      <w:lang w:val="en-US" w:eastAsia="zh-CN" w:bidi="ar-SA"/>
                    </w:rPr>
                    <w:t>2021年1月4日通过自主验收，并取得专家验收意见</w:t>
                  </w:r>
                </w:p>
              </w:tc>
            </w:tr>
            <w:tr w14:paraId="3656EF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6" w:hRule="atLeast"/>
              </w:trPr>
              <w:tc>
                <w:tcPr>
                  <w:tcW w:w="2160" w:type="dxa"/>
                  <w:noWrap w:val="0"/>
                  <w:vAlign w:val="center"/>
                </w:tcPr>
                <w:p w14:paraId="64E9951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eastAsia" w:ascii="Times New Roman" w:hAnsi="Times New Roman" w:cs="Times New Roman"/>
                      <w:kern w:val="2"/>
                      <w:sz w:val="21"/>
                      <w:szCs w:val="21"/>
                      <w:highlight w:val="none"/>
                      <w:lang w:val="en-US" w:eastAsia="zh-CN" w:bidi="ar-SA"/>
                    </w:rPr>
                  </w:pPr>
                  <w:r>
                    <w:rPr>
                      <w:rFonts w:hint="eastAsia" w:cs="Times New Roman"/>
                      <w:kern w:val="2"/>
                      <w:sz w:val="21"/>
                      <w:szCs w:val="21"/>
                      <w:highlight w:val="none"/>
                      <w:lang w:val="en-US" w:eastAsia="zh-CN" w:bidi="ar-SA"/>
                    </w:rPr>
                    <w:t>光氧催化氧化装置改造活性炭吸附装置项目</w:t>
                  </w:r>
                </w:p>
              </w:tc>
              <w:tc>
                <w:tcPr>
                  <w:tcW w:w="879" w:type="dxa"/>
                  <w:noWrap w:val="0"/>
                  <w:vAlign w:val="center"/>
                </w:tcPr>
                <w:p w14:paraId="5FF8FC5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宋体" w:cs="Times New Roman"/>
                      <w:color w:val="auto"/>
                      <w:sz w:val="21"/>
                      <w:szCs w:val="21"/>
                      <w:highlight w:val="none"/>
                      <w:lang w:eastAsia="zh-CN"/>
                    </w:rPr>
                  </w:pPr>
                  <w:r>
                    <w:rPr>
                      <w:rFonts w:hint="eastAsia" w:hAnsi="宋体" w:cs="Times New Roman"/>
                      <w:color w:val="auto"/>
                      <w:sz w:val="21"/>
                      <w:szCs w:val="21"/>
                      <w:highlight w:val="none"/>
                      <w:lang w:eastAsia="zh-CN"/>
                    </w:rPr>
                    <w:t>登记表</w:t>
                  </w:r>
                </w:p>
              </w:tc>
              <w:tc>
                <w:tcPr>
                  <w:tcW w:w="2700" w:type="dxa"/>
                  <w:noWrap w:val="0"/>
                  <w:vAlign w:val="center"/>
                </w:tcPr>
                <w:p w14:paraId="4A53547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1"/>
                      <w:sz w:val="21"/>
                      <w:szCs w:val="21"/>
                      <w:highlight w:val="none"/>
                      <w:lang w:val="en-US" w:eastAsia="zh-CN" w:bidi="ar-SA"/>
                    </w:rPr>
                  </w:pPr>
                  <w:r>
                    <w:rPr>
                      <w:rFonts w:hint="eastAsia" w:cs="Times New Roman"/>
                      <w:color w:val="auto"/>
                      <w:kern w:val="21"/>
                      <w:sz w:val="21"/>
                      <w:szCs w:val="21"/>
                      <w:highlight w:val="none"/>
                      <w:lang w:val="en-US" w:eastAsia="zh-CN" w:bidi="ar-SA"/>
                    </w:rPr>
                    <w:t>/</w:t>
                  </w:r>
                </w:p>
              </w:tc>
              <w:tc>
                <w:tcPr>
                  <w:tcW w:w="2560" w:type="dxa"/>
                  <w:noWrap w:val="0"/>
                  <w:vAlign w:val="center"/>
                </w:tcPr>
                <w:p w14:paraId="57AD6C3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1"/>
                      <w:sz w:val="21"/>
                      <w:szCs w:val="21"/>
                      <w:highlight w:val="none"/>
                      <w:lang w:val="en-US" w:eastAsia="zh-CN" w:bidi="ar-SA"/>
                    </w:rPr>
                  </w:pPr>
                  <w:r>
                    <w:rPr>
                      <w:rFonts w:hint="eastAsia" w:cs="Times New Roman"/>
                      <w:color w:val="auto"/>
                      <w:kern w:val="21"/>
                      <w:sz w:val="21"/>
                      <w:szCs w:val="21"/>
                      <w:highlight w:val="none"/>
                      <w:lang w:val="en-US" w:eastAsia="zh-CN" w:bidi="ar-SA"/>
                    </w:rPr>
                    <w:t>该项目环境影响登记表已经完成备案，备案号：202313098300000758</w:t>
                  </w:r>
                </w:p>
              </w:tc>
            </w:tr>
            <w:tr w14:paraId="3D3FA2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160" w:type="dxa"/>
                  <w:noWrap w:val="0"/>
                  <w:vAlign w:val="center"/>
                </w:tcPr>
                <w:p w14:paraId="099D82A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排污登记</w:t>
                  </w:r>
                </w:p>
              </w:tc>
              <w:tc>
                <w:tcPr>
                  <w:tcW w:w="6139" w:type="dxa"/>
                  <w:gridSpan w:val="3"/>
                  <w:noWrap w:val="0"/>
                  <w:vAlign w:val="center"/>
                </w:tcPr>
                <w:p w14:paraId="092D906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szCs w:val="21"/>
                    </w:rPr>
                  </w:pPr>
                  <w:r>
                    <w:rPr>
                      <w:rFonts w:hint="eastAsia" w:ascii="Times New Roman" w:hAnsi="Times New Roman" w:cs="Times New Roman"/>
                      <w:color w:val="auto"/>
                      <w:szCs w:val="21"/>
                      <w:lang w:val="en-US" w:eastAsia="zh-CN"/>
                    </w:rPr>
                    <w:t>2020年6月20日进行了首次排污登记，并于2025年6月3日进行了排污登记延续，登记编号：91130931MA08UL0563，有效期：2025年6月20日-2030年6月19日</w:t>
                  </w:r>
                </w:p>
              </w:tc>
            </w:tr>
          </w:tbl>
          <w:p w14:paraId="49E2B94D">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textAlignment w:val="auto"/>
              <w:rPr>
                <w:rFonts w:hint="eastAsia" w:ascii="Times New Roman" w:hAnsi="Times New Roman" w:eastAsia="宋体" w:cs="Times New Roman"/>
                <w:b/>
                <w:bCs/>
                <w:sz w:val="24"/>
                <w:szCs w:val="22"/>
                <w:lang w:val="en-US" w:eastAsia="zh-CN"/>
              </w:rPr>
            </w:pPr>
            <w:r>
              <w:rPr>
                <w:rFonts w:hint="eastAsia"/>
                <w:lang w:val="en-US" w:eastAsia="zh-CN"/>
              </w:rPr>
              <w:drawing>
                <wp:anchor distT="0" distB="0" distL="114300" distR="114300" simplePos="0" relativeHeight="251665408" behindDoc="0" locked="0" layoutInCell="1" allowOverlap="1">
                  <wp:simplePos x="0" y="0"/>
                  <wp:positionH relativeFrom="column">
                    <wp:posOffset>28575</wp:posOffset>
                  </wp:positionH>
                  <wp:positionV relativeFrom="paragraph">
                    <wp:posOffset>288290</wp:posOffset>
                  </wp:positionV>
                  <wp:extent cx="5250180" cy="1873885"/>
                  <wp:effectExtent l="0" t="0" r="7620" b="12065"/>
                  <wp:wrapNone/>
                  <wp:docPr id="16" name="图片 16" descr="6cd372a8fed6fbd7c15a64136564cc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6cd372a8fed6fbd7c15a64136564cc3"/>
                          <pic:cNvPicPr>
                            <a:picLocks noChangeAspect="1"/>
                          </pic:cNvPicPr>
                        </pic:nvPicPr>
                        <pic:blipFill>
                          <a:blip r:embed="rId14"/>
                          <a:stretch>
                            <a:fillRect/>
                          </a:stretch>
                        </pic:blipFill>
                        <pic:spPr>
                          <a:xfrm>
                            <a:off x="0" y="0"/>
                            <a:ext cx="5250180" cy="1873885"/>
                          </a:xfrm>
                          <a:prstGeom prst="rect">
                            <a:avLst/>
                          </a:prstGeom>
                        </pic:spPr>
                      </pic:pic>
                    </a:graphicData>
                  </a:graphic>
                </wp:anchor>
              </w:drawing>
            </w:r>
            <w:r>
              <w:rPr>
                <w:rFonts w:hint="eastAsia" w:ascii="Times New Roman" w:hAnsi="Times New Roman" w:eastAsia="宋体" w:cs="Times New Roman"/>
                <w:b/>
                <w:bCs/>
                <w:sz w:val="24"/>
                <w:szCs w:val="22"/>
                <w:lang w:val="en-US" w:eastAsia="zh-CN"/>
              </w:rPr>
              <w:t>2、现有工程生产工艺</w:t>
            </w:r>
          </w:p>
          <w:p w14:paraId="1BF166CA">
            <w:pPr>
              <w:pStyle w:val="13"/>
              <w:keepNext w:val="0"/>
              <w:keepLines w:val="0"/>
              <w:suppressLineNumbers w:val="0"/>
              <w:spacing w:before="0" w:beforeAutospacing="0" w:after="0" w:afterAutospacing="0"/>
              <w:ind w:left="0" w:right="0"/>
              <w:jc w:val="left"/>
              <w:rPr>
                <w:rFonts w:hint="eastAsia"/>
                <w:lang w:val="en-US" w:eastAsia="zh-CN"/>
              </w:rPr>
            </w:pPr>
          </w:p>
          <w:p w14:paraId="2F8A83D2">
            <w:pPr>
              <w:pStyle w:val="13"/>
              <w:keepNext w:val="0"/>
              <w:keepLines w:val="0"/>
              <w:suppressLineNumbers w:val="0"/>
              <w:spacing w:before="0" w:beforeAutospacing="0" w:after="0" w:afterAutospacing="0"/>
              <w:ind w:left="0" w:right="0"/>
              <w:jc w:val="left"/>
              <w:rPr>
                <w:rFonts w:hint="eastAsia"/>
                <w:lang w:val="en-US" w:eastAsia="zh-CN"/>
              </w:rPr>
            </w:pPr>
          </w:p>
          <w:p w14:paraId="34E75B86">
            <w:pPr>
              <w:pStyle w:val="13"/>
              <w:keepNext w:val="0"/>
              <w:keepLines w:val="0"/>
              <w:suppressLineNumbers w:val="0"/>
              <w:spacing w:before="0" w:beforeAutospacing="0" w:after="0" w:afterAutospacing="0"/>
              <w:ind w:left="0" w:right="0"/>
              <w:jc w:val="left"/>
              <w:rPr>
                <w:rFonts w:hint="eastAsia"/>
                <w:lang w:val="en-US" w:eastAsia="zh-CN"/>
              </w:rPr>
            </w:pPr>
          </w:p>
          <w:p w14:paraId="4B8CD180">
            <w:pPr>
              <w:pStyle w:val="13"/>
              <w:keepNext w:val="0"/>
              <w:keepLines w:val="0"/>
              <w:suppressLineNumbers w:val="0"/>
              <w:spacing w:before="0" w:beforeAutospacing="0" w:after="0" w:afterAutospacing="0"/>
              <w:ind w:left="0" w:right="0"/>
              <w:jc w:val="left"/>
              <w:rPr>
                <w:rFonts w:hint="eastAsia"/>
                <w:lang w:val="en-US" w:eastAsia="zh-CN"/>
              </w:rPr>
            </w:pPr>
          </w:p>
          <w:p w14:paraId="24B61F7D">
            <w:pPr>
              <w:pStyle w:val="13"/>
              <w:keepNext w:val="0"/>
              <w:keepLines w:val="0"/>
              <w:suppressLineNumbers w:val="0"/>
              <w:spacing w:before="0" w:beforeAutospacing="0" w:after="0" w:afterAutospacing="0"/>
              <w:ind w:left="0" w:right="0"/>
              <w:jc w:val="left"/>
              <w:rPr>
                <w:rFonts w:hint="eastAsia"/>
                <w:lang w:val="en-US" w:eastAsia="zh-CN"/>
              </w:rPr>
            </w:pPr>
          </w:p>
          <w:p w14:paraId="34FD8446">
            <w:pPr>
              <w:pStyle w:val="13"/>
              <w:keepNext w:val="0"/>
              <w:keepLines w:val="0"/>
              <w:suppressLineNumbers w:val="0"/>
              <w:spacing w:before="0" w:beforeAutospacing="0" w:after="0" w:afterAutospacing="0"/>
              <w:ind w:left="0" w:right="0"/>
              <w:jc w:val="left"/>
              <w:rPr>
                <w:rFonts w:hint="eastAsia"/>
                <w:lang w:val="en-US" w:eastAsia="zh-CN"/>
              </w:rPr>
            </w:pPr>
          </w:p>
          <w:p w14:paraId="66D02EAE">
            <w:pPr>
              <w:pStyle w:val="13"/>
              <w:keepNext w:val="0"/>
              <w:keepLines w:val="0"/>
              <w:suppressLineNumbers w:val="0"/>
              <w:spacing w:before="0" w:beforeAutospacing="0" w:after="0" w:afterAutospacing="0"/>
              <w:ind w:left="0" w:right="0"/>
              <w:jc w:val="left"/>
              <w:rPr>
                <w:rFonts w:hint="eastAsia"/>
                <w:lang w:val="en-US" w:eastAsia="zh-CN"/>
              </w:rPr>
            </w:pPr>
          </w:p>
          <w:p w14:paraId="6C2FDC7C">
            <w:pPr>
              <w:pStyle w:val="13"/>
              <w:keepNext w:val="0"/>
              <w:keepLines w:val="0"/>
              <w:suppressLineNumbers w:val="0"/>
              <w:spacing w:before="0" w:beforeAutospacing="0" w:after="0" w:afterAutospacing="0"/>
              <w:ind w:left="0" w:right="0"/>
              <w:jc w:val="left"/>
              <w:rPr>
                <w:rFonts w:hint="eastAsia"/>
                <w:lang w:val="en-US" w:eastAsia="zh-CN"/>
              </w:rPr>
            </w:pPr>
          </w:p>
          <w:p w14:paraId="5728456F">
            <w:pPr>
              <w:keepNext w:val="0"/>
              <w:keepLines w:val="0"/>
              <w:suppressLineNumbers w:val="0"/>
              <w:spacing w:before="0" w:beforeAutospacing="0" w:after="0" w:afterAutospacing="0" w:line="240" w:lineRule="auto"/>
              <w:ind w:left="0" w:right="0" w:firstLine="422" w:firstLineChars="200"/>
              <w:jc w:val="center"/>
              <w:rPr>
                <w:rFonts w:hint="eastAsia" w:ascii="Times New Roman" w:hAnsi="Times New Roman" w:eastAsia="宋体" w:cs="Times New Roman"/>
                <w:b/>
                <w:bCs/>
                <w:color w:val="000000"/>
                <w:kern w:val="0"/>
                <w:sz w:val="21"/>
                <w:szCs w:val="21"/>
                <w:lang w:val="en-US" w:eastAsia="zh-CN" w:bidi="ar-SA"/>
              </w:rPr>
            </w:pPr>
            <w:r>
              <w:rPr>
                <w:rFonts w:hint="eastAsia" w:ascii="Times New Roman" w:hAnsi="Times New Roman" w:eastAsia="宋体" w:cs="Times New Roman"/>
                <w:b/>
                <w:bCs/>
                <w:color w:val="000000"/>
                <w:kern w:val="0"/>
                <w:sz w:val="21"/>
                <w:szCs w:val="21"/>
                <w:lang w:val="en-US" w:eastAsia="zh-CN" w:bidi="ar-SA"/>
              </w:rPr>
              <w:t>现有工程塑料袋生产</w:t>
            </w:r>
            <w:r>
              <w:rPr>
                <w:rFonts w:hint="default" w:ascii="Times New Roman" w:hAnsi="Times New Roman" w:eastAsia="宋体" w:cs="Times New Roman"/>
                <w:b/>
                <w:bCs/>
                <w:color w:val="000000"/>
                <w:kern w:val="0"/>
                <w:sz w:val="21"/>
                <w:szCs w:val="21"/>
                <w:lang w:val="en-US" w:eastAsia="zh-CN" w:bidi="ar-SA"/>
              </w:rPr>
              <w:t>工艺流程图</w:t>
            </w:r>
          </w:p>
          <w:p w14:paraId="15972665">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textAlignment w:val="auto"/>
              <w:rPr>
                <w:rFonts w:hint="eastAsia" w:ascii="Times New Roman" w:hAnsi="Times New Roman" w:eastAsia="宋体" w:cs="Times New Roman"/>
                <w:b/>
                <w:bCs/>
                <w:sz w:val="24"/>
                <w:szCs w:val="22"/>
                <w:lang w:val="en-US" w:eastAsia="zh-CN"/>
              </w:rPr>
            </w:pPr>
            <w:r>
              <w:rPr>
                <w:rFonts w:hint="eastAsia" w:ascii="Times New Roman" w:hAnsi="Times New Roman" w:eastAsia="宋体" w:cs="Times New Roman"/>
                <w:b/>
                <w:bCs/>
                <w:sz w:val="24"/>
                <w:szCs w:val="22"/>
                <w:lang w:val="en-US" w:eastAsia="zh-CN"/>
              </w:rPr>
              <w:t>3、现有项目主要污染物排放及环保处理设施</w:t>
            </w:r>
          </w:p>
          <w:p w14:paraId="34BC0663">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lang w:val="en-US" w:eastAsia="zh-CN"/>
              </w:rPr>
            </w:pPr>
            <w:r>
              <w:rPr>
                <w:rFonts w:hint="eastAsia" w:ascii="Times New Roman" w:hAnsi="Times New Roman" w:cs="Times New Roman"/>
                <w:color w:val="auto"/>
                <w:sz w:val="24"/>
                <w:lang w:val="en-US" w:eastAsia="zh-CN"/>
              </w:rPr>
              <w:t>现有工程生产车间废气（吹膜机ABC废气、配制间A废气、印刷机A废气、复合机AC废气）经集气装置收集通过1套二级活性炭吸附装置处理后由1根15m高排气筒排放（DA001）；生产车间废气（配制间B废气、印刷机BC废气、复合机B废气、固化室A-K废气）经集气装置收集通过1套二级活性炭吸附装置处理后由1根15m高排气筒排放（DA002）。</w:t>
            </w:r>
          </w:p>
          <w:p w14:paraId="5B972E65">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cs="Times New Roman"/>
                <w:color w:val="auto"/>
                <w:kern w:val="0"/>
                <w:sz w:val="24"/>
              </w:rPr>
            </w:pPr>
            <w:r>
              <w:rPr>
                <w:rFonts w:hint="default" w:ascii="Times New Roman" w:hAnsi="Times New Roman" w:cs="Times New Roman"/>
                <w:color w:val="auto"/>
                <w:sz w:val="24"/>
              </w:rPr>
              <w:t>根据</w:t>
            </w:r>
            <w:r>
              <w:rPr>
                <w:rFonts w:hint="eastAsia" w:ascii="Times New Roman" w:hAnsi="Times New Roman" w:cs="Times New Roman"/>
                <w:color w:val="auto"/>
                <w:sz w:val="24"/>
                <w:lang w:eastAsia="zh-CN"/>
              </w:rPr>
              <w:t>天津</w:t>
            </w:r>
            <w:r>
              <w:rPr>
                <w:rFonts w:hint="eastAsia" w:cs="Times New Roman"/>
                <w:color w:val="auto"/>
                <w:sz w:val="24"/>
                <w:lang w:eastAsia="zh-CN"/>
              </w:rPr>
              <w:t>东海检测技术</w:t>
            </w:r>
            <w:r>
              <w:rPr>
                <w:rFonts w:hint="eastAsia" w:ascii="Times New Roman" w:hAnsi="Times New Roman" w:cs="Times New Roman"/>
                <w:color w:val="auto"/>
                <w:sz w:val="24"/>
                <w:lang w:eastAsia="zh-CN"/>
              </w:rPr>
              <w:t>有限公司</w:t>
            </w:r>
            <w:r>
              <w:rPr>
                <w:rFonts w:hint="eastAsia" w:ascii="Times New Roman" w:hAnsi="Times New Roman" w:cs="Times New Roman"/>
                <w:color w:val="auto"/>
                <w:sz w:val="24"/>
                <w:lang w:val="en-US" w:eastAsia="zh-CN"/>
              </w:rPr>
              <w:t>202</w:t>
            </w:r>
            <w:r>
              <w:rPr>
                <w:rFonts w:hint="eastAsia" w:cs="Times New Roman"/>
                <w:color w:val="auto"/>
                <w:sz w:val="24"/>
                <w:lang w:val="en-US" w:eastAsia="zh-CN"/>
              </w:rPr>
              <w:t>5</w:t>
            </w:r>
            <w:r>
              <w:rPr>
                <w:rFonts w:hint="eastAsia" w:ascii="Times New Roman" w:hAnsi="Times New Roman" w:cs="Times New Roman"/>
                <w:color w:val="auto"/>
                <w:sz w:val="24"/>
                <w:lang w:val="en-US" w:eastAsia="zh-CN"/>
              </w:rPr>
              <w:t>年11月</w:t>
            </w:r>
            <w:r>
              <w:rPr>
                <w:rFonts w:hint="eastAsia" w:cs="Times New Roman"/>
                <w:color w:val="auto"/>
                <w:sz w:val="24"/>
                <w:lang w:val="en-US" w:eastAsia="zh-CN"/>
              </w:rPr>
              <w:t>12</w:t>
            </w:r>
            <w:r>
              <w:rPr>
                <w:rFonts w:hint="eastAsia" w:ascii="Times New Roman" w:hAnsi="Times New Roman" w:cs="Times New Roman"/>
                <w:color w:val="auto"/>
                <w:sz w:val="24"/>
                <w:lang w:val="en-US" w:eastAsia="zh-CN"/>
              </w:rPr>
              <w:t>日</w:t>
            </w:r>
            <w:r>
              <w:rPr>
                <w:rFonts w:hint="default" w:ascii="Times New Roman" w:hAnsi="Times New Roman" w:cs="Times New Roman"/>
                <w:color w:val="auto"/>
                <w:sz w:val="24"/>
              </w:rPr>
              <w:t>出具的检测报告（报告编号：</w:t>
            </w:r>
            <w:r>
              <w:rPr>
                <w:rFonts w:hint="eastAsia" w:ascii="Times New Roman" w:hAnsi="Times New Roman" w:cs="Times New Roman"/>
                <w:color w:val="auto"/>
                <w:sz w:val="24"/>
                <w:lang w:val="en-US" w:eastAsia="zh-CN"/>
              </w:rPr>
              <w:t>津</w:t>
            </w:r>
            <w:r>
              <w:rPr>
                <w:rFonts w:hint="eastAsia" w:cs="Times New Roman"/>
                <w:color w:val="auto"/>
                <w:sz w:val="24"/>
                <w:lang w:val="en-US" w:eastAsia="zh-CN"/>
              </w:rPr>
              <w:t>东海</w:t>
            </w:r>
            <w:r>
              <w:rPr>
                <w:rFonts w:hint="eastAsia" w:ascii="Times New Roman" w:hAnsi="Times New Roman" w:cs="Times New Roman"/>
                <w:color w:val="auto"/>
                <w:sz w:val="24"/>
                <w:lang w:val="en-US" w:eastAsia="zh-CN"/>
              </w:rPr>
              <w:t>检</w:t>
            </w:r>
            <w:r>
              <w:rPr>
                <w:rFonts w:hint="eastAsia" w:cs="Times New Roman"/>
                <w:color w:val="auto"/>
                <w:sz w:val="24"/>
                <w:lang w:val="en-US" w:eastAsia="zh-CN"/>
              </w:rPr>
              <w:t>251015S-06</w:t>
            </w:r>
            <w:r>
              <w:rPr>
                <w:rFonts w:hint="eastAsia" w:ascii="Times New Roman" w:hAnsi="Times New Roman" w:cs="Times New Roman"/>
                <w:color w:val="auto"/>
                <w:sz w:val="24"/>
                <w:lang w:val="en-US" w:eastAsia="zh-CN"/>
              </w:rPr>
              <w:t>号</w:t>
            </w:r>
            <w:r>
              <w:rPr>
                <w:rFonts w:hint="default" w:ascii="Times New Roman" w:hAnsi="Times New Roman" w:cs="Times New Roman"/>
                <w:color w:val="auto"/>
                <w:sz w:val="24"/>
              </w:rPr>
              <w:t>）</w:t>
            </w:r>
            <w:r>
              <w:rPr>
                <w:rFonts w:hint="eastAsia" w:ascii="Times New Roman" w:hAnsi="Times New Roman" w:cs="Times New Roman"/>
                <w:color w:val="auto"/>
                <w:spacing w:val="-1"/>
                <w:sz w:val="24"/>
                <w:lang w:val="en-US" w:eastAsia="zh-CN"/>
              </w:rPr>
              <w:t>，</w:t>
            </w:r>
            <w:r>
              <w:rPr>
                <w:rFonts w:hint="default" w:ascii="Times New Roman" w:hAnsi="Times New Roman" w:cs="Times New Roman"/>
                <w:color w:val="auto"/>
                <w:kern w:val="0"/>
                <w:sz w:val="24"/>
              </w:rPr>
              <w:t>现有</w:t>
            </w:r>
            <w:r>
              <w:rPr>
                <w:rFonts w:hint="eastAsia" w:ascii="Times New Roman" w:hAnsi="Times New Roman" w:cs="Times New Roman"/>
                <w:color w:val="auto"/>
                <w:kern w:val="0"/>
                <w:sz w:val="24"/>
                <w:lang w:eastAsia="zh-CN"/>
              </w:rPr>
              <w:t>工程</w:t>
            </w:r>
            <w:r>
              <w:rPr>
                <w:rFonts w:hint="default" w:ascii="Times New Roman" w:hAnsi="Times New Roman" w:cs="Times New Roman"/>
                <w:color w:val="auto"/>
                <w:kern w:val="0"/>
                <w:sz w:val="24"/>
              </w:rPr>
              <w:t>污染物排放情况如下：</w:t>
            </w:r>
          </w:p>
          <w:p w14:paraId="10525DCD">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cs="Times New Roman"/>
                <w:color w:val="auto"/>
                <w:sz w:val="24"/>
                <w:lang w:val="en-US" w:eastAsia="zh-CN"/>
              </w:rPr>
            </w:pPr>
            <w:r>
              <w:rPr>
                <w:rFonts w:hint="eastAsia" w:ascii="Times New Roman" w:hAnsi="Times New Roman" w:cs="Times New Roman"/>
                <w:color w:val="auto"/>
                <w:sz w:val="24"/>
                <w:lang w:eastAsia="zh-CN"/>
              </w:rPr>
              <w:t>（</w:t>
            </w:r>
            <w:r>
              <w:rPr>
                <w:rFonts w:hint="eastAsia" w:ascii="Times New Roman" w:hAnsi="Times New Roman" w:cs="Times New Roman"/>
                <w:color w:val="auto"/>
                <w:sz w:val="24"/>
                <w:lang w:val="en-US" w:eastAsia="zh-CN"/>
              </w:rPr>
              <w:t>1）废气：</w:t>
            </w:r>
            <w:r>
              <w:rPr>
                <w:rFonts w:hint="default" w:ascii="Times New Roman" w:hAnsi="Times New Roman" w:cs="Times New Roman"/>
                <w:color w:val="auto"/>
                <w:sz w:val="24"/>
              </w:rPr>
              <w:t>检测期间，</w:t>
            </w:r>
            <w:r>
              <w:rPr>
                <w:rFonts w:hint="eastAsia" w:ascii="Times New Roman" w:hAnsi="Times New Roman" w:cs="Times New Roman"/>
                <w:color w:val="auto"/>
                <w:sz w:val="24"/>
                <w:lang w:val="en-US" w:eastAsia="zh-CN"/>
              </w:rPr>
              <w:t>吹膜、印刷、复合工序净化设施出口：非甲烷总烃</w:t>
            </w:r>
            <w:r>
              <w:rPr>
                <w:rFonts w:hint="eastAsia" w:cs="Times New Roman"/>
                <w:color w:val="auto"/>
                <w:sz w:val="24"/>
                <w:lang w:val="en-US" w:eastAsia="zh-CN"/>
              </w:rPr>
              <w:t>平均</w:t>
            </w:r>
            <w:r>
              <w:rPr>
                <w:rFonts w:hint="eastAsia" w:ascii="Times New Roman" w:hAnsi="Times New Roman" w:cs="Times New Roman"/>
                <w:color w:val="auto"/>
                <w:sz w:val="24"/>
                <w:lang w:val="en-US" w:eastAsia="zh-CN"/>
              </w:rPr>
              <w:t>排放浓度</w:t>
            </w:r>
            <w:r>
              <w:rPr>
                <w:rFonts w:hint="eastAsia" w:cs="Times New Roman"/>
                <w:color w:val="auto"/>
                <w:sz w:val="24"/>
                <w:lang w:val="en-US" w:eastAsia="zh-CN"/>
              </w:rPr>
              <w:t>2.45</w:t>
            </w:r>
            <w:r>
              <w:rPr>
                <w:rFonts w:hint="eastAsia" w:ascii="Times New Roman" w:hAnsi="Times New Roman" w:cs="Times New Roman"/>
                <w:color w:val="auto"/>
                <w:sz w:val="24"/>
                <w:lang w:val="en-US" w:eastAsia="zh-CN"/>
              </w:rPr>
              <w:t>mg/m</w:t>
            </w:r>
            <w:r>
              <w:rPr>
                <w:rFonts w:hint="eastAsia" w:ascii="Times New Roman" w:hAnsi="Times New Roman" w:cs="Times New Roman"/>
                <w:color w:val="auto"/>
                <w:sz w:val="24"/>
                <w:vertAlign w:val="superscript"/>
                <w:lang w:val="en-US" w:eastAsia="zh-CN"/>
              </w:rPr>
              <w:t>3</w:t>
            </w:r>
            <w:r>
              <w:rPr>
                <w:rFonts w:hint="eastAsia" w:ascii="Times New Roman" w:hAnsi="Times New Roman" w:cs="Times New Roman"/>
                <w:color w:val="auto"/>
                <w:sz w:val="24"/>
                <w:vertAlign w:val="baseline"/>
                <w:lang w:val="en-US" w:eastAsia="zh-CN"/>
              </w:rPr>
              <w:t>、排放速率</w:t>
            </w:r>
            <w:r>
              <w:rPr>
                <w:rFonts w:hint="eastAsia" w:cs="Times New Roman"/>
                <w:color w:val="auto"/>
                <w:sz w:val="24"/>
                <w:vertAlign w:val="baseline"/>
                <w:lang w:val="en-US" w:eastAsia="zh-CN"/>
              </w:rPr>
              <w:t>7.46</w:t>
            </w:r>
            <w:r>
              <w:rPr>
                <w:rFonts w:hint="default" w:ascii="Arial" w:hAnsi="Arial" w:cs="Arial"/>
                <w:color w:val="auto"/>
                <w:sz w:val="24"/>
                <w:vertAlign w:val="baseline"/>
                <w:lang w:val="en-US" w:eastAsia="zh-CN"/>
              </w:rPr>
              <w:t>×</w:t>
            </w:r>
            <w:r>
              <w:rPr>
                <w:rFonts w:hint="eastAsia" w:cs="Times New Roman"/>
                <w:color w:val="auto"/>
                <w:sz w:val="24"/>
                <w:vertAlign w:val="baseline"/>
                <w:lang w:val="en-US" w:eastAsia="zh-CN"/>
              </w:rPr>
              <w:t>10</w:t>
            </w:r>
            <w:r>
              <w:rPr>
                <w:rFonts w:hint="eastAsia" w:cs="Times New Roman"/>
                <w:color w:val="auto"/>
                <w:sz w:val="24"/>
                <w:vertAlign w:val="superscript"/>
                <w:lang w:val="en-US" w:eastAsia="zh-CN"/>
              </w:rPr>
              <w:t>-2</w:t>
            </w:r>
            <w:r>
              <w:rPr>
                <w:rFonts w:hint="eastAsia" w:ascii="Times New Roman" w:hAnsi="Times New Roman" w:cs="Times New Roman"/>
                <w:color w:val="auto"/>
                <w:sz w:val="24"/>
                <w:vertAlign w:val="baseline"/>
                <w:lang w:val="en-US" w:eastAsia="zh-CN"/>
              </w:rPr>
              <w:t>kg/h，</w:t>
            </w:r>
            <w:r>
              <w:rPr>
                <w:rFonts w:hint="eastAsia" w:ascii="Times New Roman" w:hAnsi="Times New Roman" w:cs="Times New Roman"/>
                <w:color w:val="auto"/>
                <w:sz w:val="24"/>
                <w:lang w:val="en-US" w:eastAsia="zh-CN"/>
              </w:rPr>
              <w:t>满足《</w:t>
            </w:r>
            <w:r>
              <w:rPr>
                <w:rFonts w:hint="default" w:ascii="Times New Roman" w:hAnsi="Times New Roman" w:eastAsia="宋体" w:cs="Times New Roman"/>
                <w:color w:val="auto"/>
                <w:sz w:val="24"/>
                <w:szCs w:val="24"/>
                <w:highlight w:val="none"/>
              </w:rPr>
              <w:t>工业企业挥发性有机物排放控制标准》（DB13/2322-2016）表1中</w:t>
            </w:r>
            <w:r>
              <w:rPr>
                <w:rFonts w:hint="default" w:ascii="Times New Roman" w:hAnsi="Times New Roman" w:eastAsia="宋体" w:cs="Times New Roman"/>
                <w:color w:val="auto"/>
                <w:sz w:val="24"/>
                <w:szCs w:val="24"/>
                <w:lang w:val="en-US" w:eastAsia="zh-CN"/>
              </w:rPr>
              <w:t>印刷</w:t>
            </w:r>
            <w:r>
              <w:rPr>
                <w:rFonts w:hint="default" w:ascii="Times New Roman" w:hAnsi="Times New Roman" w:eastAsia="宋体" w:cs="Times New Roman"/>
                <w:color w:val="auto"/>
                <w:sz w:val="24"/>
                <w:szCs w:val="24"/>
              </w:rPr>
              <w:t>工业排放限值</w:t>
            </w:r>
            <w:r>
              <w:rPr>
                <w:rFonts w:hint="eastAsia" w:ascii="Times New Roman" w:hAnsi="Times New Roman" w:cs="Times New Roman"/>
                <w:color w:val="auto"/>
                <w:sz w:val="24"/>
                <w:lang w:val="en-US" w:eastAsia="zh-CN"/>
              </w:rPr>
              <w:t>。非甲烷总烃平均去除效率</w:t>
            </w:r>
            <w:r>
              <w:rPr>
                <w:rFonts w:hint="eastAsia" w:cs="Times New Roman"/>
                <w:color w:val="auto"/>
                <w:sz w:val="24"/>
                <w:lang w:val="en-US" w:eastAsia="zh-CN"/>
              </w:rPr>
              <w:t>77.6</w:t>
            </w:r>
            <w:r>
              <w:rPr>
                <w:rFonts w:hint="eastAsia" w:ascii="Times New Roman" w:hAnsi="Times New Roman" w:cs="Times New Roman"/>
                <w:color w:val="auto"/>
                <w:sz w:val="24"/>
                <w:lang w:val="en-US" w:eastAsia="zh-CN"/>
              </w:rPr>
              <w:t>%，满足《</w:t>
            </w:r>
            <w:r>
              <w:rPr>
                <w:rFonts w:hint="default" w:ascii="Times New Roman" w:hAnsi="Times New Roman" w:eastAsia="宋体" w:cs="Times New Roman"/>
                <w:color w:val="auto"/>
                <w:sz w:val="24"/>
                <w:szCs w:val="24"/>
                <w:highlight w:val="none"/>
              </w:rPr>
              <w:t>工业企业挥发性有机物排放控制标准》（DB13/2322-2016）表1中</w:t>
            </w:r>
            <w:r>
              <w:rPr>
                <w:rFonts w:hint="default" w:ascii="Times New Roman" w:hAnsi="Times New Roman" w:eastAsia="宋体" w:cs="Times New Roman"/>
                <w:color w:val="auto"/>
                <w:sz w:val="24"/>
                <w:szCs w:val="24"/>
                <w:lang w:val="en-US" w:eastAsia="zh-CN"/>
              </w:rPr>
              <w:t>印刷</w:t>
            </w:r>
            <w:r>
              <w:rPr>
                <w:rFonts w:hint="default" w:ascii="Times New Roman" w:hAnsi="Times New Roman" w:eastAsia="宋体" w:cs="Times New Roman"/>
                <w:color w:val="auto"/>
                <w:sz w:val="24"/>
                <w:szCs w:val="24"/>
              </w:rPr>
              <w:t>工业</w:t>
            </w:r>
            <w:r>
              <w:rPr>
                <w:rFonts w:hint="eastAsia" w:ascii="Times New Roman" w:hAnsi="Times New Roman" w:eastAsia="宋体" w:cs="Times New Roman"/>
                <w:color w:val="auto"/>
                <w:sz w:val="24"/>
                <w:szCs w:val="24"/>
                <w:lang w:eastAsia="zh-CN"/>
              </w:rPr>
              <w:t>有机废气去除效率要求</w:t>
            </w:r>
            <w:r>
              <w:rPr>
                <w:rFonts w:hint="eastAsia" w:ascii="Times New Roman" w:hAnsi="Times New Roman" w:eastAsia="宋体" w:cs="Times New Roman"/>
                <w:sz w:val="24"/>
                <w:szCs w:val="22"/>
                <w:highlight w:val="none"/>
                <w:lang w:eastAsia="zh-CN"/>
              </w:rPr>
              <w:t>。</w:t>
            </w:r>
            <w:r>
              <w:rPr>
                <w:rFonts w:hint="eastAsia" w:ascii="Times New Roman" w:hAnsi="Times New Roman" w:cs="Times New Roman"/>
                <w:color w:val="auto"/>
                <w:sz w:val="24"/>
                <w:lang w:val="en-US" w:eastAsia="zh-CN"/>
              </w:rPr>
              <w:t>印刷、复合、固化工序净化设施出口：非甲烷总烃</w:t>
            </w:r>
            <w:r>
              <w:rPr>
                <w:rFonts w:hint="eastAsia" w:cs="Times New Roman"/>
                <w:color w:val="auto"/>
                <w:sz w:val="24"/>
                <w:lang w:val="en-US" w:eastAsia="zh-CN"/>
              </w:rPr>
              <w:t>平均</w:t>
            </w:r>
            <w:r>
              <w:rPr>
                <w:rFonts w:hint="eastAsia" w:ascii="Times New Roman" w:hAnsi="Times New Roman" w:cs="Times New Roman"/>
                <w:color w:val="auto"/>
                <w:sz w:val="24"/>
                <w:lang w:val="en-US" w:eastAsia="zh-CN"/>
              </w:rPr>
              <w:t>排放浓度</w:t>
            </w:r>
            <w:r>
              <w:rPr>
                <w:rFonts w:hint="eastAsia" w:cs="Times New Roman"/>
                <w:color w:val="auto"/>
                <w:sz w:val="24"/>
                <w:lang w:val="en-US" w:eastAsia="zh-CN"/>
              </w:rPr>
              <w:t>3.18</w:t>
            </w:r>
            <w:r>
              <w:rPr>
                <w:rFonts w:hint="eastAsia" w:ascii="Times New Roman" w:hAnsi="Times New Roman" w:cs="Times New Roman"/>
                <w:color w:val="auto"/>
                <w:sz w:val="24"/>
                <w:lang w:val="en-US" w:eastAsia="zh-CN"/>
              </w:rPr>
              <w:t>mg/m</w:t>
            </w:r>
            <w:r>
              <w:rPr>
                <w:rFonts w:hint="eastAsia" w:ascii="Times New Roman" w:hAnsi="Times New Roman" w:cs="Times New Roman"/>
                <w:color w:val="auto"/>
                <w:sz w:val="24"/>
                <w:vertAlign w:val="superscript"/>
                <w:lang w:val="en-US" w:eastAsia="zh-CN"/>
              </w:rPr>
              <w:t>3</w:t>
            </w:r>
            <w:r>
              <w:rPr>
                <w:rFonts w:hint="eastAsia" w:ascii="Times New Roman" w:hAnsi="Times New Roman" w:cs="Times New Roman"/>
                <w:color w:val="auto"/>
                <w:sz w:val="24"/>
                <w:vertAlign w:val="baseline"/>
                <w:lang w:val="en-US" w:eastAsia="zh-CN"/>
              </w:rPr>
              <w:t>、</w:t>
            </w:r>
            <w:r>
              <w:rPr>
                <w:rFonts w:hint="eastAsia" w:cs="Times New Roman"/>
                <w:color w:val="auto"/>
                <w:sz w:val="24"/>
                <w:vertAlign w:val="baseline"/>
                <w:lang w:val="en-US" w:eastAsia="zh-CN"/>
              </w:rPr>
              <w:t>平均</w:t>
            </w:r>
            <w:r>
              <w:rPr>
                <w:rFonts w:hint="eastAsia" w:ascii="Times New Roman" w:hAnsi="Times New Roman" w:cs="Times New Roman"/>
                <w:color w:val="auto"/>
                <w:sz w:val="24"/>
                <w:vertAlign w:val="baseline"/>
                <w:lang w:val="en-US" w:eastAsia="zh-CN"/>
              </w:rPr>
              <w:t>排放速率</w:t>
            </w:r>
            <w:r>
              <w:rPr>
                <w:rFonts w:hint="eastAsia" w:cs="Times New Roman"/>
                <w:color w:val="auto"/>
                <w:sz w:val="24"/>
                <w:vertAlign w:val="baseline"/>
                <w:lang w:val="en-US" w:eastAsia="zh-CN"/>
              </w:rPr>
              <w:t>8.30</w:t>
            </w:r>
            <w:r>
              <w:rPr>
                <w:rFonts w:hint="default" w:ascii="Arial" w:hAnsi="Arial" w:cs="Arial"/>
                <w:color w:val="auto"/>
                <w:sz w:val="24"/>
                <w:vertAlign w:val="baseline"/>
                <w:lang w:val="en-US" w:eastAsia="zh-CN"/>
              </w:rPr>
              <w:t>×</w:t>
            </w:r>
            <w:r>
              <w:rPr>
                <w:rFonts w:hint="eastAsia" w:cs="Times New Roman"/>
                <w:color w:val="auto"/>
                <w:sz w:val="24"/>
                <w:vertAlign w:val="baseline"/>
                <w:lang w:val="en-US" w:eastAsia="zh-CN"/>
              </w:rPr>
              <w:t>10</w:t>
            </w:r>
            <w:r>
              <w:rPr>
                <w:rFonts w:hint="eastAsia" w:cs="Times New Roman"/>
                <w:color w:val="auto"/>
                <w:sz w:val="24"/>
                <w:vertAlign w:val="superscript"/>
                <w:lang w:val="en-US" w:eastAsia="zh-CN"/>
              </w:rPr>
              <w:t>-2</w:t>
            </w:r>
            <w:r>
              <w:rPr>
                <w:rFonts w:hint="eastAsia" w:ascii="Times New Roman" w:hAnsi="Times New Roman" w:cs="Times New Roman"/>
                <w:color w:val="auto"/>
                <w:sz w:val="24"/>
                <w:vertAlign w:val="baseline"/>
                <w:lang w:val="en-US" w:eastAsia="zh-CN"/>
              </w:rPr>
              <w:t>kg/h，</w:t>
            </w:r>
            <w:r>
              <w:rPr>
                <w:rFonts w:hint="eastAsia" w:ascii="Times New Roman" w:hAnsi="Times New Roman" w:cs="Times New Roman"/>
                <w:color w:val="auto"/>
                <w:sz w:val="24"/>
                <w:lang w:val="en-US" w:eastAsia="zh-CN"/>
              </w:rPr>
              <w:t>满足《</w:t>
            </w:r>
            <w:r>
              <w:rPr>
                <w:rFonts w:hint="default" w:ascii="Times New Roman" w:hAnsi="Times New Roman" w:eastAsia="宋体" w:cs="Times New Roman"/>
                <w:color w:val="auto"/>
                <w:sz w:val="24"/>
                <w:szCs w:val="24"/>
                <w:highlight w:val="none"/>
              </w:rPr>
              <w:t>工业企业挥发性有机物排放控制标准》（DB13/2322-2016）表1中</w:t>
            </w:r>
            <w:r>
              <w:rPr>
                <w:rFonts w:hint="default" w:ascii="Times New Roman" w:hAnsi="Times New Roman" w:eastAsia="宋体" w:cs="Times New Roman"/>
                <w:color w:val="auto"/>
                <w:sz w:val="24"/>
                <w:szCs w:val="24"/>
                <w:lang w:val="en-US" w:eastAsia="zh-CN"/>
              </w:rPr>
              <w:t>印刷</w:t>
            </w:r>
            <w:r>
              <w:rPr>
                <w:rFonts w:hint="default" w:ascii="Times New Roman" w:hAnsi="Times New Roman" w:eastAsia="宋体" w:cs="Times New Roman"/>
                <w:color w:val="auto"/>
                <w:sz w:val="24"/>
                <w:szCs w:val="24"/>
              </w:rPr>
              <w:t>工业排放限值</w:t>
            </w:r>
            <w:r>
              <w:rPr>
                <w:rFonts w:hint="eastAsia" w:ascii="Times New Roman" w:hAnsi="Times New Roman" w:cs="Times New Roman"/>
                <w:color w:val="auto"/>
                <w:sz w:val="24"/>
                <w:lang w:val="en-US" w:eastAsia="zh-CN"/>
              </w:rPr>
              <w:t>。非甲烷总烃平均去除效率</w:t>
            </w:r>
            <w:r>
              <w:rPr>
                <w:rFonts w:hint="eastAsia" w:cs="Times New Roman"/>
                <w:color w:val="auto"/>
                <w:sz w:val="24"/>
                <w:lang w:val="en-US" w:eastAsia="zh-CN"/>
              </w:rPr>
              <w:t>76.9</w:t>
            </w:r>
            <w:r>
              <w:rPr>
                <w:rFonts w:hint="eastAsia" w:ascii="Times New Roman" w:hAnsi="Times New Roman" w:cs="Times New Roman"/>
                <w:color w:val="auto"/>
                <w:sz w:val="24"/>
                <w:lang w:val="en-US" w:eastAsia="zh-CN"/>
              </w:rPr>
              <w:t>%，满足《</w:t>
            </w:r>
            <w:r>
              <w:rPr>
                <w:rFonts w:hint="default" w:ascii="Times New Roman" w:hAnsi="Times New Roman" w:eastAsia="宋体" w:cs="Times New Roman"/>
                <w:color w:val="auto"/>
                <w:sz w:val="24"/>
                <w:szCs w:val="24"/>
                <w:highlight w:val="none"/>
              </w:rPr>
              <w:t>工业企业挥发性有机物排放控制标准》（DB13/2322-2016）表1中</w:t>
            </w:r>
            <w:r>
              <w:rPr>
                <w:rFonts w:hint="default" w:ascii="Times New Roman" w:hAnsi="Times New Roman" w:eastAsia="宋体" w:cs="Times New Roman"/>
                <w:color w:val="auto"/>
                <w:sz w:val="24"/>
                <w:szCs w:val="24"/>
                <w:lang w:val="en-US" w:eastAsia="zh-CN"/>
              </w:rPr>
              <w:t>印刷</w:t>
            </w:r>
            <w:r>
              <w:rPr>
                <w:rFonts w:hint="default" w:ascii="Times New Roman" w:hAnsi="Times New Roman" w:eastAsia="宋体" w:cs="Times New Roman"/>
                <w:color w:val="auto"/>
                <w:sz w:val="24"/>
                <w:szCs w:val="24"/>
              </w:rPr>
              <w:t>工业</w:t>
            </w:r>
            <w:r>
              <w:rPr>
                <w:rFonts w:hint="eastAsia" w:ascii="Times New Roman" w:hAnsi="Times New Roman" w:eastAsia="宋体" w:cs="Times New Roman"/>
                <w:color w:val="auto"/>
                <w:sz w:val="24"/>
                <w:szCs w:val="24"/>
                <w:lang w:eastAsia="zh-CN"/>
              </w:rPr>
              <w:t>有机废气去除效率要求</w:t>
            </w:r>
            <w:r>
              <w:rPr>
                <w:rFonts w:hint="eastAsia" w:ascii="Times New Roman" w:hAnsi="Times New Roman" w:eastAsia="宋体" w:cs="Times New Roman"/>
                <w:sz w:val="24"/>
                <w:szCs w:val="22"/>
                <w:highlight w:val="none"/>
                <w:lang w:eastAsia="zh-CN"/>
              </w:rPr>
              <w:t>。</w:t>
            </w:r>
          </w:p>
          <w:p w14:paraId="23B0664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无组织：非甲烷总烃厂界浓度最大值</w:t>
            </w:r>
            <w:r>
              <w:rPr>
                <w:rFonts w:hint="eastAsia" w:cs="Times New Roman"/>
                <w:color w:val="auto"/>
                <w:sz w:val="24"/>
                <w:lang w:val="en-US" w:eastAsia="zh-CN"/>
              </w:rPr>
              <w:t>1.29</w:t>
            </w:r>
            <w:r>
              <w:rPr>
                <w:rFonts w:hint="eastAsia" w:ascii="Times New Roman" w:hAnsi="Times New Roman" w:cs="Times New Roman"/>
                <w:color w:val="auto"/>
                <w:sz w:val="24"/>
                <w:lang w:val="en-US" w:eastAsia="zh-CN"/>
              </w:rPr>
              <w:t>mg/m</w:t>
            </w:r>
            <w:r>
              <w:rPr>
                <w:rFonts w:hint="eastAsia" w:ascii="Times New Roman" w:hAnsi="Times New Roman" w:cs="Times New Roman"/>
                <w:color w:val="auto"/>
                <w:sz w:val="24"/>
                <w:vertAlign w:val="superscript"/>
                <w:lang w:val="en-US" w:eastAsia="zh-CN"/>
              </w:rPr>
              <w:t>3</w:t>
            </w:r>
            <w:r>
              <w:rPr>
                <w:rFonts w:hint="eastAsia" w:ascii="Times New Roman" w:hAnsi="Times New Roman" w:cs="Times New Roman"/>
                <w:color w:val="auto"/>
                <w:sz w:val="24"/>
                <w:vertAlign w:val="baseline"/>
                <w:lang w:val="en-US" w:eastAsia="zh-CN"/>
              </w:rPr>
              <w:t>，</w:t>
            </w:r>
            <w:r>
              <w:rPr>
                <w:rFonts w:hint="eastAsia" w:ascii="Times New Roman" w:hAnsi="Times New Roman" w:eastAsia="宋体" w:cs="Times New Roman"/>
                <w:color w:val="auto"/>
                <w:sz w:val="24"/>
                <w:lang w:val="en-US" w:eastAsia="zh-CN"/>
              </w:rPr>
              <w:t>满足</w:t>
            </w:r>
            <w:r>
              <w:rPr>
                <w:rFonts w:hint="eastAsia" w:ascii="Times New Roman" w:hAnsi="Times New Roman" w:eastAsia="宋体" w:cs="Times New Roman"/>
                <w:color w:val="auto"/>
                <w:sz w:val="24"/>
                <w:lang w:eastAsia="zh-CN"/>
              </w:rPr>
              <w:t>《工业企业挥发性有机物排放控制标准》（DB13/2322-2016）</w:t>
            </w:r>
            <w:r>
              <w:rPr>
                <w:rFonts w:hint="eastAsia" w:ascii="Times New Roman" w:hAnsi="Times New Roman" w:eastAsia="宋体" w:cs="Times New Roman"/>
                <w:color w:val="auto"/>
                <w:sz w:val="24"/>
                <w:lang w:val="en-US" w:eastAsia="zh-CN"/>
              </w:rPr>
              <w:t>表2中其他企业标准限值要求</w:t>
            </w:r>
            <w:r>
              <w:rPr>
                <w:rFonts w:hint="eastAsia" w:ascii="Times New Roman" w:hAnsi="Times New Roman" w:eastAsia="宋体" w:cs="Times New Roman"/>
                <w:color w:val="auto"/>
                <w:sz w:val="24"/>
                <w:lang w:eastAsia="zh-CN"/>
              </w:rPr>
              <w:t>。厂区内非甲烷总烃浓度最大值为</w:t>
            </w:r>
            <w:r>
              <w:rPr>
                <w:rFonts w:hint="eastAsia" w:cs="Times New Roman"/>
                <w:color w:val="auto"/>
                <w:sz w:val="24"/>
                <w:lang w:val="en-US" w:eastAsia="zh-CN"/>
              </w:rPr>
              <w:t>1.55</w:t>
            </w:r>
            <w:r>
              <w:rPr>
                <w:rFonts w:hint="eastAsia" w:ascii="Times New Roman" w:hAnsi="Times New Roman" w:cs="Times New Roman"/>
                <w:color w:val="auto"/>
                <w:sz w:val="24"/>
                <w:lang w:val="en-US" w:eastAsia="zh-CN"/>
              </w:rPr>
              <w:t>mg/m</w:t>
            </w:r>
            <w:r>
              <w:rPr>
                <w:rFonts w:hint="eastAsia" w:ascii="Times New Roman" w:hAnsi="Times New Roman" w:cs="Times New Roman"/>
                <w:color w:val="auto"/>
                <w:sz w:val="24"/>
                <w:vertAlign w:val="superscript"/>
                <w:lang w:val="en-US" w:eastAsia="zh-CN"/>
              </w:rPr>
              <w:t>3</w:t>
            </w:r>
            <w:r>
              <w:rPr>
                <w:rFonts w:hint="eastAsia" w:ascii="Times New Roman" w:hAnsi="Times New Roman" w:cs="Times New Roman"/>
                <w:color w:val="auto"/>
                <w:sz w:val="24"/>
                <w:vertAlign w:val="baseline"/>
                <w:lang w:val="en-US" w:eastAsia="zh-CN"/>
              </w:rPr>
              <w:t>，满足《挥发性有机物无组织排放控制标准》（GB37822-2019）表A.1厂区内VOC</w:t>
            </w:r>
            <w:r>
              <w:rPr>
                <w:rFonts w:hint="eastAsia" w:ascii="Times New Roman" w:hAnsi="Times New Roman" w:cs="Times New Roman"/>
                <w:color w:val="auto"/>
                <w:sz w:val="24"/>
                <w:vertAlign w:val="subscript"/>
                <w:lang w:val="en-US" w:eastAsia="zh-CN"/>
              </w:rPr>
              <w:t>S</w:t>
            </w:r>
            <w:r>
              <w:rPr>
                <w:rFonts w:hint="eastAsia" w:ascii="Times New Roman" w:hAnsi="Times New Roman" w:cs="Times New Roman"/>
                <w:color w:val="auto"/>
                <w:sz w:val="24"/>
                <w:vertAlign w:val="baseline"/>
                <w:lang w:val="en-US" w:eastAsia="zh-CN"/>
              </w:rPr>
              <w:t>无组织排放限值特别排放限值。</w:t>
            </w:r>
          </w:p>
          <w:p w14:paraId="7519AB1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eastAsia" w:ascii="Times New Roman" w:hAnsi="Times New Roman" w:eastAsia="宋体" w:cs="Times New Roman"/>
                <w:color w:val="auto"/>
                <w:sz w:val="24"/>
                <w:lang w:eastAsia="zh-CN"/>
              </w:rPr>
              <w:t>经核算现有工程非甲烷总烃排放量为：</w:t>
            </w:r>
            <w:r>
              <w:rPr>
                <w:rFonts w:hint="eastAsia" w:ascii="Times New Roman" w:hAnsi="Times New Roman" w:cs="Times New Roman"/>
                <w:color w:val="auto"/>
                <w:sz w:val="24"/>
                <w:lang w:val="en-US" w:eastAsia="zh-CN"/>
              </w:rPr>
              <w:t>吹膜、印刷、复合工序净化设施废气排气筒（DA001）非甲烷总烃排放量为0.</w:t>
            </w:r>
            <w:r>
              <w:rPr>
                <w:rFonts w:hint="eastAsia" w:cs="Times New Roman"/>
                <w:color w:val="auto"/>
                <w:sz w:val="24"/>
                <w:lang w:val="en-US" w:eastAsia="zh-CN"/>
              </w:rPr>
              <w:t>537</w:t>
            </w:r>
            <w:r>
              <w:rPr>
                <w:rFonts w:hint="eastAsia" w:ascii="Times New Roman" w:hAnsi="Times New Roman" w:cs="Times New Roman"/>
                <w:color w:val="auto"/>
                <w:sz w:val="24"/>
                <w:lang w:val="en-US" w:eastAsia="zh-CN"/>
              </w:rPr>
              <w:t>t/a，印刷、复合、固化工序净化设施废气排气筒（DA002）非甲烷总烃排放量为0.</w:t>
            </w:r>
            <w:r>
              <w:rPr>
                <w:rFonts w:hint="eastAsia" w:cs="Times New Roman"/>
                <w:color w:val="auto"/>
                <w:sz w:val="24"/>
                <w:lang w:val="en-US" w:eastAsia="zh-CN"/>
              </w:rPr>
              <w:t>598</w:t>
            </w:r>
            <w:r>
              <w:rPr>
                <w:rFonts w:hint="eastAsia" w:ascii="Times New Roman" w:hAnsi="Times New Roman" w:cs="Times New Roman"/>
                <w:color w:val="auto"/>
                <w:sz w:val="24"/>
                <w:lang w:val="en-US" w:eastAsia="zh-CN"/>
              </w:rPr>
              <w:t>/a，非甲烷总烃总排放量为</w:t>
            </w:r>
            <w:r>
              <w:rPr>
                <w:rFonts w:hint="eastAsia" w:cs="Times New Roman"/>
                <w:color w:val="auto"/>
                <w:sz w:val="24"/>
                <w:lang w:val="en-US" w:eastAsia="zh-CN"/>
              </w:rPr>
              <w:t>1.135</w:t>
            </w:r>
            <w:r>
              <w:rPr>
                <w:rFonts w:hint="eastAsia" w:ascii="Times New Roman" w:hAnsi="Times New Roman" w:cs="Times New Roman"/>
                <w:color w:val="auto"/>
                <w:sz w:val="24"/>
                <w:lang w:val="en-US" w:eastAsia="zh-CN"/>
              </w:rPr>
              <w:t>t/a。</w:t>
            </w:r>
          </w:p>
          <w:p w14:paraId="3F7D949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cs="Times New Roman"/>
                <w:color w:val="auto"/>
                <w:sz w:val="24"/>
              </w:rPr>
            </w:pP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2）</w:t>
            </w:r>
            <w:r>
              <w:rPr>
                <w:rFonts w:hint="eastAsia" w:ascii="Times New Roman" w:hAnsi="Times New Roman" w:eastAsia="宋体" w:cs="Times New Roman"/>
                <w:color w:val="auto"/>
                <w:sz w:val="24"/>
                <w:lang w:eastAsia="zh-CN"/>
              </w:rPr>
              <w:t>噪声：检测期间，厂界东侧外一米昼间噪声值为</w:t>
            </w:r>
            <w:r>
              <w:rPr>
                <w:rFonts w:hint="eastAsia" w:cs="Times New Roman"/>
                <w:color w:val="auto"/>
                <w:sz w:val="24"/>
                <w:lang w:val="en-US" w:eastAsia="zh-CN"/>
              </w:rPr>
              <w:t>57</w:t>
            </w:r>
            <w:r>
              <w:rPr>
                <w:rFonts w:hint="eastAsia" w:ascii="Times New Roman" w:hAnsi="Times New Roman" w:eastAsia="宋体" w:cs="Times New Roman"/>
                <w:color w:val="auto"/>
                <w:sz w:val="24"/>
                <w:lang w:val="en-US" w:eastAsia="zh-CN"/>
              </w:rPr>
              <w:t>dB(A)，</w:t>
            </w:r>
            <w:r>
              <w:rPr>
                <w:rFonts w:hint="eastAsia" w:ascii="Times New Roman" w:hAnsi="Times New Roman" w:eastAsia="宋体" w:cs="Times New Roman"/>
                <w:color w:val="auto"/>
                <w:sz w:val="24"/>
                <w:lang w:eastAsia="zh-CN"/>
              </w:rPr>
              <w:t>厂界东侧外一米</w:t>
            </w:r>
            <w:r>
              <w:rPr>
                <w:rFonts w:hint="eastAsia" w:ascii="Times New Roman" w:hAnsi="Times New Roman" w:cs="Times New Roman"/>
                <w:color w:val="auto"/>
                <w:sz w:val="24"/>
                <w:lang w:eastAsia="zh-CN"/>
              </w:rPr>
              <w:t>夜</w:t>
            </w:r>
            <w:r>
              <w:rPr>
                <w:rFonts w:hint="eastAsia" w:ascii="Times New Roman" w:hAnsi="Times New Roman" w:eastAsia="宋体" w:cs="Times New Roman"/>
                <w:color w:val="auto"/>
                <w:sz w:val="24"/>
                <w:lang w:eastAsia="zh-CN"/>
              </w:rPr>
              <w:t>间噪声值为</w:t>
            </w:r>
            <w:r>
              <w:rPr>
                <w:rFonts w:hint="eastAsia" w:cs="Times New Roman"/>
                <w:color w:val="auto"/>
                <w:sz w:val="24"/>
                <w:lang w:val="en-US" w:eastAsia="zh-CN"/>
              </w:rPr>
              <w:t>48</w:t>
            </w:r>
            <w:r>
              <w:rPr>
                <w:rFonts w:hint="eastAsia" w:ascii="Times New Roman" w:hAnsi="Times New Roman" w:eastAsia="宋体" w:cs="Times New Roman"/>
                <w:color w:val="auto"/>
                <w:sz w:val="24"/>
                <w:lang w:val="en-US" w:eastAsia="zh-CN"/>
              </w:rPr>
              <w:t>dB(A)，</w:t>
            </w:r>
            <w:r>
              <w:rPr>
                <w:rFonts w:hint="eastAsia" w:ascii="Times New Roman" w:hAnsi="Times New Roman" w:cs="Times New Roman"/>
                <w:color w:val="auto"/>
                <w:sz w:val="24"/>
                <w:lang w:val="en-US" w:eastAsia="zh-CN"/>
              </w:rPr>
              <w:t>北厂界、西厂界、南厂界不具备检测条件，噪声值参考东厂界噪声值，则</w:t>
            </w:r>
            <w:r>
              <w:rPr>
                <w:rFonts w:hint="eastAsia" w:ascii="Times New Roman" w:hAnsi="Times New Roman" w:eastAsia="宋体" w:cs="Times New Roman"/>
                <w:color w:val="auto"/>
                <w:sz w:val="24"/>
                <w:lang w:eastAsia="zh-CN"/>
              </w:rPr>
              <w:t>厂界噪声昼间</w:t>
            </w:r>
            <w:r>
              <w:rPr>
                <w:rFonts w:hint="eastAsia" w:cs="Times New Roman"/>
                <w:color w:val="auto"/>
                <w:sz w:val="24"/>
                <w:lang w:eastAsia="zh-CN"/>
              </w:rPr>
              <w:t>、夜间</w:t>
            </w:r>
            <w:r>
              <w:rPr>
                <w:rFonts w:hint="eastAsia" w:ascii="Times New Roman" w:hAnsi="Times New Roman" w:eastAsia="宋体" w:cs="Times New Roman"/>
                <w:color w:val="auto"/>
                <w:sz w:val="24"/>
                <w:lang w:eastAsia="zh-CN"/>
              </w:rPr>
              <w:t>检测结果均满足《工业企业厂界环境噪声排放标准》（GB 12348-2008）表1中</w:t>
            </w:r>
            <w:r>
              <w:rPr>
                <w:rFonts w:hint="eastAsia" w:ascii="Times New Roman" w:hAnsi="Times New Roman" w:eastAsia="宋体" w:cs="Times New Roman"/>
                <w:color w:val="auto"/>
                <w:sz w:val="24"/>
                <w:lang w:val="en-US" w:eastAsia="zh-CN"/>
              </w:rPr>
              <w:t>3</w:t>
            </w:r>
            <w:r>
              <w:rPr>
                <w:rFonts w:hint="eastAsia" w:ascii="Times New Roman" w:hAnsi="Times New Roman" w:eastAsia="宋体" w:cs="Times New Roman"/>
                <w:color w:val="auto"/>
                <w:sz w:val="24"/>
                <w:lang w:eastAsia="zh-CN"/>
              </w:rPr>
              <w:t>类标准</w:t>
            </w:r>
            <w:r>
              <w:rPr>
                <w:rFonts w:hint="eastAsia" w:ascii="Times New Roman" w:hAnsi="Times New Roman" w:eastAsia="宋体" w:cs="Times New Roman"/>
                <w:color w:val="auto"/>
                <w:sz w:val="24"/>
                <w:lang w:val="en-US" w:eastAsia="zh-CN"/>
              </w:rPr>
              <w:t>限值要求</w:t>
            </w:r>
            <w:r>
              <w:rPr>
                <w:rFonts w:hint="eastAsia" w:ascii="Times New Roman" w:hAnsi="Times New Roman" w:eastAsia="宋体" w:cs="Times New Roman"/>
                <w:color w:val="auto"/>
                <w:sz w:val="24"/>
                <w:lang w:eastAsia="zh-CN"/>
              </w:rPr>
              <w:t>。</w:t>
            </w:r>
          </w:p>
          <w:p w14:paraId="148DC8B1">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cs="Times New Roman"/>
              </w:rPr>
            </w:pP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3）</w:t>
            </w:r>
            <w:r>
              <w:rPr>
                <w:rFonts w:hint="eastAsia" w:ascii="Times New Roman" w:hAnsi="Times New Roman" w:eastAsia="宋体" w:cs="Times New Roman"/>
                <w:color w:val="auto"/>
                <w:sz w:val="24"/>
                <w:lang w:eastAsia="zh-CN"/>
              </w:rPr>
              <w:t>废水：项目无生产废水产生及外排，生活废水经厂区化粪池处理后进入园区污水处理厂集中处理。废水各项监测指标的最高浓度分别为悬浮物</w:t>
            </w:r>
            <w:r>
              <w:rPr>
                <w:rFonts w:hint="eastAsia" w:cs="Times New Roman"/>
                <w:color w:val="auto"/>
                <w:sz w:val="24"/>
                <w:lang w:val="en-US" w:eastAsia="zh-CN"/>
              </w:rPr>
              <w:t>42</w:t>
            </w:r>
            <w:r>
              <w:rPr>
                <w:rFonts w:hint="eastAsia" w:ascii="Times New Roman" w:hAnsi="Times New Roman" w:eastAsia="宋体" w:cs="Times New Roman"/>
                <w:color w:val="auto"/>
                <w:sz w:val="24"/>
                <w:lang w:val="en-US" w:eastAsia="zh-CN"/>
              </w:rPr>
              <w:t>mg/L、化学需氧量2</w:t>
            </w:r>
            <w:r>
              <w:rPr>
                <w:rFonts w:hint="eastAsia" w:cs="Times New Roman"/>
                <w:color w:val="auto"/>
                <w:sz w:val="24"/>
                <w:lang w:val="en-US" w:eastAsia="zh-CN"/>
              </w:rPr>
              <w:t>6</w:t>
            </w:r>
            <w:r>
              <w:rPr>
                <w:rFonts w:hint="eastAsia" w:ascii="Times New Roman" w:hAnsi="Times New Roman" w:eastAsia="宋体" w:cs="Times New Roman"/>
                <w:color w:val="auto"/>
                <w:sz w:val="24"/>
                <w:lang w:val="en-US" w:eastAsia="zh-CN"/>
              </w:rPr>
              <w:t>mg/L、氨氮</w:t>
            </w:r>
            <w:r>
              <w:rPr>
                <w:rFonts w:hint="eastAsia" w:cs="Times New Roman"/>
                <w:color w:val="auto"/>
                <w:sz w:val="24"/>
                <w:lang w:val="en-US" w:eastAsia="zh-CN"/>
              </w:rPr>
              <w:t>0.067</w:t>
            </w:r>
            <w:r>
              <w:rPr>
                <w:rFonts w:hint="eastAsia" w:ascii="Times New Roman" w:hAnsi="Times New Roman" w:eastAsia="宋体" w:cs="Times New Roman"/>
                <w:color w:val="auto"/>
                <w:sz w:val="24"/>
                <w:lang w:val="en-US" w:eastAsia="zh-CN"/>
              </w:rPr>
              <w:t>mg/L，均符合《污水综合排放标准》（GB8978-1996）表4三级标准及沧州绿源水处理有限公司临港污水处理厂进水水质要求（悬浮物≤150mg/L，化学需氧量≤200mg/L，氨氮≤50mg/L）。</w:t>
            </w:r>
          </w:p>
          <w:p w14:paraId="17249EA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eastAsia="zh-CN"/>
              </w:rPr>
              <w:t>经核算现有工程悬浮物排放量为</w:t>
            </w:r>
            <w:r>
              <w:rPr>
                <w:rFonts w:hint="eastAsia" w:ascii="Times New Roman" w:hAnsi="Times New Roman" w:eastAsia="宋体" w:cs="Times New Roman"/>
                <w:color w:val="auto"/>
                <w:sz w:val="24"/>
                <w:lang w:val="en-US" w:eastAsia="zh-CN"/>
              </w:rPr>
              <w:t>0.0</w:t>
            </w:r>
            <w:r>
              <w:rPr>
                <w:rFonts w:hint="eastAsia" w:cs="Times New Roman"/>
                <w:color w:val="auto"/>
                <w:sz w:val="24"/>
                <w:lang w:val="en-US" w:eastAsia="zh-CN"/>
              </w:rPr>
              <w:t>63</w:t>
            </w:r>
            <w:r>
              <w:rPr>
                <w:rFonts w:hint="eastAsia" w:ascii="Times New Roman" w:hAnsi="Times New Roman" w:eastAsia="宋体" w:cs="Times New Roman"/>
                <w:color w:val="auto"/>
                <w:sz w:val="24"/>
                <w:lang w:val="en-US" w:eastAsia="zh-CN"/>
              </w:rPr>
              <w:t>t/a、化学需氧量排放量为0.0</w:t>
            </w:r>
            <w:r>
              <w:rPr>
                <w:rFonts w:hint="eastAsia" w:cs="Times New Roman"/>
                <w:color w:val="auto"/>
                <w:sz w:val="24"/>
                <w:lang w:val="en-US" w:eastAsia="zh-CN"/>
              </w:rPr>
              <w:t>39</w:t>
            </w:r>
            <w:r>
              <w:rPr>
                <w:rFonts w:hint="eastAsia" w:ascii="Times New Roman" w:hAnsi="Times New Roman" w:eastAsia="宋体" w:cs="Times New Roman"/>
                <w:color w:val="auto"/>
                <w:sz w:val="24"/>
                <w:lang w:val="en-US" w:eastAsia="zh-CN"/>
              </w:rPr>
              <w:t>t/a、氨氮排放量为0.00</w:t>
            </w:r>
            <w:r>
              <w:rPr>
                <w:rFonts w:hint="eastAsia" w:cs="Times New Roman"/>
                <w:color w:val="auto"/>
                <w:sz w:val="24"/>
                <w:lang w:val="en-US" w:eastAsia="zh-CN"/>
              </w:rPr>
              <w:t>01</w:t>
            </w:r>
            <w:r>
              <w:rPr>
                <w:rFonts w:hint="eastAsia" w:ascii="Times New Roman" w:hAnsi="Times New Roman" w:eastAsia="宋体" w:cs="Times New Roman"/>
                <w:color w:val="auto"/>
                <w:sz w:val="24"/>
                <w:lang w:val="en-US" w:eastAsia="zh-CN"/>
              </w:rPr>
              <w:t>t/a</w:t>
            </w:r>
            <w:r>
              <w:rPr>
                <w:rFonts w:hint="eastAsia" w:cs="Times New Roman"/>
                <w:color w:val="auto"/>
                <w:sz w:val="24"/>
                <w:lang w:val="en-US" w:eastAsia="zh-CN"/>
              </w:rPr>
              <w:t>。</w:t>
            </w:r>
          </w:p>
          <w:p w14:paraId="14906689">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cs="Times New Roman"/>
                <w:color w:val="auto"/>
                <w:sz w:val="24"/>
              </w:rPr>
            </w:pPr>
            <w:r>
              <w:rPr>
                <w:rFonts w:hint="default" w:ascii="Times New Roman" w:hAnsi="Times New Roman" w:cs="Times New Roman"/>
                <w:color w:val="auto"/>
                <w:sz w:val="24"/>
              </w:rPr>
              <w:t>（</w:t>
            </w:r>
            <w:r>
              <w:rPr>
                <w:rFonts w:hint="eastAsia" w:ascii="Times New Roman" w:hAnsi="Times New Roman" w:cs="Times New Roman"/>
                <w:color w:val="auto"/>
                <w:sz w:val="24"/>
                <w:lang w:val="en-US" w:eastAsia="zh-CN"/>
              </w:rPr>
              <w:t>4</w:t>
            </w:r>
            <w:r>
              <w:rPr>
                <w:rFonts w:hint="default" w:ascii="Times New Roman" w:hAnsi="Times New Roman" w:cs="Times New Roman"/>
                <w:color w:val="auto"/>
                <w:sz w:val="24"/>
              </w:rPr>
              <w:t>）固体废物排放情况</w:t>
            </w:r>
          </w:p>
          <w:p w14:paraId="77164B0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分切过程中产生的废边角料产生量为3.5t，经收集后外售；废</w:t>
            </w:r>
            <w:r>
              <w:rPr>
                <w:rFonts w:hint="eastAsia" w:cs="Times New Roman"/>
                <w:color w:val="auto"/>
                <w:sz w:val="24"/>
                <w:lang w:val="en-US" w:eastAsia="zh-CN"/>
              </w:rPr>
              <w:t>水性</w:t>
            </w:r>
            <w:r>
              <w:rPr>
                <w:rFonts w:hint="eastAsia" w:ascii="Times New Roman" w:hAnsi="Times New Roman" w:eastAsia="宋体" w:cs="Times New Roman"/>
                <w:color w:val="auto"/>
                <w:sz w:val="24"/>
                <w:lang w:val="en-US" w:eastAsia="zh-CN"/>
              </w:rPr>
              <w:t>油墨桶产生量为1.5t/a，废胶粘剂桶产生量为1.0t/a，废活性炭产生量为18.68t/a，暂存于危废间，定期交昆相环保技术有限公司和沧州冀环威立雅环境服务有限公司处理；</w:t>
            </w:r>
            <w:r>
              <w:rPr>
                <w:rFonts w:hint="default" w:ascii="Times New Roman" w:hAnsi="Times New Roman" w:eastAsia="宋体" w:cs="Times New Roman"/>
                <w:color w:val="auto"/>
                <w:sz w:val="24"/>
                <w:lang w:val="en-US" w:eastAsia="zh-CN"/>
              </w:rPr>
              <w:t>生活垃圾</w:t>
            </w:r>
            <w:r>
              <w:rPr>
                <w:rFonts w:hint="eastAsia" w:ascii="Times New Roman" w:hAnsi="Times New Roman" w:eastAsia="宋体" w:cs="Times New Roman"/>
                <w:color w:val="auto"/>
                <w:sz w:val="24"/>
                <w:lang w:val="en-US" w:eastAsia="zh-CN"/>
              </w:rPr>
              <w:t>产生量为8.4/a，</w:t>
            </w:r>
            <w:r>
              <w:rPr>
                <w:rFonts w:hint="default" w:ascii="Times New Roman" w:hAnsi="Times New Roman" w:eastAsia="宋体" w:cs="Times New Roman"/>
                <w:color w:val="auto"/>
                <w:sz w:val="24"/>
                <w:lang w:val="en-US" w:eastAsia="zh-CN"/>
              </w:rPr>
              <w:t>由</w:t>
            </w:r>
            <w:r>
              <w:rPr>
                <w:rFonts w:hint="eastAsia" w:ascii="Times New Roman" w:hAnsi="Times New Roman" w:eastAsia="宋体" w:cs="Times New Roman"/>
                <w:color w:val="auto"/>
                <w:sz w:val="24"/>
                <w:lang w:val="en-US" w:eastAsia="zh-CN"/>
              </w:rPr>
              <w:t>环卫部门定期清运送至垃圾处理厂处理</w:t>
            </w:r>
            <w:r>
              <w:rPr>
                <w:rFonts w:hint="default" w:ascii="Times New Roman" w:hAnsi="Times New Roman" w:eastAsia="宋体" w:cs="Times New Roman"/>
                <w:color w:val="auto"/>
                <w:sz w:val="24"/>
                <w:lang w:val="en-US" w:eastAsia="zh-CN"/>
              </w:rPr>
              <w:t>。</w:t>
            </w:r>
          </w:p>
          <w:p w14:paraId="34A8EAEE">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color w:val="auto"/>
                <w:sz w:val="24"/>
                <w:lang w:eastAsia="zh-CN"/>
              </w:rPr>
            </w:pPr>
            <w:r>
              <w:rPr>
                <w:rFonts w:hint="default" w:ascii="Times New Roman" w:hAnsi="Times New Roman" w:cs="Times New Roman"/>
                <w:color w:val="auto"/>
                <w:sz w:val="24"/>
              </w:rPr>
              <w:t>（5）</w:t>
            </w:r>
            <w:r>
              <w:rPr>
                <w:rFonts w:hint="eastAsia" w:ascii="Times New Roman" w:hAnsi="Times New Roman" w:cs="Times New Roman"/>
                <w:color w:val="auto"/>
                <w:sz w:val="24"/>
                <w:lang w:eastAsia="zh-CN"/>
              </w:rPr>
              <w:t>现有工程总量控制指标</w:t>
            </w:r>
          </w:p>
          <w:p w14:paraId="2217F1EB">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color w:val="auto"/>
                <w:sz w:val="24"/>
                <w:lang w:eastAsia="zh-CN"/>
              </w:rPr>
            </w:pPr>
            <w:r>
              <w:rPr>
                <w:rFonts w:hint="eastAsia" w:ascii="Times New Roman" w:hAnsi="Times New Roman" w:cs="Times New Roman"/>
                <w:color w:val="auto"/>
                <w:sz w:val="24"/>
                <w:lang w:val="en-US" w:eastAsia="zh-CN"/>
              </w:rPr>
              <w:t>根据现有工程环评及竣工环境保护验收意见，现有工程总量控制指标为</w:t>
            </w:r>
            <w:r>
              <w:rPr>
                <w:rFonts w:hint="default" w:ascii="Times New Roman" w:hAnsi="Times New Roman" w:cs="Times New Roman"/>
                <w:color w:val="auto"/>
                <w:sz w:val="24"/>
              </w:rPr>
              <w:t>COD：0t/a、NH</w:t>
            </w:r>
            <w:r>
              <w:rPr>
                <w:rFonts w:hint="default" w:ascii="Times New Roman" w:hAnsi="Times New Roman" w:cs="Times New Roman"/>
                <w:color w:val="auto"/>
                <w:sz w:val="24"/>
                <w:vertAlign w:val="subscript"/>
              </w:rPr>
              <w:t>3</w:t>
            </w:r>
            <w:r>
              <w:rPr>
                <w:rFonts w:hint="default" w:ascii="Times New Roman" w:hAnsi="Times New Roman" w:cs="Times New Roman"/>
                <w:color w:val="auto"/>
                <w:sz w:val="24"/>
              </w:rPr>
              <w:t>-N：0t/a</w:t>
            </w:r>
            <w:r>
              <w:rPr>
                <w:rFonts w:hint="eastAsia" w:ascii="Times New Roman" w:hAnsi="Times New Roman" w:cs="Times New Roman"/>
                <w:color w:val="auto"/>
                <w:sz w:val="24"/>
              </w:rPr>
              <w:t>、</w:t>
            </w:r>
            <w:r>
              <w:rPr>
                <w:rFonts w:hint="default" w:ascii="Times New Roman" w:hAnsi="Times New Roman" w:cs="Times New Roman"/>
                <w:color w:val="auto"/>
                <w:sz w:val="24"/>
              </w:rPr>
              <w:t>SO</w:t>
            </w:r>
            <w:r>
              <w:rPr>
                <w:rFonts w:hint="default" w:ascii="Times New Roman" w:hAnsi="Times New Roman" w:cs="Times New Roman"/>
                <w:color w:val="auto"/>
                <w:sz w:val="24"/>
                <w:vertAlign w:val="subscript"/>
              </w:rPr>
              <w:t>2</w:t>
            </w:r>
            <w:r>
              <w:rPr>
                <w:rFonts w:hint="default" w:ascii="Times New Roman" w:hAnsi="Times New Roman" w:cs="Times New Roman"/>
                <w:color w:val="auto"/>
                <w:sz w:val="24"/>
              </w:rPr>
              <w:t>：</w:t>
            </w:r>
            <w:r>
              <w:rPr>
                <w:rFonts w:hint="eastAsia" w:ascii="Times New Roman" w:hAnsi="Times New Roman" w:cs="Times New Roman"/>
                <w:color w:val="auto"/>
                <w:sz w:val="24"/>
              </w:rPr>
              <w:t>0</w:t>
            </w:r>
            <w:r>
              <w:rPr>
                <w:rFonts w:hint="default" w:ascii="Times New Roman" w:hAnsi="Times New Roman" w:cs="Times New Roman"/>
                <w:color w:val="auto"/>
                <w:sz w:val="24"/>
              </w:rPr>
              <w:t>t/a</w:t>
            </w:r>
            <w:r>
              <w:rPr>
                <w:rFonts w:hint="eastAsia" w:ascii="Times New Roman" w:hAnsi="Times New Roman" w:cs="Times New Roman"/>
                <w:color w:val="auto"/>
                <w:sz w:val="24"/>
              </w:rPr>
              <w:t>、</w:t>
            </w:r>
            <w:r>
              <w:rPr>
                <w:rFonts w:hint="default" w:ascii="Times New Roman" w:hAnsi="Times New Roman" w:cs="Times New Roman"/>
                <w:color w:val="auto"/>
                <w:sz w:val="24"/>
              </w:rPr>
              <w:t>NO</w:t>
            </w:r>
            <w:r>
              <w:rPr>
                <w:rFonts w:hint="default" w:ascii="Times New Roman" w:hAnsi="Times New Roman" w:cs="Times New Roman"/>
                <w:color w:val="auto"/>
                <w:sz w:val="24"/>
                <w:vertAlign w:val="subscript"/>
              </w:rPr>
              <w:t>X</w:t>
            </w:r>
            <w:r>
              <w:rPr>
                <w:rFonts w:hint="default" w:ascii="Times New Roman" w:hAnsi="Times New Roman" w:cs="Times New Roman"/>
                <w:color w:val="auto"/>
                <w:sz w:val="24"/>
              </w:rPr>
              <w:t>：</w:t>
            </w:r>
            <w:r>
              <w:rPr>
                <w:rFonts w:hint="eastAsia" w:ascii="Times New Roman" w:hAnsi="Times New Roman" w:cs="Times New Roman"/>
                <w:color w:val="auto"/>
                <w:sz w:val="24"/>
              </w:rPr>
              <w:t>0</w:t>
            </w:r>
            <w:r>
              <w:rPr>
                <w:rFonts w:hint="default" w:ascii="Times New Roman" w:hAnsi="Times New Roman" w:cs="Times New Roman"/>
                <w:color w:val="auto"/>
                <w:sz w:val="24"/>
              </w:rPr>
              <w:t>t/a</w:t>
            </w:r>
            <w:r>
              <w:rPr>
                <w:rFonts w:hint="eastAsia" w:ascii="Times New Roman" w:hAnsi="Times New Roman" w:cs="Times New Roman"/>
                <w:color w:val="auto"/>
                <w:sz w:val="24"/>
                <w:lang w:eastAsia="zh-CN"/>
              </w:rPr>
              <w:t>、非甲烷总烃：</w:t>
            </w:r>
            <w:r>
              <w:rPr>
                <w:rFonts w:hint="eastAsia" w:ascii="Times New Roman" w:hAnsi="Times New Roman" w:cs="Times New Roman"/>
                <w:color w:val="auto"/>
                <w:sz w:val="24"/>
                <w:lang w:val="en-US" w:eastAsia="zh-CN"/>
              </w:rPr>
              <w:t>36</w:t>
            </w:r>
            <w:r>
              <w:rPr>
                <w:rFonts w:hint="default" w:ascii="Times New Roman" w:hAnsi="Times New Roman" w:cs="Times New Roman"/>
                <w:color w:val="auto"/>
                <w:sz w:val="24"/>
              </w:rPr>
              <w:t>t/a</w:t>
            </w:r>
            <w:r>
              <w:rPr>
                <w:rFonts w:hint="eastAsia" w:ascii="Times New Roman" w:hAnsi="Times New Roman" w:cs="Times New Roman"/>
                <w:color w:val="auto"/>
                <w:sz w:val="24"/>
              </w:rPr>
              <w:t>。</w:t>
            </w:r>
            <w:r>
              <w:rPr>
                <w:rFonts w:hint="eastAsia" w:ascii="Times New Roman" w:hAnsi="Times New Roman" w:cs="Times New Roman"/>
                <w:color w:val="auto"/>
                <w:sz w:val="24"/>
                <w:lang w:eastAsia="zh-CN"/>
              </w:rPr>
              <w:t>根据核算，现有工程污染物排放量为</w:t>
            </w:r>
            <w:r>
              <w:rPr>
                <w:rFonts w:hint="default" w:ascii="Times New Roman" w:hAnsi="Times New Roman" w:cs="Times New Roman"/>
                <w:color w:val="auto"/>
                <w:sz w:val="24"/>
              </w:rPr>
              <w:t>COD：0</w:t>
            </w:r>
            <w:r>
              <w:rPr>
                <w:rFonts w:hint="eastAsia" w:cs="Times New Roman"/>
                <w:color w:val="auto"/>
                <w:sz w:val="24"/>
                <w:lang w:val="en-US" w:eastAsia="zh-CN"/>
              </w:rPr>
              <w:t>.039</w:t>
            </w:r>
            <w:r>
              <w:rPr>
                <w:rFonts w:hint="default" w:ascii="Times New Roman" w:hAnsi="Times New Roman" w:cs="Times New Roman"/>
                <w:color w:val="auto"/>
                <w:sz w:val="24"/>
              </w:rPr>
              <w:t>t/a、NH</w:t>
            </w:r>
            <w:r>
              <w:rPr>
                <w:rFonts w:hint="default" w:ascii="Times New Roman" w:hAnsi="Times New Roman" w:cs="Times New Roman"/>
                <w:color w:val="auto"/>
                <w:sz w:val="24"/>
                <w:vertAlign w:val="subscript"/>
              </w:rPr>
              <w:t>3</w:t>
            </w:r>
            <w:r>
              <w:rPr>
                <w:rFonts w:hint="default" w:ascii="Times New Roman" w:hAnsi="Times New Roman" w:cs="Times New Roman"/>
                <w:color w:val="auto"/>
                <w:sz w:val="24"/>
              </w:rPr>
              <w:t>-N：0</w:t>
            </w:r>
            <w:r>
              <w:rPr>
                <w:rFonts w:hint="eastAsia" w:cs="Times New Roman"/>
                <w:color w:val="auto"/>
                <w:sz w:val="24"/>
                <w:lang w:val="en-US" w:eastAsia="zh-CN"/>
              </w:rPr>
              <w:t>.0001</w:t>
            </w:r>
            <w:r>
              <w:rPr>
                <w:rFonts w:hint="default" w:ascii="Times New Roman" w:hAnsi="Times New Roman" w:cs="Times New Roman"/>
                <w:color w:val="auto"/>
                <w:sz w:val="24"/>
              </w:rPr>
              <w:t>t/a</w:t>
            </w:r>
            <w:r>
              <w:rPr>
                <w:rFonts w:hint="eastAsia" w:ascii="Times New Roman" w:hAnsi="Times New Roman" w:cs="Times New Roman"/>
                <w:color w:val="auto"/>
                <w:sz w:val="24"/>
              </w:rPr>
              <w:t>、</w:t>
            </w:r>
            <w:r>
              <w:rPr>
                <w:rFonts w:hint="default" w:ascii="Times New Roman" w:hAnsi="Times New Roman" w:cs="Times New Roman"/>
                <w:color w:val="auto"/>
                <w:sz w:val="24"/>
              </w:rPr>
              <w:t>SO</w:t>
            </w:r>
            <w:r>
              <w:rPr>
                <w:rFonts w:hint="default" w:ascii="Times New Roman" w:hAnsi="Times New Roman" w:cs="Times New Roman"/>
                <w:color w:val="auto"/>
                <w:sz w:val="24"/>
                <w:vertAlign w:val="subscript"/>
              </w:rPr>
              <w:t>2</w:t>
            </w:r>
            <w:r>
              <w:rPr>
                <w:rFonts w:hint="default" w:ascii="Times New Roman" w:hAnsi="Times New Roman" w:cs="Times New Roman"/>
                <w:color w:val="auto"/>
                <w:sz w:val="24"/>
              </w:rPr>
              <w:t>：</w:t>
            </w:r>
            <w:r>
              <w:rPr>
                <w:rFonts w:hint="eastAsia" w:ascii="Times New Roman" w:hAnsi="Times New Roman" w:cs="Times New Roman"/>
                <w:color w:val="auto"/>
                <w:sz w:val="24"/>
              </w:rPr>
              <w:t>0</w:t>
            </w:r>
            <w:r>
              <w:rPr>
                <w:rFonts w:hint="default" w:ascii="Times New Roman" w:hAnsi="Times New Roman" w:cs="Times New Roman"/>
                <w:color w:val="auto"/>
                <w:sz w:val="24"/>
              </w:rPr>
              <w:t>t/a</w:t>
            </w:r>
            <w:r>
              <w:rPr>
                <w:rFonts w:hint="eastAsia" w:ascii="Times New Roman" w:hAnsi="Times New Roman" w:cs="Times New Roman"/>
                <w:color w:val="auto"/>
                <w:sz w:val="24"/>
              </w:rPr>
              <w:t>、</w:t>
            </w:r>
            <w:r>
              <w:rPr>
                <w:rFonts w:hint="default" w:ascii="Times New Roman" w:hAnsi="Times New Roman" w:cs="Times New Roman"/>
                <w:color w:val="auto"/>
                <w:sz w:val="24"/>
              </w:rPr>
              <w:t>NO</w:t>
            </w:r>
            <w:r>
              <w:rPr>
                <w:rFonts w:hint="default" w:ascii="Times New Roman" w:hAnsi="Times New Roman" w:cs="Times New Roman"/>
                <w:color w:val="auto"/>
                <w:sz w:val="24"/>
                <w:vertAlign w:val="subscript"/>
              </w:rPr>
              <w:t>X</w:t>
            </w:r>
            <w:r>
              <w:rPr>
                <w:rFonts w:hint="default" w:ascii="Times New Roman" w:hAnsi="Times New Roman" w:cs="Times New Roman"/>
                <w:color w:val="auto"/>
                <w:sz w:val="24"/>
              </w:rPr>
              <w:t>：</w:t>
            </w:r>
            <w:r>
              <w:rPr>
                <w:rFonts w:hint="eastAsia" w:ascii="Times New Roman" w:hAnsi="Times New Roman" w:cs="Times New Roman"/>
                <w:color w:val="auto"/>
                <w:sz w:val="24"/>
              </w:rPr>
              <w:t>0</w:t>
            </w:r>
            <w:r>
              <w:rPr>
                <w:rFonts w:hint="default" w:ascii="Times New Roman" w:hAnsi="Times New Roman" w:cs="Times New Roman"/>
                <w:color w:val="auto"/>
                <w:sz w:val="24"/>
              </w:rPr>
              <w:t>t/a</w:t>
            </w:r>
            <w:r>
              <w:rPr>
                <w:rFonts w:hint="eastAsia" w:ascii="Times New Roman" w:hAnsi="Times New Roman" w:cs="Times New Roman"/>
                <w:color w:val="auto"/>
                <w:sz w:val="24"/>
                <w:lang w:eastAsia="zh-CN"/>
              </w:rPr>
              <w:t>、非甲烷总烃：</w:t>
            </w:r>
            <w:r>
              <w:rPr>
                <w:rFonts w:hint="eastAsia" w:cs="Times New Roman"/>
                <w:color w:val="auto"/>
                <w:sz w:val="24"/>
                <w:lang w:val="en-US" w:eastAsia="zh-CN"/>
              </w:rPr>
              <w:t>1.135</w:t>
            </w:r>
            <w:r>
              <w:rPr>
                <w:rFonts w:hint="default" w:ascii="Times New Roman" w:hAnsi="Times New Roman" w:cs="Times New Roman"/>
                <w:color w:val="auto"/>
                <w:sz w:val="24"/>
              </w:rPr>
              <w:t>t/a</w:t>
            </w:r>
            <w:r>
              <w:rPr>
                <w:rFonts w:hint="eastAsia" w:ascii="Times New Roman" w:hAnsi="Times New Roman" w:cs="Times New Roman"/>
                <w:color w:val="auto"/>
                <w:sz w:val="24"/>
                <w:lang w:eastAsia="zh-CN"/>
              </w:rPr>
              <w:t>，</w:t>
            </w:r>
            <w:r>
              <w:rPr>
                <w:rFonts w:hint="eastAsia"/>
                <w:sz w:val="24"/>
              </w:rPr>
              <w:t>根据当地管理要求，生活污水不纳入废水污染物排放总量</w:t>
            </w:r>
            <w:r>
              <w:rPr>
                <w:rFonts w:hint="eastAsia"/>
                <w:sz w:val="24"/>
                <w:lang w:eastAsia="zh-CN"/>
              </w:rPr>
              <w:t>，则</w:t>
            </w:r>
            <w:r>
              <w:rPr>
                <w:rFonts w:hint="eastAsia" w:ascii="Times New Roman" w:hAnsi="Times New Roman" w:cs="Times New Roman"/>
                <w:color w:val="auto"/>
                <w:sz w:val="24"/>
                <w:lang w:eastAsia="zh-CN"/>
              </w:rPr>
              <w:t>满足总量控制指标要求。</w:t>
            </w:r>
          </w:p>
          <w:p w14:paraId="4CB4F79C">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Autospacing="0" w:line="360" w:lineRule="auto"/>
              <w:ind w:left="0" w:right="0"/>
              <w:textAlignment w:val="auto"/>
              <w:rPr>
                <w:rFonts w:hint="eastAsia" w:ascii="Times New Roman" w:hAnsi="Times New Roman" w:eastAsia="宋体" w:cs="Times New Roman"/>
                <w:b/>
                <w:bCs/>
                <w:sz w:val="24"/>
                <w:szCs w:val="22"/>
                <w:lang w:val="en-US" w:eastAsia="zh-CN"/>
              </w:rPr>
            </w:pPr>
            <w:r>
              <w:rPr>
                <w:rFonts w:hint="eastAsia" w:ascii="Times New Roman" w:hAnsi="Times New Roman" w:eastAsia="宋体" w:cs="Times New Roman"/>
                <w:b/>
                <w:bCs/>
                <w:sz w:val="24"/>
                <w:szCs w:val="22"/>
                <w:lang w:val="en-US" w:eastAsia="zh-CN"/>
              </w:rPr>
              <w:t>4、与该项目有关的主要环境问题并提出整改措施</w:t>
            </w:r>
          </w:p>
          <w:p w14:paraId="4251E026">
            <w:pPr>
              <w:pStyle w:val="13"/>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现有工程复合工序废气污染因子识别不完全，未识别双组分无溶剂聚氨酯复膜胶产生的二苯基甲烷二异氰酸酯（MDI）、臭气浓度；吹膜工序、固化工序废气污染因子识别不完全，未识别臭气浓度，本次环评提出识别。</w:t>
            </w:r>
          </w:p>
          <w:p w14:paraId="109C3307">
            <w:pPr>
              <w:pStyle w:val="13"/>
              <w:keepNext w:val="0"/>
              <w:keepLines w:val="0"/>
              <w:suppressLineNumbers w:val="0"/>
              <w:spacing w:before="0" w:beforeAutospacing="0" w:after="0" w:afterAutospacing="0" w:line="360" w:lineRule="auto"/>
              <w:ind w:left="0" w:right="0" w:firstLine="480" w:firstLineChars="200"/>
              <w:rPr>
                <w:rFonts w:hint="default" w:cs="Times New Roman"/>
                <w:lang w:val="en-US" w:eastAsia="zh-CN"/>
              </w:rPr>
            </w:pPr>
            <w:r>
              <w:rPr>
                <w:rFonts w:hint="eastAsia" w:ascii="Times New Roman" w:hAnsi="Times New Roman" w:eastAsia="宋体" w:cs="Times New Roman"/>
                <w:color w:val="auto"/>
                <w:kern w:val="2"/>
                <w:sz w:val="24"/>
                <w:szCs w:val="24"/>
                <w:lang w:val="en-US" w:eastAsia="zh-CN" w:bidi="ar-SA"/>
              </w:rPr>
              <w:t>现有工程固体废物识别不完全，未识别印刷工序产生的废纯水桶、废抹布，缺少检验工序，且未识别检验工序产生的不合格品，本次环评补充识别。</w:t>
            </w:r>
          </w:p>
        </w:tc>
      </w:tr>
    </w:tbl>
    <w:p w14:paraId="2224C6A4">
      <w:pPr>
        <w:pStyle w:val="34"/>
        <w:jc w:val="center"/>
        <w:rPr>
          <w:rFonts w:ascii="Times New Roman" w:hAnsi="Times New Roman" w:eastAsia="黑体"/>
          <w:snapToGrid w:val="0"/>
          <w:sz w:val="36"/>
          <w:szCs w:val="36"/>
        </w:rPr>
        <w:sectPr>
          <w:pgSz w:w="11906" w:h="16838"/>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p>
    <w:p w14:paraId="2FB30727">
      <w:pPr>
        <w:pStyle w:val="34"/>
        <w:adjustRightInd w:val="0"/>
        <w:snapToGrid w:val="0"/>
        <w:spacing w:before="0" w:beforeAutospacing="0" w:after="0" w:afterAutospacing="0" w:line="14" w:lineRule="auto"/>
        <w:jc w:val="center"/>
        <w:rPr>
          <w:rFonts w:ascii="Times New Roman" w:hAnsi="Times New Roman" w:eastAsia="黑体"/>
          <w:snapToGrid w:val="0"/>
          <w:sz w:val="30"/>
          <w:szCs w:val="30"/>
        </w:rPr>
      </w:pPr>
    </w:p>
    <w:p w14:paraId="340DFBB1">
      <w:pPr>
        <w:pStyle w:val="34"/>
        <w:spacing w:before="0" w:beforeAutospacing="0" w:after="0" w:afterAutospacing="0"/>
        <w:jc w:val="center"/>
        <w:outlineLvl w:val="0"/>
        <w:rPr>
          <w:rFonts w:ascii="Times New Roman" w:hAnsi="Times New Roman" w:eastAsia="黑体"/>
          <w:snapToGrid w:val="0"/>
          <w:sz w:val="30"/>
          <w:szCs w:val="30"/>
        </w:rPr>
      </w:pPr>
      <w:r>
        <w:rPr>
          <w:rFonts w:ascii="Times New Roman" w:hAnsi="Times New Roman" w:eastAsia="黑体"/>
          <w:snapToGrid w:val="0"/>
          <w:sz w:val="30"/>
          <w:szCs w:val="30"/>
        </w:rPr>
        <w:t>三、区域环境质量现状、环境保护目标及评价标准</w:t>
      </w:r>
    </w:p>
    <w:tbl>
      <w:tblPr>
        <w:tblStyle w:val="3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55"/>
        <w:gridCol w:w="8606"/>
      </w:tblGrid>
      <w:tr w14:paraId="39B7E8F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383" w:hRule="atLeast"/>
          <w:jc w:val="center"/>
        </w:trPr>
        <w:tc>
          <w:tcPr>
            <w:tcW w:w="357" w:type="dxa"/>
            <w:noWrap w:val="0"/>
            <w:vAlign w:val="center"/>
          </w:tcPr>
          <w:p w14:paraId="3EDEA977">
            <w:pPr>
              <w:keepNext w:val="0"/>
              <w:keepLines w:val="0"/>
              <w:suppressLineNumbers w:val="0"/>
              <w:adjustRightInd w:val="0"/>
              <w:snapToGrid w:val="0"/>
              <w:spacing w:before="0" w:beforeAutospacing="0" w:after="0" w:afterAutospacing="0"/>
              <w:ind w:left="0" w:right="0"/>
              <w:jc w:val="center"/>
              <w:rPr>
                <w:rFonts w:hint="eastAsia" w:ascii="Times New Roman" w:hAnsi="Times New Roman" w:cs="Times New Roman"/>
                <w:b/>
                <w:kern w:val="0"/>
                <w:sz w:val="24"/>
              </w:rPr>
            </w:pPr>
            <w:r>
              <w:rPr>
                <w:rFonts w:hint="default" w:ascii="Times New Roman" w:hAnsi="Times New Roman" w:cs="Times New Roman"/>
                <w:b/>
                <w:kern w:val="0"/>
                <w:sz w:val="24"/>
              </w:rPr>
              <w:t>区</w:t>
            </w:r>
          </w:p>
          <w:p w14:paraId="51DA1F48">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kern w:val="0"/>
                <w:sz w:val="24"/>
              </w:rPr>
            </w:pPr>
            <w:r>
              <w:rPr>
                <w:rFonts w:hint="default" w:ascii="Times New Roman" w:hAnsi="Times New Roman" w:cs="Times New Roman"/>
                <w:b/>
                <w:kern w:val="0"/>
                <w:sz w:val="24"/>
              </w:rPr>
              <w:t>域</w:t>
            </w:r>
          </w:p>
          <w:p w14:paraId="3939AE7D">
            <w:pPr>
              <w:keepNext w:val="0"/>
              <w:keepLines w:val="0"/>
              <w:suppressLineNumbers w:val="0"/>
              <w:adjustRightInd w:val="0"/>
              <w:snapToGrid w:val="0"/>
              <w:spacing w:before="0" w:beforeAutospacing="0" w:after="0" w:afterAutospacing="0"/>
              <w:ind w:left="0" w:right="0"/>
              <w:jc w:val="center"/>
              <w:rPr>
                <w:rFonts w:hint="eastAsia" w:ascii="Times New Roman" w:hAnsi="Times New Roman" w:cs="Times New Roman"/>
                <w:b/>
                <w:kern w:val="0"/>
                <w:sz w:val="24"/>
              </w:rPr>
            </w:pPr>
            <w:r>
              <w:rPr>
                <w:rFonts w:hint="default" w:ascii="Times New Roman" w:hAnsi="Times New Roman" w:cs="Times New Roman"/>
                <w:b/>
                <w:kern w:val="0"/>
                <w:sz w:val="24"/>
              </w:rPr>
              <w:t>环</w:t>
            </w:r>
          </w:p>
          <w:p w14:paraId="4A249B53">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kern w:val="0"/>
                <w:sz w:val="24"/>
              </w:rPr>
            </w:pPr>
            <w:r>
              <w:rPr>
                <w:rFonts w:hint="default" w:ascii="Times New Roman" w:hAnsi="Times New Roman" w:cs="Times New Roman"/>
                <w:b/>
                <w:kern w:val="0"/>
                <w:sz w:val="24"/>
              </w:rPr>
              <w:t>境</w:t>
            </w:r>
          </w:p>
          <w:p w14:paraId="5BBC76BA">
            <w:pPr>
              <w:keepNext w:val="0"/>
              <w:keepLines w:val="0"/>
              <w:suppressLineNumbers w:val="0"/>
              <w:adjustRightInd w:val="0"/>
              <w:snapToGrid w:val="0"/>
              <w:spacing w:before="0" w:beforeAutospacing="0" w:after="0" w:afterAutospacing="0"/>
              <w:ind w:left="0" w:right="0"/>
              <w:jc w:val="center"/>
              <w:rPr>
                <w:rFonts w:hint="eastAsia" w:ascii="Times New Roman" w:hAnsi="Times New Roman" w:cs="Times New Roman"/>
                <w:b/>
                <w:kern w:val="0"/>
                <w:sz w:val="24"/>
              </w:rPr>
            </w:pPr>
            <w:r>
              <w:rPr>
                <w:rFonts w:hint="default" w:ascii="Times New Roman" w:hAnsi="Times New Roman" w:cs="Times New Roman"/>
                <w:b/>
                <w:kern w:val="0"/>
                <w:sz w:val="24"/>
              </w:rPr>
              <w:t>质</w:t>
            </w:r>
          </w:p>
          <w:p w14:paraId="34B20216">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kern w:val="0"/>
                <w:sz w:val="24"/>
              </w:rPr>
            </w:pPr>
            <w:r>
              <w:rPr>
                <w:rFonts w:hint="default" w:ascii="Times New Roman" w:hAnsi="Times New Roman" w:cs="Times New Roman"/>
                <w:b/>
                <w:kern w:val="0"/>
                <w:sz w:val="24"/>
              </w:rPr>
              <w:t>量</w:t>
            </w:r>
          </w:p>
          <w:p w14:paraId="304901AB">
            <w:pPr>
              <w:keepNext w:val="0"/>
              <w:keepLines w:val="0"/>
              <w:suppressLineNumbers w:val="0"/>
              <w:adjustRightInd w:val="0"/>
              <w:snapToGrid w:val="0"/>
              <w:spacing w:before="0" w:beforeAutospacing="0" w:after="0" w:afterAutospacing="0"/>
              <w:ind w:left="0" w:right="0"/>
              <w:jc w:val="center"/>
              <w:rPr>
                <w:rFonts w:hint="eastAsia" w:ascii="Times New Roman" w:hAnsi="Times New Roman" w:cs="Times New Roman"/>
                <w:b/>
                <w:kern w:val="0"/>
                <w:sz w:val="24"/>
              </w:rPr>
            </w:pPr>
            <w:r>
              <w:rPr>
                <w:rFonts w:hint="default" w:ascii="Times New Roman" w:hAnsi="Times New Roman" w:cs="Times New Roman"/>
                <w:b/>
                <w:kern w:val="0"/>
                <w:sz w:val="24"/>
              </w:rPr>
              <w:t>现</w:t>
            </w:r>
          </w:p>
          <w:p w14:paraId="339A21F9">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kern w:val="0"/>
                <w:szCs w:val="21"/>
              </w:rPr>
            </w:pPr>
            <w:r>
              <w:rPr>
                <w:rFonts w:hint="default" w:ascii="Times New Roman" w:hAnsi="Times New Roman" w:cs="Times New Roman"/>
                <w:b/>
                <w:kern w:val="0"/>
                <w:sz w:val="24"/>
              </w:rPr>
              <w:t>状</w:t>
            </w:r>
          </w:p>
        </w:tc>
        <w:tc>
          <w:tcPr>
            <w:tcW w:w="8633" w:type="dxa"/>
            <w:noWrap w:val="0"/>
            <w:vAlign w:val="center"/>
          </w:tcPr>
          <w:p w14:paraId="0F8831C6">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360" w:lineRule="auto"/>
              <w:ind w:left="0" w:right="0"/>
              <w:textAlignment w:val="auto"/>
              <w:rPr>
                <w:rFonts w:hint="default" w:ascii="Times New Roman" w:hAnsi="Times New Roman" w:cs="Times New Roman"/>
                <w:b/>
                <w:kern w:val="0"/>
                <w:sz w:val="24"/>
                <w:szCs w:val="20"/>
              </w:rPr>
            </w:pPr>
            <w:r>
              <w:rPr>
                <w:rFonts w:hint="default" w:ascii="Times New Roman" w:hAnsi="Times New Roman" w:cs="Times New Roman"/>
                <w:b/>
                <w:kern w:val="0"/>
                <w:sz w:val="24"/>
                <w:szCs w:val="20"/>
              </w:rPr>
              <w:t>1、环境空气</w:t>
            </w:r>
          </w:p>
          <w:p w14:paraId="2DB8DA75">
            <w:pPr>
              <w:keepNext w:val="0"/>
              <w:keepLines w:val="0"/>
              <w:pageBreakBefore w:val="0"/>
              <w:widowControl w:val="0"/>
              <w:suppressLineNumbers w:val="0"/>
              <w:kinsoku/>
              <w:wordWrap/>
              <w:overflowPunct/>
              <w:topLinePunct w:val="0"/>
              <w:bidi w:val="0"/>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kern w:val="2"/>
                <w:sz w:val="24"/>
                <w:szCs w:val="22"/>
                <w:lang w:val="zh-CN" w:eastAsia="zh-CN" w:bidi="ar-SA"/>
              </w:rPr>
            </w:pPr>
            <w:r>
              <w:rPr>
                <w:rFonts w:hint="eastAsia" w:ascii="Times New Roman" w:hAnsi="Times New Roman" w:eastAsia="宋体" w:cs="Times New Roman"/>
                <w:kern w:val="2"/>
                <w:sz w:val="24"/>
                <w:szCs w:val="24"/>
                <w:lang w:val="zh-CN" w:eastAsia="zh-CN" w:bidi="ar-SA"/>
              </w:rPr>
              <w:t>根据《环境空气质量标准》（GB3095-20</w:t>
            </w:r>
            <w:r>
              <w:rPr>
                <w:rFonts w:hint="eastAsia" w:cs="Times New Roman"/>
                <w:kern w:val="2"/>
                <w:sz w:val="24"/>
                <w:szCs w:val="24"/>
                <w:lang w:val="en-US" w:eastAsia="zh-CN" w:bidi="ar-SA"/>
              </w:rPr>
              <w:t>26</w:t>
            </w:r>
            <w:r>
              <w:rPr>
                <w:rFonts w:hint="eastAsia" w:ascii="Times New Roman" w:hAnsi="Times New Roman" w:eastAsia="宋体" w:cs="Times New Roman"/>
                <w:kern w:val="2"/>
                <w:sz w:val="24"/>
                <w:szCs w:val="24"/>
                <w:lang w:val="zh-CN" w:eastAsia="zh-CN" w:bidi="ar-SA"/>
              </w:rPr>
              <w:t>），</w:t>
            </w:r>
            <w:r>
              <w:rPr>
                <w:rFonts w:hint="eastAsia" w:ascii="Times New Roman" w:hAnsi="Times New Roman" w:eastAsia="宋体" w:cs="Times New Roman"/>
                <w:kern w:val="2"/>
                <w:sz w:val="24"/>
                <w:szCs w:val="22"/>
                <w:lang w:val="zh-CN" w:eastAsia="zh-CN" w:bidi="ar-SA"/>
              </w:rPr>
              <w:t>本项目所在地归于“居住区、商业交通居民混合区、文化区、工业区和农村区”，属于二类环境空气功能区。</w:t>
            </w:r>
          </w:p>
          <w:p w14:paraId="0104CD8F">
            <w:pPr>
              <w:keepNext w:val="0"/>
              <w:keepLines w:val="0"/>
              <w:pageBreakBefore w:val="0"/>
              <w:widowControl w:val="0"/>
              <w:suppressLineNumbers w:val="0"/>
              <w:kinsoku/>
              <w:wordWrap/>
              <w:overflowPunct/>
              <w:topLinePunct w:val="0"/>
              <w:bidi w:val="0"/>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kern w:val="2"/>
                <w:sz w:val="24"/>
                <w:szCs w:val="22"/>
                <w:lang w:val="zh-CN" w:eastAsia="zh-CN" w:bidi="ar-SA"/>
              </w:rPr>
            </w:pPr>
            <w:r>
              <w:rPr>
                <w:rFonts w:hint="eastAsia" w:ascii="Times New Roman" w:hAnsi="Times New Roman" w:eastAsia="宋体" w:cs="Times New Roman"/>
                <w:kern w:val="2"/>
                <w:sz w:val="24"/>
                <w:szCs w:val="22"/>
                <w:lang w:val="zh-CN" w:eastAsia="zh-CN" w:bidi="ar-SA"/>
              </w:rPr>
              <w:t>（1）基本因子环境空气质量现状监测与评价</w:t>
            </w:r>
          </w:p>
          <w:p w14:paraId="1533A129">
            <w:pPr>
              <w:keepNext w:val="0"/>
              <w:keepLines w:val="0"/>
              <w:pageBreakBefore w:val="0"/>
              <w:widowControl/>
              <w:suppressLineNumbers w:val="0"/>
              <w:kinsoku/>
              <w:wordWrap/>
              <w:overflowPunct/>
              <w:topLinePunct w:val="0"/>
              <w:autoSpaceDE w:val="0"/>
              <w:autoSpaceDN w:val="0"/>
              <w:bidi w:val="0"/>
              <w:adjustRightInd w:val="0"/>
              <w:snapToGrid/>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color w:val="auto"/>
                <w:kern w:val="0"/>
                <w:sz w:val="24"/>
                <w:lang w:eastAsia="en-US" w:bidi="en-US"/>
              </w:rPr>
            </w:pPr>
            <w:r>
              <w:rPr>
                <w:rFonts w:hint="eastAsia" w:ascii="Times New Roman" w:hAnsi="Times New Roman" w:eastAsia="宋体" w:cs="Times New Roman"/>
                <w:kern w:val="2"/>
                <w:sz w:val="24"/>
                <w:szCs w:val="24"/>
                <w:lang w:val="en-US" w:eastAsia="zh-CN" w:bidi="ar-SA"/>
              </w:rPr>
              <w:t>依据</w:t>
            </w:r>
            <w:r>
              <w:rPr>
                <w:rFonts w:hint="default" w:ascii="Times New Roman" w:hAnsi="Times New Roman" w:cs="Times New Roman"/>
                <w:color w:val="000000"/>
                <w:sz w:val="24"/>
                <w:szCs w:val="24"/>
                <w:lang w:eastAsia="zh-CN"/>
              </w:rPr>
              <w:t>《</w:t>
            </w:r>
            <w:r>
              <w:rPr>
                <w:rFonts w:hint="default" w:ascii="Times New Roman" w:hAnsi="Times New Roman" w:cs="Times New Roman"/>
                <w:color w:val="000000"/>
                <w:sz w:val="24"/>
                <w:szCs w:val="24"/>
                <w:lang w:val="en-US" w:eastAsia="zh-CN"/>
              </w:rPr>
              <w:t>202</w:t>
            </w:r>
            <w:r>
              <w:rPr>
                <w:rFonts w:hint="eastAsia" w:cs="Times New Roman"/>
                <w:color w:val="000000"/>
                <w:sz w:val="24"/>
                <w:szCs w:val="24"/>
                <w:lang w:val="en-US" w:eastAsia="zh-CN"/>
              </w:rPr>
              <w:t>4</w:t>
            </w:r>
            <w:r>
              <w:rPr>
                <w:rFonts w:hint="default" w:ascii="Times New Roman" w:hAnsi="Times New Roman" w:cs="Times New Roman"/>
                <w:color w:val="000000"/>
                <w:sz w:val="24"/>
                <w:szCs w:val="24"/>
                <w:lang w:val="en-US" w:eastAsia="zh-CN"/>
              </w:rPr>
              <w:t>年沧州市生态环境状况公报</w:t>
            </w:r>
            <w:r>
              <w:rPr>
                <w:rFonts w:hint="default" w:ascii="Times New Roman" w:hAnsi="Times New Roman" w:cs="Times New Roman"/>
                <w:color w:val="000000"/>
                <w:sz w:val="24"/>
                <w:szCs w:val="24"/>
                <w:lang w:eastAsia="zh-CN"/>
              </w:rPr>
              <w:t>》</w:t>
            </w:r>
            <w:r>
              <w:rPr>
                <w:rFonts w:hint="eastAsia" w:ascii="Times New Roman" w:hAnsi="Times New Roman" w:eastAsia="宋体" w:cs="Times New Roman"/>
                <w:color w:val="auto"/>
                <w:kern w:val="0"/>
                <w:sz w:val="24"/>
                <w:lang w:eastAsia="zh-CN" w:bidi="en-US"/>
              </w:rPr>
              <w:t>，</w:t>
            </w:r>
            <w:r>
              <w:rPr>
                <w:rFonts w:hint="default" w:ascii="Times New Roman" w:hAnsi="Times New Roman" w:eastAsia="宋体" w:cs="Times New Roman"/>
                <w:color w:val="auto"/>
                <w:kern w:val="0"/>
                <w:sz w:val="24"/>
                <w:szCs w:val="25"/>
                <w:lang w:eastAsia="en-US" w:bidi="en-US"/>
              </w:rPr>
              <w:t>202</w:t>
            </w:r>
            <w:r>
              <w:rPr>
                <w:rFonts w:hint="eastAsia" w:cs="Times New Roman"/>
                <w:color w:val="auto"/>
                <w:kern w:val="0"/>
                <w:sz w:val="24"/>
                <w:szCs w:val="25"/>
                <w:lang w:val="en-US" w:eastAsia="zh-CN" w:bidi="en-US"/>
              </w:rPr>
              <w:t>4</w:t>
            </w:r>
            <w:r>
              <w:rPr>
                <w:rFonts w:hint="default" w:ascii="Times New Roman" w:hAnsi="Times New Roman" w:eastAsia="宋体" w:cs="Times New Roman"/>
                <w:color w:val="auto"/>
                <w:kern w:val="0"/>
                <w:sz w:val="24"/>
                <w:szCs w:val="25"/>
                <w:lang w:eastAsia="en-US" w:bidi="en-US"/>
              </w:rPr>
              <w:t>年沧州市环境空气质量见</w:t>
            </w:r>
            <w:r>
              <w:rPr>
                <w:rFonts w:hint="eastAsia" w:ascii="Times New Roman" w:hAnsi="Times New Roman" w:eastAsia="宋体" w:cs="Times New Roman"/>
                <w:color w:val="auto"/>
                <w:kern w:val="0"/>
                <w:sz w:val="24"/>
                <w:szCs w:val="25"/>
                <w:lang w:eastAsia="zh-CN" w:bidi="en-US"/>
              </w:rPr>
              <w:t>下表</w:t>
            </w:r>
            <w:r>
              <w:rPr>
                <w:rFonts w:hint="eastAsia" w:ascii="Times New Roman" w:hAnsi="Times New Roman" w:eastAsia="宋体" w:cs="Times New Roman"/>
                <w:color w:val="auto"/>
                <w:kern w:val="0"/>
                <w:sz w:val="24"/>
                <w:szCs w:val="25"/>
                <w:lang w:val="en-US" w:eastAsia="zh-CN" w:bidi="en-US"/>
              </w:rPr>
              <w:t>。</w:t>
            </w:r>
          </w:p>
          <w:p w14:paraId="39E826BE">
            <w:pPr>
              <w:keepNext w:val="0"/>
              <w:keepLines w:val="0"/>
              <w:suppressLineNumbers w:val="0"/>
              <w:spacing w:before="0" w:beforeAutospacing="0" w:after="0" w:afterAutospacing="0" w:line="240" w:lineRule="auto"/>
              <w:ind w:left="0" w:right="0" w:firstLine="422" w:firstLineChars="200"/>
              <w:jc w:val="center"/>
              <w:rPr>
                <w:rFonts w:hint="eastAsia" w:ascii="Times New Roman" w:hAnsi="Times New Roman" w:eastAsia="宋体" w:cs="Times New Roman"/>
                <w:b/>
                <w:bCs/>
                <w:color w:val="000000"/>
                <w:kern w:val="0"/>
                <w:sz w:val="21"/>
                <w:szCs w:val="21"/>
                <w:lang w:val="en-US" w:eastAsia="zh-CN" w:bidi="ar-SA"/>
              </w:rPr>
            </w:pPr>
            <w:r>
              <w:rPr>
                <w:rFonts w:hint="eastAsia" w:ascii="Times New Roman" w:hAnsi="Times New Roman" w:eastAsia="宋体" w:cs="Times New Roman"/>
                <w:b/>
                <w:bCs/>
                <w:color w:val="000000"/>
                <w:kern w:val="0"/>
                <w:sz w:val="21"/>
                <w:szCs w:val="21"/>
                <w:lang w:val="en-US" w:eastAsia="zh-CN" w:bidi="ar-SA"/>
              </w:rPr>
              <w:t>区域环境空气质量现状评价表</w:t>
            </w:r>
          </w:p>
          <w:tbl>
            <w:tblPr>
              <w:tblStyle w:val="38"/>
              <w:tblW w:w="83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64"/>
              <w:gridCol w:w="2782"/>
              <w:gridCol w:w="1144"/>
              <w:gridCol w:w="1144"/>
              <w:gridCol w:w="1032"/>
              <w:gridCol w:w="1001"/>
            </w:tblGrid>
            <w:tr w14:paraId="28B21C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264" w:type="dxa"/>
                  <w:noWrap w:val="0"/>
                  <w:vAlign w:val="center"/>
                </w:tcPr>
                <w:p w14:paraId="7EFFCAAB">
                  <w:pPr>
                    <w:keepNext w:val="0"/>
                    <w:keepLines w:val="0"/>
                    <w:widowControl/>
                    <w:suppressLineNumbers w:val="0"/>
                    <w:autoSpaceDE w:val="0"/>
                    <w:autoSpaceDN w:val="0"/>
                    <w:adjustRightIn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0"/>
                      <w:sz w:val="21"/>
                      <w:szCs w:val="21"/>
                      <w:lang w:val="en-US" w:eastAsia="en-US" w:bidi="en-US"/>
                    </w:rPr>
                  </w:pPr>
                  <w:r>
                    <w:rPr>
                      <w:rFonts w:hint="default" w:ascii="Times New Roman" w:hAnsi="Times New Roman" w:eastAsia="宋体" w:cs="Times New Roman"/>
                      <w:color w:val="auto"/>
                      <w:kern w:val="0"/>
                      <w:sz w:val="21"/>
                      <w:szCs w:val="21"/>
                      <w:lang w:val="en-US" w:eastAsia="zh-CN" w:bidi="en-US"/>
                    </w:rPr>
                    <w:t>污染物</w:t>
                  </w:r>
                </w:p>
              </w:tc>
              <w:tc>
                <w:tcPr>
                  <w:tcW w:w="2789" w:type="dxa"/>
                  <w:noWrap w:val="0"/>
                  <w:vAlign w:val="center"/>
                </w:tcPr>
                <w:p w14:paraId="7E23E753">
                  <w:pPr>
                    <w:keepNext w:val="0"/>
                    <w:keepLines w:val="0"/>
                    <w:widowControl/>
                    <w:suppressLineNumbers w:val="0"/>
                    <w:autoSpaceDE w:val="0"/>
                    <w:autoSpaceDN w:val="0"/>
                    <w:adjustRightIn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0"/>
                      <w:sz w:val="21"/>
                      <w:szCs w:val="21"/>
                      <w:lang w:val="en-US" w:eastAsia="en-US" w:bidi="en-US"/>
                    </w:rPr>
                  </w:pPr>
                  <w:r>
                    <w:rPr>
                      <w:rFonts w:hint="default" w:ascii="Times New Roman" w:hAnsi="Times New Roman" w:eastAsia="宋体" w:cs="Times New Roman"/>
                      <w:color w:val="auto"/>
                      <w:kern w:val="0"/>
                      <w:sz w:val="21"/>
                      <w:szCs w:val="21"/>
                      <w:lang w:val="en-US" w:eastAsia="zh-CN" w:bidi="en-US"/>
                    </w:rPr>
                    <w:t>年评价指标</w:t>
                  </w:r>
                </w:p>
              </w:tc>
              <w:tc>
                <w:tcPr>
                  <w:tcW w:w="1134" w:type="dxa"/>
                  <w:noWrap w:val="0"/>
                  <w:vAlign w:val="center"/>
                </w:tcPr>
                <w:p w14:paraId="407DCCA9">
                  <w:pPr>
                    <w:keepNext w:val="0"/>
                    <w:keepLines w:val="0"/>
                    <w:widowControl/>
                    <w:suppressLineNumbers w:val="0"/>
                    <w:autoSpaceDE w:val="0"/>
                    <w:autoSpaceDN w:val="0"/>
                    <w:adjustRightIn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0"/>
                      <w:sz w:val="21"/>
                      <w:szCs w:val="21"/>
                      <w:lang w:val="en-US" w:eastAsia="en-US" w:bidi="en-US"/>
                    </w:rPr>
                  </w:pPr>
                  <w:r>
                    <w:rPr>
                      <w:rFonts w:hint="default" w:ascii="Times New Roman" w:hAnsi="Times New Roman" w:eastAsia="宋体" w:cs="Times New Roman"/>
                      <w:color w:val="auto"/>
                      <w:kern w:val="0"/>
                      <w:sz w:val="21"/>
                      <w:szCs w:val="21"/>
                      <w:lang w:val="en-US" w:eastAsia="zh-CN" w:bidi="en-US"/>
                    </w:rPr>
                    <w:t>现状浓度/（μg/m</w:t>
                  </w:r>
                  <w:r>
                    <w:rPr>
                      <w:rFonts w:hint="default" w:ascii="Times New Roman" w:hAnsi="Times New Roman" w:eastAsia="宋体" w:cs="Times New Roman"/>
                      <w:color w:val="auto"/>
                      <w:kern w:val="0"/>
                      <w:sz w:val="21"/>
                      <w:szCs w:val="21"/>
                      <w:vertAlign w:val="superscript"/>
                      <w:lang w:val="en-US" w:eastAsia="zh-CN" w:bidi="en-US"/>
                    </w:rPr>
                    <w:t>3</w:t>
                  </w:r>
                  <w:r>
                    <w:rPr>
                      <w:rFonts w:hint="default" w:ascii="Times New Roman" w:hAnsi="Times New Roman" w:eastAsia="宋体" w:cs="Times New Roman"/>
                      <w:color w:val="auto"/>
                      <w:kern w:val="0"/>
                      <w:sz w:val="21"/>
                      <w:szCs w:val="21"/>
                      <w:lang w:val="en-US" w:eastAsia="zh-CN" w:bidi="en-US"/>
                    </w:rPr>
                    <w:t>）</w:t>
                  </w:r>
                </w:p>
              </w:tc>
              <w:tc>
                <w:tcPr>
                  <w:tcW w:w="1144" w:type="dxa"/>
                  <w:noWrap w:val="0"/>
                  <w:vAlign w:val="center"/>
                </w:tcPr>
                <w:p w14:paraId="43754101">
                  <w:pPr>
                    <w:keepNext w:val="0"/>
                    <w:keepLines w:val="0"/>
                    <w:widowControl/>
                    <w:suppressLineNumbers w:val="0"/>
                    <w:autoSpaceDE w:val="0"/>
                    <w:autoSpaceDN w:val="0"/>
                    <w:adjustRightIn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0"/>
                      <w:sz w:val="21"/>
                      <w:szCs w:val="21"/>
                      <w:lang w:val="en-US" w:eastAsia="zh-CN" w:bidi="en-US"/>
                    </w:rPr>
                  </w:pPr>
                  <w:r>
                    <w:rPr>
                      <w:rFonts w:hint="default" w:ascii="Times New Roman" w:hAnsi="Times New Roman" w:eastAsia="宋体" w:cs="Times New Roman"/>
                      <w:color w:val="auto"/>
                      <w:kern w:val="0"/>
                      <w:sz w:val="21"/>
                      <w:szCs w:val="21"/>
                      <w:lang w:val="en-US" w:eastAsia="zh-CN" w:bidi="en-US"/>
                    </w:rPr>
                    <w:t>标准值/</w:t>
                  </w:r>
                </w:p>
                <w:p w14:paraId="0C21401C">
                  <w:pPr>
                    <w:keepNext w:val="0"/>
                    <w:keepLines w:val="0"/>
                    <w:widowControl/>
                    <w:suppressLineNumbers w:val="0"/>
                    <w:autoSpaceDE w:val="0"/>
                    <w:autoSpaceDN w:val="0"/>
                    <w:adjustRightIn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0"/>
                      <w:sz w:val="21"/>
                      <w:szCs w:val="21"/>
                      <w:lang w:val="en-US" w:eastAsia="en-US" w:bidi="en-US"/>
                    </w:rPr>
                  </w:pPr>
                  <w:r>
                    <w:rPr>
                      <w:rFonts w:hint="default" w:ascii="Times New Roman" w:hAnsi="Times New Roman" w:eastAsia="宋体" w:cs="Times New Roman"/>
                      <w:color w:val="auto"/>
                      <w:kern w:val="0"/>
                      <w:sz w:val="21"/>
                      <w:szCs w:val="21"/>
                      <w:lang w:val="en-US" w:eastAsia="zh-CN" w:bidi="en-US"/>
                    </w:rPr>
                    <w:t>（μg/m</w:t>
                  </w:r>
                  <w:r>
                    <w:rPr>
                      <w:rFonts w:hint="default" w:ascii="Times New Roman" w:hAnsi="Times New Roman" w:eastAsia="宋体" w:cs="Times New Roman"/>
                      <w:color w:val="auto"/>
                      <w:kern w:val="0"/>
                      <w:sz w:val="21"/>
                      <w:szCs w:val="21"/>
                      <w:vertAlign w:val="superscript"/>
                      <w:lang w:val="en-US" w:eastAsia="zh-CN" w:bidi="en-US"/>
                    </w:rPr>
                    <w:t>3</w:t>
                  </w:r>
                  <w:r>
                    <w:rPr>
                      <w:rFonts w:hint="default" w:ascii="Times New Roman" w:hAnsi="Times New Roman" w:eastAsia="宋体" w:cs="Times New Roman"/>
                      <w:color w:val="auto"/>
                      <w:kern w:val="0"/>
                      <w:sz w:val="21"/>
                      <w:szCs w:val="21"/>
                      <w:lang w:val="en-US" w:eastAsia="zh-CN" w:bidi="en-US"/>
                    </w:rPr>
                    <w:t>）</w:t>
                  </w:r>
                </w:p>
              </w:tc>
              <w:tc>
                <w:tcPr>
                  <w:tcW w:w="1033" w:type="dxa"/>
                  <w:noWrap w:val="0"/>
                  <w:vAlign w:val="center"/>
                </w:tcPr>
                <w:p w14:paraId="63F1E898">
                  <w:pPr>
                    <w:keepNext w:val="0"/>
                    <w:keepLines w:val="0"/>
                    <w:widowControl/>
                    <w:suppressLineNumbers w:val="0"/>
                    <w:autoSpaceDE w:val="0"/>
                    <w:autoSpaceDN w:val="0"/>
                    <w:adjustRightIn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0"/>
                      <w:sz w:val="21"/>
                      <w:szCs w:val="21"/>
                      <w:lang w:val="en-US" w:eastAsia="en-US" w:bidi="en-US"/>
                    </w:rPr>
                  </w:pPr>
                  <w:r>
                    <w:rPr>
                      <w:rFonts w:hint="default" w:ascii="Times New Roman" w:hAnsi="Times New Roman" w:eastAsia="宋体" w:cs="Times New Roman"/>
                      <w:color w:val="auto"/>
                      <w:kern w:val="0"/>
                      <w:sz w:val="21"/>
                      <w:szCs w:val="21"/>
                      <w:lang w:val="en-US" w:eastAsia="zh-CN" w:bidi="en-US"/>
                    </w:rPr>
                    <w:t>占标率/%</w:t>
                  </w:r>
                </w:p>
              </w:tc>
              <w:tc>
                <w:tcPr>
                  <w:tcW w:w="1003" w:type="dxa"/>
                  <w:noWrap w:val="0"/>
                  <w:vAlign w:val="center"/>
                </w:tcPr>
                <w:p w14:paraId="1366E6D0">
                  <w:pPr>
                    <w:keepNext w:val="0"/>
                    <w:keepLines w:val="0"/>
                    <w:widowControl/>
                    <w:suppressLineNumbers w:val="0"/>
                    <w:autoSpaceDE w:val="0"/>
                    <w:autoSpaceDN w:val="0"/>
                    <w:adjustRightIn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0"/>
                      <w:sz w:val="21"/>
                      <w:szCs w:val="21"/>
                      <w:lang w:val="en-US" w:eastAsia="en-US" w:bidi="en-US"/>
                    </w:rPr>
                  </w:pPr>
                  <w:r>
                    <w:rPr>
                      <w:rFonts w:hint="default" w:ascii="Times New Roman" w:hAnsi="Times New Roman" w:eastAsia="宋体" w:cs="Times New Roman"/>
                      <w:color w:val="auto"/>
                      <w:kern w:val="0"/>
                      <w:sz w:val="21"/>
                      <w:szCs w:val="21"/>
                      <w:lang w:val="en-US" w:eastAsia="zh-CN" w:bidi="en-US"/>
                    </w:rPr>
                    <w:t>达标情况</w:t>
                  </w:r>
                </w:p>
              </w:tc>
            </w:tr>
            <w:tr w14:paraId="6A7A96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64" w:type="dxa"/>
                  <w:noWrap w:val="0"/>
                  <w:vAlign w:val="center"/>
                </w:tcPr>
                <w:p w14:paraId="154014AC">
                  <w:pPr>
                    <w:keepNext w:val="0"/>
                    <w:keepLines w:val="0"/>
                    <w:widowControl/>
                    <w:suppressLineNumbers w:val="0"/>
                    <w:autoSpaceDE w:val="0"/>
                    <w:autoSpaceDN w:val="0"/>
                    <w:adjustRightIn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bidi="en-US"/>
                    </w:rPr>
                    <w:t>PM</w:t>
                  </w:r>
                  <w:r>
                    <w:rPr>
                      <w:rFonts w:hint="default" w:ascii="Times New Roman" w:hAnsi="Times New Roman" w:eastAsia="宋体" w:cs="Times New Roman"/>
                      <w:color w:val="auto"/>
                      <w:kern w:val="0"/>
                      <w:sz w:val="21"/>
                      <w:szCs w:val="21"/>
                      <w:vertAlign w:val="subscript"/>
                      <w:lang w:val="en-US" w:eastAsia="zh-CN" w:bidi="en-US"/>
                    </w:rPr>
                    <w:t>2.5</w:t>
                  </w:r>
                </w:p>
              </w:tc>
              <w:tc>
                <w:tcPr>
                  <w:tcW w:w="2789" w:type="dxa"/>
                  <w:noWrap w:val="0"/>
                  <w:vAlign w:val="center"/>
                </w:tcPr>
                <w:p w14:paraId="0FB36809">
                  <w:pPr>
                    <w:keepNext w:val="0"/>
                    <w:keepLines w:val="0"/>
                    <w:widowControl/>
                    <w:suppressLineNumbers w:val="0"/>
                    <w:autoSpaceDE w:val="0"/>
                    <w:autoSpaceDN w:val="0"/>
                    <w:adjustRightIn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0"/>
                      <w:sz w:val="21"/>
                      <w:szCs w:val="21"/>
                      <w:lang w:val="en-US" w:eastAsia="en-US" w:bidi="en-US"/>
                    </w:rPr>
                  </w:pPr>
                  <w:r>
                    <w:rPr>
                      <w:rFonts w:hint="default" w:ascii="Times New Roman" w:hAnsi="Times New Roman" w:eastAsia="宋体" w:cs="Times New Roman"/>
                      <w:color w:val="auto"/>
                      <w:kern w:val="0"/>
                      <w:sz w:val="21"/>
                      <w:szCs w:val="21"/>
                      <w:lang w:val="en-US" w:eastAsia="zh-CN" w:bidi="en-US"/>
                    </w:rPr>
                    <w:t>年平均质量浓度</w:t>
                  </w:r>
                </w:p>
              </w:tc>
              <w:tc>
                <w:tcPr>
                  <w:tcW w:w="1134" w:type="dxa"/>
                  <w:noWrap w:val="0"/>
                  <w:vAlign w:val="center"/>
                </w:tcPr>
                <w:p w14:paraId="1C6F72F2">
                  <w:pPr>
                    <w:keepNext w:val="0"/>
                    <w:keepLines w:val="0"/>
                    <w:widowControl/>
                    <w:suppressLineNumbers w:val="0"/>
                    <w:autoSpaceDE w:val="0"/>
                    <w:autoSpaceDN w:val="0"/>
                    <w:adjustRightIn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1"/>
                      <w:sz w:val="21"/>
                      <w:szCs w:val="21"/>
                      <w:lang w:val="en-US" w:eastAsia="zh-CN" w:bidi="ar-SA"/>
                    </w:rPr>
                  </w:pPr>
                  <w:r>
                    <w:rPr>
                      <w:rFonts w:hint="default" w:ascii="Times New Roman" w:hAnsi="Times New Roman" w:eastAsia="宋体" w:cs="Times New Roman"/>
                      <w:color w:val="auto"/>
                      <w:kern w:val="0"/>
                      <w:sz w:val="21"/>
                      <w:szCs w:val="21"/>
                      <w:lang w:val="en-US" w:eastAsia="zh-CN" w:bidi="en-US"/>
                    </w:rPr>
                    <w:t>4</w:t>
                  </w:r>
                  <w:r>
                    <w:rPr>
                      <w:rFonts w:hint="eastAsia" w:cs="Times New Roman"/>
                      <w:color w:val="auto"/>
                      <w:kern w:val="0"/>
                      <w:sz w:val="21"/>
                      <w:szCs w:val="21"/>
                      <w:lang w:val="en-US" w:eastAsia="zh-CN" w:bidi="en-US"/>
                    </w:rPr>
                    <w:t>1</w:t>
                  </w:r>
                </w:p>
              </w:tc>
              <w:tc>
                <w:tcPr>
                  <w:tcW w:w="1144" w:type="dxa"/>
                  <w:noWrap w:val="0"/>
                  <w:vAlign w:val="center"/>
                </w:tcPr>
                <w:p w14:paraId="53812BF7">
                  <w:pPr>
                    <w:keepNext w:val="0"/>
                    <w:keepLines w:val="0"/>
                    <w:widowControl/>
                    <w:suppressLineNumbers w:val="0"/>
                    <w:autoSpaceDE w:val="0"/>
                    <w:autoSpaceDN w:val="0"/>
                    <w:adjustRightIn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1"/>
                      <w:sz w:val="21"/>
                      <w:szCs w:val="21"/>
                      <w:lang w:val="en-US" w:eastAsia="zh-CN" w:bidi="ar-SA"/>
                    </w:rPr>
                  </w:pPr>
                  <w:r>
                    <w:rPr>
                      <w:rFonts w:hint="default" w:ascii="Times New Roman" w:hAnsi="Times New Roman" w:eastAsia="宋体" w:cs="Times New Roman"/>
                      <w:color w:val="auto"/>
                      <w:kern w:val="0"/>
                      <w:sz w:val="21"/>
                      <w:szCs w:val="21"/>
                      <w:lang w:val="en-US" w:eastAsia="zh-CN" w:bidi="en-US"/>
                    </w:rPr>
                    <w:t>3</w:t>
                  </w:r>
                  <w:r>
                    <w:rPr>
                      <w:rFonts w:hint="eastAsia" w:cs="Times New Roman"/>
                      <w:color w:val="auto"/>
                      <w:kern w:val="0"/>
                      <w:sz w:val="21"/>
                      <w:szCs w:val="21"/>
                      <w:lang w:val="en-US" w:eastAsia="zh-CN" w:bidi="en-US"/>
                    </w:rPr>
                    <w:t>0</w:t>
                  </w:r>
                </w:p>
              </w:tc>
              <w:tc>
                <w:tcPr>
                  <w:tcW w:w="1033" w:type="dxa"/>
                  <w:noWrap w:val="0"/>
                  <w:vAlign w:val="center"/>
                </w:tcPr>
                <w:p w14:paraId="4A6A2BE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1"/>
                      <w:sz w:val="21"/>
                      <w:szCs w:val="21"/>
                      <w:lang w:val="en-US" w:eastAsia="zh-CN" w:bidi="ar-SA"/>
                    </w:rPr>
                  </w:pPr>
                  <w:r>
                    <w:rPr>
                      <w:rFonts w:hint="eastAsia" w:cs="Times New Roman"/>
                      <w:i w:val="0"/>
                      <w:iCs w:val="0"/>
                      <w:color w:val="000000"/>
                      <w:kern w:val="0"/>
                      <w:sz w:val="21"/>
                      <w:szCs w:val="21"/>
                      <w:u w:val="none"/>
                      <w:lang w:val="en-US" w:eastAsia="zh-CN" w:bidi="ar"/>
                    </w:rPr>
                    <w:t>136.67</w:t>
                  </w:r>
                </w:p>
              </w:tc>
              <w:tc>
                <w:tcPr>
                  <w:tcW w:w="1003" w:type="dxa"/>
                  <w:noWrap w:val="0"/>
                  <w:vAlign w:val="center"/>
                </w:tcPr>
                <w:p w14:paraId="6734D906">
                  <w:pPr>
                    <w:keepNext w:val="0"/>
                    <w:keepLines w:val="0"/>
                    <w:widowControl/>
                    <w:suppressLineNumbers w:val="0"/>
                    <w:autoSpaceDE w:val="0"/>
                    <w:autoSpaceDN w:val="0"/>
                    <w:adjustRightIn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bidi="en-US"/>
                    </w:rPr>
                    <w:t>不达标</w:t>
                  </w:r>
                </w:p>
              </w:tc>
            </w:tr>
            <w:tr w14:paraId="241CB8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64" w:type="dxa"/>
                  <w:noWrap w:val="0"/>
                  <w:vAlign w:val="center"/>
                </w:tcPr>
                <w:p w14:paraId="2E3A39FA">
                  <w:pPr>
                    <w:keepNext w:val="0"/>
                    <w:keepLines w:val="0"/>
                    <w:widowControl/>
                    <w:suppressLineNumbers w:val="0"/>
                    <w:autoSpaceDE w:val="0"/>
                    <w:autoSpaceDN w:val="0"/>
                    <w:adjustRightIn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bidi="en-US"/>
                    </w:rPr>
                    <w:t>PM</w:t>
                  </w:r>
                  <w:r>
                    <w:rPr>
                      <w:rFonts w:hint="default" w:ascii="Times New Roman" w:hAnsi="Times New Roman" w:eastAsia="宋体" w:cs="Times New Roman"/>
                      <w:color w:val="auto"/>
                      <w:kern w:val="0"/>
                      <w:sz w:val="21"/>
                      <w:szCs w:val="21"/>
                      <w:vertAlign w:val="subscript"/>
                      <w:lang w:val="en-US" w:eastAsia="zh-CN" w:bidi="en-US"/>
                    </w:rPr>
                    <w:t>10</w:t>
                  </w:r>
                </w:p>
              </w:tc>
              <w:tc>
                <w:tcPr>
                  <w:tcW w:w="2789" w:type="dxa"/>
                  <w:noWrap w:val="0"/>
                  <w:vAlign w:val="center"/>
                </w:tcPr>
                <w:p w14:paraId="5875CD32">
                  <w:pPr>
                    <w:keepNext w:val="0"/>
                    <w:keepLines w:val="0"/>
                    <w:widowControl/>
                    <w:suppressLineNumbers w:val="0"/>
                    <w:autoSpaceDE w:val="0"/>
                    <w:autoSpaceDN w:val="0"/>
                    <w:adjustRightIn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0"/>
                      <w:sz w:val="21"/>
                      <w:szCs w:val="21"/>
                      <w:lang w:val="en-US" w:eastAsia="en-US" w:bidi="en-US"/>
                    </w:rPr>
                  </w:pPr>
                  <w:r>
                    <w:rPr>
                      <w:rFonts w:hint="default" w:ascii="Times New Roman" w:hAnsi="Times New Roman" w:eastAsia="宋体" w:cs="Times New Roman"/>
                      <w:color w:val="auto"/>
                      <w:kern w:val="0"/>
                      <w:sz w:val="21"/>
                      <w:szCs w:val="21"/>
                      <w:lang w:val="en-US" w:eastAsia="zh-CN" w:bidi="en-US"/>
                    </w:rPr>
                    <w:t>年平均质量浓度</w:t>
                  </w:r>
                </w:p>
              </w:tc>
              <w:tc>
                <w:tcPr>
                  <w:tcW w:w="1134" w:type="dxa"/>
                  <w:noWrap w:val="0"/>
                  <w:vAlign w:val="center"/>
                </w:tcPr>
                <w:p w14:paraId="62A8EDFC">
                  <w:pPr>
                    <w:keepNext w:val="0"/>
                    <w:keepLines w:val="0"/>
                    <w:widowControl/>
                    <w:suppressLineNumbers w:val="0"/>
                    <w:autoSpaceDE w:val="0"/>
                    <w:autoSpaceDN w:val="0"/>
                    <w:adjustRightIn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1"/>
                      <w:sz w:val="21"/>
                      <w:szCs w:val="21"/>
                      <w:lang w:val="en-US" w:eastAsia="zh-CN" w:bidi="ar-SA"/>
                    </w:rPr>
                  </w:pPr>
                  <w:r>
                    <w:rPr>
                      <w:rFonts w:hint="eastAsia" w:cs="Times New Roman"/>
                      <w:color w:val="auto"/>
                      <w:kern w:val="0"/>
                      <w:sz w:val="21"/>
                      <w:szCs w:val="21"/>
                      <w:lang w:val="en-US" w:eastAsia="zh-CN" w:bidi="en-US"/>
                    </w:rPr>
                    <w:t>67.2</w:t>
                  </w:r>
                </w:p>
              </w:tc>
              <w:tc>
                <w:tcPr>
                  <w:tcW w:w="1144" w:type="dxa"/>
                  <w:noWrap w:val="0"/>
                  <w:vAlign w:val="center"/>
                </w:tcPr>
                <w:p w14:paraId="48A3028C">
                  <w:pPr>
                    <w:keepNext w:val="0"/>
                    <w:keepLines w:val="0"/>
                    <w:widowControl/>
                    <w:suppressLineNumbers w:val="0"/>
                    <w:autoSpaceDE w:val="0"/>
                    <w:autoSpaceDN w:val="0"/>
                    <w:adjustRightIn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1"/>
                      <w:sz w:val="21"/>
                      <w:szCs w:val="21"/>
                      <w:lang w:val="en-US" w:eastAsia="zh-CN" w:bidi="ar-SA"/>
                    </w:rPr>
                  </w:pPr>
                  <w:r>
                    <w:rPr>
                      <w:rFonts w:hint="eastAsia" w:cs="Times New Roman"/>
                      <w:color w:val="auto"/>
                      <w:kern w:val="0"/>
                      <w:sz w:val="21"/>
                      <w:szCs w:val="21"/>
                      <w:lang w:val="en-US" w:eastAsia="zh-CN" w:bidi="en-US"/>
                    </w:rPr>
                    <w:t>60</w:t>
                  </w:r>
                </w:p>
              </w:tc>
              <w:tc>
                <w:tcPr>
                  <w:tcW w:w="1033" w:type="dxa"/>
                  <w:noWrap w:val="0"/>
                  <w:vAlign w:val="center"/>
                </w:tcPr>
                <w:p w14:paraId="239F35B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1"/>
                      <w:sz w:val="21"/>
                      <w:szCs w:val="21"/>
                      <w:lang w:val="en-US" w:eastAsia="zh-CN" w:bidi="ar-SA"/>
                    </w:rPr>
                  </w:pPr>
                  <w:r>
                    <w:rPr>
                      <w:rFonts w:hint="eastAsia" w:cs="Times New Roman"/>
                      <w:color w:val="auto"/>
                      <w:kern w:val="0"/>
                      <w:sz w:val="21"/>
                      <w:szCs w:val="21"/>
                      <w:lang w:val="en-US" w:eastAsia="zh-CN" w:bidi="en-US"/>
                    </w:rPr>
                    <w:t>112</w:t>
                  </w:r>
                </w:p>
              </w:tc>
              <w:tc>
                <w:tcPr>
                  <w:tcW w:w="1003" w:type="dxa"/>
                  <w:noWrap w:val="0"/>
                  <w:vAlign w:val="center"/>
                </w:tcPr>
                <w:p w14:paraId="5FD3954F">
                  <w:pPr>
                    <w:keepNext w:val="0"/>
                    <w:keepLines w:val="0"/>
                    <w:widowControl/>
                    <w:suppressLineNumbers w:val="0"/>
                    <w:autoSpaceDE w:val="0"/>
                    <w:autoSpaceDN w:val="0"/>
                    <w:adjustRightIn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0"/>
                      <w:sz w:val="21"/>
                      <w:szCs w:val="21"/>
                      <w:lang w:val="en-US" w:eastAsia="zh-CN" w:bidi="en-US"/>
                    </w:rPr>
                    <w:t>不</w:t>
                  </w:r>
                  <w:r>
                    <w:rPr>
                      <w:rFonts w:hint="default" w:ascii="Times New Roman" w:hAnsi="Times New Roman" w:eastAsia="宋体" w:cs="Times New Roman"/>
                      <w:color w:val="auto"/>
                      <w:kern w:val="0"/>
                      <w:sz w:val="21"/>
                      <w:szCs w:val="21"/>
                      <w:lang w:val="en-US" w:eastAsia="zh-CN" w:bidi="en-US"/>
                    </w:rPr>
                    <w:t>达标</w:t>
                  </w:r>
                </w:p>
              </w:tc>
            </w:tr>
            <w:tr w14:paraId="2DDCD1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64" w:type="dxa"/>
                  <w:noWrap w:val="0"/>
                  <w:vAlign w:val="center"/>
                </w:tcPr>
                <w:p w14:paraId="107135FB">
                  <w:pPr>
                    <w:keepNext w:val="0"/>
                    <w:keepLines w:val="0"/>
                    <w:widowControl/>
                    <w:suppressLineNumbers w:val="0"/>
                    <w:autoSpaceDE w:val="0"/>
                    <w:autoSpaceDN w:val="0"/>
                    <w:adjustRightIn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bidi="en-US"/>
                    </w:rPr>
                    <w:t>SO</w:t>
                  </w:r>
                  <w:r>
                    <w:rPr>
                      <w:rFonts w:hint="default" w:ascii="Times New Roman" w:hAnsi="Times New Roman" w:eastAsia="宋体" w:cs="Times New Roman"/>
                      <w:color w:val="auto"/>
                      <w:kern w:val="0"/>
                      <w:sz w:val="21"/>
                      <w:szCs w:val="21"/>
                      <w:vertAlign w:val="subscript"/>
                      <w:lang w:val="en-US" w:eastAsia="zh-CN" w:bidi="en-US"/>
                    </w:rPr>
                    <w:t>2</w:t>
                  </w:r>
                </w:p>
              </w:tc>
              <w:tc>
                <w:tcPr>
                  <w:tcW w:w="2789" w:type="dxa"/>
                  <w:noWrap w:val="0"/>
                  <w:vAlign w:val="center"/>
                </w:tcPr>
                <w:p w14:paraId="77CD6160">
                  <w:pPr>
                    <w:keepNext w:val="0"/>
                    <w:keepLines w:val="0"/>
                    <w:widowControl/>
                    <w:suppressLineNumbers w:val="0"/>
                    <w:autoSpaceDE w:val="0"/>
                    <w:autoSpaceDN w:val="0"/>
                    <w:adjustRightIn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0"/>
                      <w:sz w:val="21"/>
                      <w:szCs w:val="21"/>
                      <w:lang w:val="en-US" w:eastAsia="en-US" w:bidi="en-US"/>
                    </w:rPr>
                  </w:pPr>
                  <w:r>
                    <w:rPr>
                      <w:rFonts w:hint="default" w:ascii="Times New Roman" w:hAnsi="Times New Roman" w:eastAsia="宋体" w:cs="Times New Roman"/>
                      <w:color w:val="auto"/>
                      <w:kern w:val="0"/>
                      <w:sz w:val="21"/>
                      <w:szCs w:val="21"/>
                      <w:lang w:val="en-US" w:eastAsia="zh-CN" w:bidi="en-US"/>
                    </w:rPr>
                    <w:t>年平均质量浓度</w:t>
                  </w:r>
                </w:p>
              </w:tc>
              <w:tc>
                <w:tcPr>
                  <w:tcW w:w="1134" w:type="dxa"/>
                  <w:noWrap w:val="0"/>
                  <w:vAlign w:val="center"/>
                </w:tcPr>
                <w:p w14:paraId="0A5A5157">
                  <w:pPr>
                    <w:keepNext w:val="0"/>
                    <w:keepLines w:val="0"/>
                    <w:widowControl/>
                    <w:suppressLineNumbers w:val="0"/>
                    <w:autoSpaceDE w:val="0"/>
                    <w:autoSpaceDN w:val="0"/>
                    <w:adjustRightIn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1"/>
                      <w:sz w:val="21"/>
                      <w:szCs w:val="21"/>
                      <w:lang w:val="en-US" w:eastAsia="zh-CN" w:bidi="ar-SA"/>
                    </w:rPr>
                  </w:pPr>
                  <w:r>
                    <w:rPr>
                      <w:rFonts w:hint="eastAsia" w:cs="Times New Roman"/>
                      <w:color w:val="auto"/>
                      <w:kern w:val="0"/>
                      <w:sz w:val="21"/>
                      <w:szCs w:val="21"/>
                      <w:lang w:val="en-US" w:eastAsia="zh-CN" w:bidi="en-US"/>
                    </w:rPr>
                    <w:t>6.6</w:t>
                  </w:r>
                </w:p>
              </w:tc>
              <w:tc>
                <w:tcPr>
                  <w:tcW w:w="1144" w:type="dxa"/>
                  <w:noWrap w:val="0"/>
                  <w:vAlign w:val="center"/>
                </w:tcPr>
                <w:p w14:paraId="627BB1BA">
                  <w:pPr>
                    <w:keepNext w:val="0"/>
                    <w:keepLines w:val="0"/>
                    <w:widowControl/>
                    <w:suppressLineNumbers w:val="0"/>
                    <w:autoSpaceDE w:val="0"/>
                    <w:autoSpaceDN w:val="0"/>
                    <w:adjustRightIn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1"/>
                      <w:sz w:val="21"/>
                      <w:szCs w:val="21"/>
                      <w:lang w:val="en-US" w:eastAsia="zh-CN" w:bidi="ar-SA"/>
                    </w:rPr>
                  </w:pPr>
                  <w:r>
                    <w:rPr>
                      <w:rFonts w:hint="default" w:ascii="Times New Roman" w:hAnsi="Times New Roman" w:eastAsia="宋体" w:cs="Times New Roman"/>
                      <w:color w:val="auto"/>
                      <w:kern w:val="0"/>
                      <w:sz w:val="21"/>
                      <w:szCs w:val="21"/>
                      <w:lang w:val="en-US" w:eastAsia="zh-CN" w:bidi="en-US"/>
                    </w:rPr>
                    <w:t>60</w:t>
                  </w:r>
                </w:p>
              </w:tc>
              <w:tc>
                <w:tcPr>
                  <w:tcW w:w="1033" w:type="dxa"/>
                  <w:noWrap w:val="0"/>
                  <w:vAlign w:val="center"/>
                </w:tcPr>
                <w:p w14:paraId="23A080F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1"/>
                      <w:sz w:val="21"/>
                      <w:szCs w:val="21"/>
                      <w:lang w:val="en-US" w:eastAsia="zh-CN" w:bidi="ar-SA"/>
                    </w:rPr>
                  </w:pPr>
                  <w:r>
                    <w:rPr>
                      <w:rFonts w:hint="eastAsia" w:cs="Times New Roman"/>
                      <w:i w:val="0"/>
                      <w:iCs w:val="0"/>
                      <w:color w:val="000000"/>
                      <w:kern w:val="0"/>
                      <w:sz w:val="21"/>
                      <w:szCs w:val="21"/>
                      <w:u w:val="none"/>
                      <w:lang w:val="en-US" w:eastAsia="zh-CN" w:bidi="ar"/>
                    </w:rPr>
                    <w:t>11</w:t>
                  </w:r>
                </w:p>
              </w:tc>
              <w:tc>
                <w:tcPr>
                  <w:tcW w:w="1003" w:type="dxa"/>
                  <w:noWrap w:val="0"/>
                  <w:vAlign w:val="center"/>
                </w:tcPr>
                <w:p w14:paraId="1EF5CBA0">
                  <w:pPr>
                    <w:keepNext w:val="0"/>
                    <w:keepLines w:val="0"/>
                    <w:widowControl/>
                    <w:suppressLineNumbers w:val="0"/>
                    <w:autoSpaceDE w:val="0"/>
                    <w:autoSpaceDN w:val="0"/>
                    <w:adjustRightIn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bidi="en-US"/>
                    </w:rPr>
                    <w:t>达标</w:t>
                  </w:r>
                </w:p>
              </w:tc>
            </w:tr>
            <w:tr w14:paraId="3DACE0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64" w:type="dxa"/>
                  <w:noWrap w:val="0"/>
                  <w:vAlign w:val="center"/>
                </w:tcPr>
                <w:p w14:paraId="4536B655">
                  <w:pPr>
                    <w:keepNext w:val="0"/>
                    <w:keepLines w:val="0"/>
                    <w:widowControl/>
                    <w:suppressLineNumbers w:val="0"/>
                    <w:autoSpaceDE w:val="0"/>
                    <w:autoSpaceDN w:val="0"/>
                    <w:adjustRightIn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bidi="en-US"/>
                    </w:rPr>
                    <w:t>NO</w:t>
                  </w:r>
                  <w:r>
                    <w:rPr>
                      <w:rFonts w:hint="default" w:ascii="Times New Roman" w:hAnsi="Times New Roman" w:eastAsia="宋体" w:cs="Times New Roman"/>
                      <w:color w:val="auto"/>
                      <w:kern w:val="0"/>
                      <w:sz w:val="21"/>
                      <w:szCs w:val="21"/>
                      <w:vertAlign w:val="subscript"/>
                      <w:lang w:val="en-US" w:eastAsia="zh-CN" w:bidi="en-US"/>
                    </w:rPr>
                    <w:t>2</w:t>
                  </w:r>
                </w:p>
              </w:tc>
              <w:tc>
                <w:tcPr>
                  <w:tcW w:w="2789" w:type="dxa"/>
                  <w:noWrap w:val="0"/>
                  <w:vAlign w:val="center"/>
                </w:tcPr>
                <w:p w14:paraId="40813107">
                  <w:pPr>
                    <w:keepNext w:val="0"/>
                    <w:keepLines w:val="0"/>
                    <w:widowControl/>
                    <w:suppressLineNumbers w:val="0"/>
                    <w:autoSpaceDE w:val="0"/>
                    <w:autoSpaceDN w:val="0"/>
                    <w:adjustRightIn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0"/>
                      <w:sz w:val="21"/>
                      <w:szCs w:val="21"/>
                      <w:lang w:val="en-US" w:eastAsia="en-US" w:bidi="en-US"/>
                    </w:rPr>
                  </w:pPr>
                  <w:r>
                    <w:rPr>
                      <w:rFonts w:hint="default" w:ascii="Times New Roman" w:hAnsi="Times New Roman" w:eastAsia="宋体" w:cs="Times New Roman"/>
                      <w:color w:val="auto"/>
                      <w:kern w:val="0"/>
                      <w:sz w:val="21"/>
                      <w:szCs w:val="21"/>
                      <w:lang w:val="en-US" w:eastAsia="zh-CN" w:bidi="en-US"/>
                    </w:rPr>
                    <w:t>年平均质量浓度</w:t>
                  </w:r>
                </w:p>
              </w:tc>
              <w:tc>
                <w:tcPr>
                  <w:tcW w:w="1134" w:type="dxa"/>
                  <w:noWrap w:val="0"/>
                  <w:vAlign w:val="center"/>
                </w:tcPr>
                <w:p w14:paraId="1DB9166E">
                  <w:pPr>
                    <w:keepNext w:val="0"/>
                    <w:keepLines w:val="0"/>
                    <w:widowControl/>
                    <w:suppressLineNumbers w:val="0"/>
                    <w:autoSpaceDE w:val="0"/>
                    <w:autoSpaceDN w:val="0"/>
                    <w:adjustRightIn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1"/>
                      <w:sz w:val="21"/>
                      <w:szCs w:val="21"/>
                      <w:lang w:val="en-US" w:eastAsia="zh-CN" w:bidi="ar-SA"/>
                    </w:rPr>
                  </w:pPr>
                  <w:r>
                    <w:rPr>
                      <w:rFonts w:hint="eastAsia" w:cs="Times New Roman"/>
                      <w:color w:val="auto"/>
                      <w:kern w:val="0"/>
                      <w:sz w:val="21"/>
                      <w:szCs w:val="21"/>
                      <w:lang w:val="en-US" w:eastAsia="zh-CN" w:bidi="en-US"/>
                    </w:rPr>
                    <w:t>27.5</w:t>
                  </w:r>
                </w:p>
              </w:tc>
              <w:tc>
                <w:tcPr>
                  <w:tcW w:w="1144" w:type="dxa"/>
                  <w:noWrap w:val="0"/>
                  <w:vAlign w:val="center"/>
                </w:tcPr>
                <w:p w14:paraId="50149BA0">
                  <w:pPr>
                    <w:keepNext w:val="0"/>
                    <w:keepLines w:val="0"/>
                    <w:widowControl/>
                    <w:suppressLineNumbers w:val="0"/>
                    <w:autoSpaceDE w:val="0"/>
                    <w:autoSpaceDN w:val="0"/>
                    <w:adjustRightIn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1"/>
                      <w:sz w:val="21"/>
                      <w:szCs w:val="21"/>
                      <w:lang w:val="en-US" w:eastAsia="zh-CN" w:bidi="ar-SA"/>
                    </w:rPr>
                  </w:pPr>
                  <w:r>
                    <w:rPr>
                      <w:rFonts w:hint="default" w:ascii="Times New Roman" w:hAnsi="Times New Roman" w:eastAsia="宋体" w:cs="Times New Roman"/>
                      <w:color w:val="auto"/>
                      <w:kern w:val="0"/>
                      <w:sz w:val="21"/>
                      <w:szCs w:val="21"/>
                      <w:lang w:val="en-US" w:eastAsia="zh-CN" w:bidi="en-US"/>
                    </w:rPr>
                    <w:t>40</w:t>
                  </w:r>
                </w:p>
              </w:tc>
              <w:tc>
                <w:tcPr>
                  <w:tcW w:w="1033" w:type="dxa"/>
                  <w:noWrap w:val="0"/>
                  <w:vAlign w:val="center"/>
                </w:tcPr>
                <w:p w14:paraId="7352C9A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1"/>
                      <w:sz w:val="21"/>
                      <w:szCs w:val="21"/>
                      <w:lang w:val="en-US" w:eastAsia="zh-CN" w:bidi="ar-SA"/>
                    </w:rPr>
                  </w:pPr>
                  <w:r>
                    <w:rPr>
                      <w:rFonts w:hint="eastAsia" w:cs="Times New Roman"/>
                      <w:color w:val="auto"/>
                      <w:kern w:val="0"/>
                      <w:sz w:val="21"/>
                      <w:szCs w:val="21"/>
                      <w:lang w:val="en-US" w:eastAsia="zh-CN" w:bidi="en-US"/>
                    </w:rPr>
                    <w:t>68.75</w:t>
                  </w:r>
                </w:p>
              </w:tc>
              <w:tc>
                <w:tcPr>
                  <w:tcW w:w="1003" w:type="dxa"/>
                  <w:noWrap w:val="0"/>
                  <w:vAlign w:val="center"/>
                </w:tcPr>
                <w:p w14:paraId="375C0BF7">
                  <w:pPr>
                    <w:keepNext w:val="0"/>
                    <w:keepLines w:val="0"/>
                    <w:widowControl/>
                    <w:suppressLineNumbers w:val="0"/>
                    <w:autoSpaceDE w:val="0"/>
                    <w:autoSpaceDN w:val="0"/>
                    <w:adjustRightIn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bidi="en-US"/>
                    </w:rPr>
                    <w:t>达标</w:t>
                  </w:r>
                </w:p>
              </w:tc>
            </w:tr>
            <w:tr w14:paraId="5F0656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64" w:type="dxa"/>
                  <w:noWrap w:val="0"/>
                  <w:vAlign w:val="center"/>
                </w:tcPr>
                <w:p w14:paraId="07E25ABB">
                  <w:pPr>
                    <w:keepNext w:val="0"/>
                    <w:keepLines w:val="0"/>
                    <w:widowControl/>
                    <w:suppressLineNumbers w:val="0"/>
                    <w:autoSpaceDE w:val="0"/>
                    <w:autoSpaceDN w:val="0"/>
                    <w:adjustRightIn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bidi="en-US"/>
                    </w:rPr>
                    <w:t>CO-95per</w:t>
                  </w:r>
                </w:p>
              </w:tc>
              <w:tc>
                <w:tcPr>
                  <w:tcW w:w="2789" w:type="dxa"/>
                  <w:noWrap w:val="0"/>
                  <w:vAlign w:val="center"/>
                </w:tcPr>
                <w:p w14:paraId="55F937B9">
                  <w:pPr>
                    <w:keepNext w:val="0"/>
                    <w:keepLines w:val="0"/>
                    <w:widowControl/>
                    <w:suppressLineNumbers w:val="0"/>
                    <w:autoSpaceDE w:val="0"/>
                    <w:autoSpaceDN w:val="0"/>
                    <w:adjustRightIn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0"/>
                      <w:sz w:val="21"/>
                      <w:szCs w:val="21"/>
                      <w:lang w:val="en-US" w:eastAsia="zh-CN" w:bidi="en-US"/>
                    </w:rPr>
                  </w:pPr>
                  <w:r>
                    <w:rPr>
                      <w:rFonts w:hint="default" w:ascii="Times New Roman" w:hAnsi="Times New Roman" w:eastAsia="宋体" w:cs="Times New Roman"/>
                      <w:color w:val="auto"/>
                      <w:kern w:val="0"/>
                      <w:sz w:val="21"/>
                      <w:szCs w:val="21"/>
                      <w:lang w:val="en-US" w:eastAsia="zh-CN" w:bidi="en-US"/>
                    </w:rPr>
                    <w:t>24小时平均第95百分位数</w:t>
                  </w:r>
                </w:p>
              </w:tc>
              <w:tc>
                <w:tcPr>
                  <w:tcW w:w="1134" w:type="dxa"/>
                  <w:noWrap w:val="0"/>
                  <w:vAlign w:val="center"/>
                </w:tcPr>
                <w:p w14:paraId="58120172">
                  <w:pPr>
                    <w:keepNext w:val="0"/>
                    <w:keepLines w:val="0"/>
                    <w:widowControl/>
                    <w:suppressLineNumbers w:val="0"/>
                    <w:autoSpaceDE w:val="0"/>
                    <w:autoSpaceDN w:val="0"/>
                    <w:adjustRightIn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1"/>
                      <w:sz w:val="21"/>
                      <w:szCs w:val="21"/>
                      <w:lang w:val="en-US" w:eastAsia="zh-CN" w:bidi="ar-SA"/>
                    </w:rPr>
                  </w:pPr>
                  <w:r>
                    <w:rPr>
                      <w:rFonts w:hint="default" w:ascii="Times New Roman" w:hAnsi="Times New Roman" w:eastAsia="宋体" w:cs="Times New Roman"/>
                      <w:color w:val="auto"/>
                      <w:kern w:val="0"/>
                      <w:sz w:val="21"/>
                      <w:szCs w:val="21"/>
                      <w:lang w:val="en-US" w:eastAsia="zh-CN" w:bidi="en-US"/>
                    </w:rPr>
                    <w:t>1</w:t>
                  </w:r>
                  <w:r>
                    <w:rPr>
                      <w:rFonts w:hint="eastAsia" w:cs="Times New Roman"/>
                      <w:color w:val="auto"/>
                      <w:kern w:val="0"/>
                      <w:sz w:val="21"/>
                      <w:szCs w:val="21"/>
                      <w:lang w:val="en-US" w:eastAsia="zh-CN" w:bidi="en-US"/>
                    </w:rPr>
                    <w:t>000</w:t>
                  </w:r>
                </w:p>
              </w:tc>
              <w:tc>
                <w:tcPr>
                  <w:tcW w:w="1144" w:type="dxa"/>
                  <w:noWrap w:val="0"/>
                  <w:vAlign w:val="center"/>
                </w:tcPr>
                <w:p w14:paraId="435891C3">
                  <w:pPr>
                    <w:keepNext w:val="0"/>
                    <w:keepLines w:val="0"/>
                    <w:widowControl/>
                    <w:suppressLineNumbers w:val="0"/>
                    <w:autoSpaceDE w:val="0"/>
                    <w:autoSpaceDN w:val="0"/>
                    <w:adjustRightIn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1"/>
                      <w:sz w:val="21"/>
                      <w:szCs w:val="21"/>
                      <w:lang w:val="en-US" w:eastAsia="zh-CN" w:bidi="ar-SA"/>
                    </w:rPr>
                  </w:pPr>
                  <w:r>
                    <w:rPr>
                      <w:rFonts w:hint="default" w:ascii="Times New Roman" w:hAnsi="Times New Roman" w:eastAsia="宋体" w:cs="Times New Roman"/>
                      <w:color w:val="auto"/>
                      <w:kern w:val="0"/>
                      <w:sz w:val="21"/>
                      <w:szCs w:val="21"/>
                      <w:lang w:val="en-US" w:eastAsia="zh-CN" w:bidi="en-US"/>
                    </w:rPr>
                    <w:t>4000</w:t>
                  </w:r>
                </w:p>
              </w:tc>
              <w:tc>
                <w:tcPr>
                  <w:tcW w:w="1033" w:type="dxa"/>
                  <w:noWrap w:val="0"/>
                  <w:vAlign w:val="center"/>
                </w:tcPr>
                <w:p w14:paraId="31249E8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1"/>
                      <w:sz w:val="21"/>
                      <w:szCs w:val="21"/>
                      <w:lang w:val="en-US" w:eastAsia="zh-CN" w:bidi="ar-SA"/>
                    </w:rPr>
                  </w:pPr>
                  <w:r>
                    <w:rPr>
                      <w:rFonts w:hint="eastAsia" w:cs="Times New Roman"/>
                      <w:i w:val="0"/>
                      <w:iCs w:val="0"/>
                      <w:color w:val="000000"/>
                      <w:kern w:val="0"/>
                      <w:sz w:val="21"/>
                      <w:szCs w:val="21"/>
                      <w:u w:val="none"/>
                      <w:lang w:val="en-US" w:eastAsia="zh-CN" w:bidi="ar"/>
                    </w:rPr>
                    <w:t>25</w:t>
                  </w:r>
                </w:p>
              </w:tc>
              <w:tc>
                <w:tcPr>
                  <w:tcW w:w="1003" w:type="dxa"/>
                  <w:noWrap w:val="0"/>
                  <w:vAlign w:val="center"/>
                </w:tcPr>
                <w:p w14:paraId="620DDD77">
                  <w:pPr>
                    <w:keepNext w:val="0"/>
                    <w:keepLines w:val="0"/>
                    <w:widowControl/>
                    <w:suppressLineNumbers w:val="0"/>
                    <w:autoSpaceDE w:val="0"/>
                    <w:autoSpaceDN w:val="0"/>
                    <w:adjustRightIn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1"/>
                      <w:sz w:val="21"/>
                      <w:szCs w:val="21"/>
                      <w:lang w:val="en-US" w:eastAsia="zh-CN" w:bidi="ar-SA"/>
                    </w:rPr>
                  </w:pPr>
                  <w:r>
                    <w:rPr>
                      <w:rFonts w:hint="default" w:ascii="Times New Roman" w:hAnsi="Times New Roman" w:eastAsia="宋体" w:cs="Times New Roman"/>
                      <w:color w:val="auto"/>
                      <w:kern w:val="0"/>
                      <w:sz w:val="21"/>
                      <w:szCs w:val="21"/>
                      <w:lang w:val="en-US" w:eastAsia="zh-CN" w:bidi="en-US"/>
                    </w:rPr>
                    <w:t>达标</w:t>
                  </w:r>
                </w:p>
              </w:tc>
            </w:tr>
            <w:tr w14:paraId="7973A8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1264" w:type="dxa"/>
                  <w:noWrap w:val="0"/>
                  <w:vAlign w:val="center"/>
                </w:tcPr>
                <w:p w14:paraId="541C3B46">
                  <w:pPr>
                    <w:keepNext w:val="0"/>
                    <w:keepLines w:val="0"/>
                    <w:widowControl/>
                    <w:suppressLineNumbers w:val="0"/>
                    <w:autoSpaceDE w:val="0"/>
                    <w:autoSpaceDN w:val="0"/>
                    <w:adjustRightIn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bidi="en-US"/>
                    </w:rPr>
                    <w:t>O</w:t>
                  </w:r>
                  <w:r>
                    <w:rPr>
                      <w:rFonts w:hint="default" w:ascii="Times New Roman" w:hAnsi="Times New Roman" w:eastAsia="宋体" w:cs="Times New Roman"/>
                      <w:color w:val="auto"/>
                      <w:kern w:val="0"/>
                      <w:sz w:val="21"/>
                      <w:szCs w:val="21"/>
                      <w:vertAlign w:val="subscript"/>
                      <w:lang w:val="en-US" w:eastAsia="zh-CN" w:bidi="en-US"/>
                    </w:rPr>
                    <w:t>3</w:t>
                  </w:r>
                  <w:r>
                    <w:rPr>
                      <w:rFonts w:hint="default" w:ascii="Times New Roman" w:hAnsi="Times New Roman" w:eastAsia="宋体" w:cs="Times New Roman"/>
                      <w:color w:val="auto"/>
                      <w:kern w:val="0"/>
                      <w:sz w:val="21"/>
                      <w:szCs w:val="21"/>
                      <w:lang w:val="en-US" w:eastAsia="zh-CN" w:bidi="en-US"/>
                    </w:rPr>
                    <w:t>-8h-90per</w:t>
                  </w:r>
                </w:p>
              </w:tc>
              <w:tc>
                <w:tcPr>
                  <w:tcW w:w="2789" w:type="dxa"/>
                  <w:noWrap w:val="0"/>
                  <w:vAlign w:val="center"/>
                </w:tcPr>
                <w:p w14:paraId="484ADEAD">
                  <w:pPr>
                    <w:keepNext w:val="0"/>
                    <w:keepLines w:val="0"/>
                    <w:widowControl/>
                    <w:suppressLineNumbers w:val="0"/>
                    <w:autoSpaceDE w:val="0"/>
                    <w:autoSpaceDN w:val="0"/>
                    <w:adjustRightIn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0"/>
                      <w:sz w:val="21"/>
                      <w:szCs w:val="21"/>
                      <w:lang w:val="en-US" w:eastAsia="zh-CN" w:bidi="en-US"/>
                    </w:rPr>
                  </w:pPr>
                  <w:r>
                    <w:rPr>
                      <w:rFonts w:hint="default" w:ascii="Times New Roman" w:hAnsi="Times New Roman" w:eastAsia="宋体" w:cs="Times New Roman"/>
                      <w:color w:val="auto"/>
                      <w:kern w:val="0"/>
                      <w:sz w:val="21"/>
                      <w:szCs w:val="21"/>
                      <w:lang w:val="en-US" w:eastAsia="zh-CN" w:bidi="en-US"/>
                    </w:rPr>
                    <w:t>日最大8小时滑动平均值的第90百分位数</w:t>
                  </w:r>
                </w:p>
              </w:tc>
              <w:tc>
                <w:tcPr>
                  <w:tcW w:w="1134" w:type="dxa"/>
                  <w:noWrap w:val="0"/>
                  <w:vAlign w:val="center"/>
                </w:tcPr>
                <w:p w14:paraId="721517F9">
                  <w:pPr>
                    <w:keepNext w:val="0"/>
                    <w:keepLines w:val="0"/>
                    <w:widowControl/>
                    <w:suppressLineNumbers w:val="0"/>
                    <w:autoSpaceDE w:val="0"/>
                    <w:autoSpaceDN w:val="0"/>
                    <w:adjustRightIn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1"/>
                      <w:sz w:val="21"/>
                      <w:szCs w:val="21"/>
                      <w:lang w:val="en-US" w:eastAsia="zh-CN" w:bidi="ar-SA"/>
                    </w:rPr>
                  </w:pPr>
                  <w:r>
                    <w:rPr>
                      <w:rFonts w:hint="default" w:ascii="Times New Roman" w:hAnsi="Times New Roman" w:eastAsia="宋体" w:cs="Times New Roman"/>
                      <w:color w:val="auto"/>
                      <w:kern w:val="0"/>
                      <w:sz w:val="21"/>
                      <w:szCs w:val="21"/>
                      <w:lang w:val="en-US" w:eastAsia="zh-CN" w:bidi="en-US"/>
                    </w:rPr>
                    <w:t>179</w:t>
                  </w:r>
                </w:p>
              </w:tc>
              <w:tc>
                <w:tcPr>
                  <w:tcW w:w="1144" w:type="dxa"/>
                  <w:noWrap w:val="0"/>
                  <w:vAlign w:val="center"/>
                </w:tcPr>
                <w:p w14:paraId="2691531B">
                  <w:pPr>
                    <w:keepNext w:val="0"/>
                    <w:keepLines w:val="0"/>
                    <w:widowControl/>
                    <w:suppressLineNumbers w:val="0"/>
                    <w:autoSpaceDE w:val="0"/>
                    <w:autoSpaceDN w:val="0"/>
                    <w:adjustRightIn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1"/>
                      <w:sz w:val="21"/>
                      <w:szCs w:val="21"/>
                      <w:lang w:val="en-US" w:eastAsia="zh-CN" w:bidi="ar-SA"/>
                    </w:rPr>
                  </w:pPr>
                  <w:r>
                    <w:rPr>
                      <w:rFonts w:hint="default" w:ascii="Times New Roman" w:hAnsi="Times New Roman" w:eastAsia="宋体" w:cs="Times New Roman"/>
                      <w:color w:val="auto"/>
                      <w:kern w:val="0"/>
                      <w:sz w:val="21"/>
                      <w:szCs w:val="21"/>
                      <w:lang w:val="en-US" w:eastAsia="zh-CN" w:bidi="en-US"/>
                    </w:rPr>
                    <w:t>160</w:t>
                  </w:r>
                </w:p>
              </w:tc>
              <w:tc>
                <w:tcPr>
                  <w:tcW w:w="1033" w:type="dxa"/>
                  <w:noWrap w:val="0"/>
                  <w:vAlign w:val="center"/>
                </w:tcPr>
                <w:p w14:paraId="779B2FA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1"/>
                      <w:sz w:val="21"/>
                      <w:szCs w:val="21"/>
                      <w:lang w:eastAsia="zh-CN" w:bidi="ar-SA"/>
                    </w:rPr>
                  </w:pPr>
                  <w:r>
                    <w:rPr>
                      <w:rFonts w:hint="default" w:ascii="Times New Roman" w:hAnsi="Times New Roman" w:eastAsia="宋体" w:cs="Times New Roman"/>
                      <w:i w:val="0"/>
                      <w:iCs w:val="0"/>
                      <w:color w:val="000000"/>
                      <w:kern w:val="0"/>
                      <w:sz w:val="21"/>
                      <w:szCs w:val="21"/>
                      <w:u w:val="none"/>
                      <w:lang w:val="en-US" w:eastAsia="zh-CN" w:bidi="ar"/>
                    </w:rPr>
                    <w:t>111.88</w:t>
                  </w:r>
                </w:p>
              </w:tc>
              <w:tc>
                <w:tcPr>
                  <w:tcW w:w="1003" w:type="dxa"/>
                  <w:noWrap w:val="0"/>
                  <w:vAlign w:val="center"/>
                </w:tcPr>
                <w:p w14:paraId="298EFF2B">
                  <w:pPr>
                    <w:keepNext w:val="0"/>
                    <w:keepLines w:val="0"/>
                    <w:widowControl/>
                    <w:suppressLineNumbers w:val="0"/>
                    <w:autoSpaceDE w:val="0"/>
                    <w:autoSpaceDN w:val="0"/>
                    <w:adjustRightIn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1"/>
                      <w:sz w:val="21"/>
                      <w:szCs w:val="21"/>
                      <w:lang w:val="en-US" w:eastAsia="zh-CN" w:bidi="ar-SA"/>
                    </w:rPr>
                  </w:pPr>
                  <w:r>
                    <w:rPr>
                      <w:rFonts w:hint="default" w:ascii="Times New Roman" w:hAnsi="Times New Roman" w:eastAsia="宋体" w:cs="Times New Roman"/>
                      <w:color w:val="auto"/>
                      <w:kern w:val="0"/>
                      <w:sz w:val="21"/>
                      <w:szCs w:val="21"/>
                      <w:lang w:val="en-US" w:eastAsia="zh-CN" w:bidi="en-US"/>
                    </w:rPr>
                    <w:t>不达标</w:t>
                  </w:r>
                </w:p>
              </w:tc>
            </w:tr>
          </w:tbl>
          <w:p w14:paraId="4E47C80C">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right="0" w:firstLine="480" w:firstLineChars="200"/>
              <w:textAlignment w:val="auto"/>
              <w:rPr>
                <w:rFonts w:hint="default" w:ascii="Times New Roman" w:hAnsi="Times New Roman" w:cs="Times New Roman"/>
                <w:bCs/>
                <w:sz w:val="24"/>
                <w:szCs w:val="24"/>
              </w:rPr>
            </w:pPr>
            <w:r>
              <w:rPr>
                <w:rFonts w:hint="eastAsia" w:ascii="Times New Roman" w:hAnsi="Times New Roman" w:eastAsia="宋体" w:cs="Times New Roman"/>
                <w:snapToGrid w:val="0"/>
                <w:color w:val="auto"/>
                <w:sz w:val="24"/>
                <w:szCs w:val="24"/>
              </w:rPr>
              <w:t>上述数据表明，202</w:t>
            </w:r>
            <w:r>
              <w:rPr>
                <w:rFonts w:hint="eastAsia" w:cs="Times New Roman"/>
                <w:snapToGrid w:val="0"/>
                <w:color w:val="auto"/>
                <w:sz w:val="24"/>
                <w:szCs w:val="24"/>
                <w:lang w:val="en-US" w:eastAsia="zh-CN"/>
              </w:rPr>
              <w:t>4</w:t>
            </w:r>
            <w:r>
              <w:rPr>
                <w:rFonts w:hint="eastAsia" w:ascii="Times New Roman" w:hAnsi="Times New Roman" w:eastAsia="宋体" w:cs="Times New Roman"/>
                <w:snapToGrid w:val="0"/>
                <w:color w:val="auto"/>
                <w:sz w:val="24"/>
                <w:szCs w:val="24"/>
              </w:rPr>
              <w:t>年沧州市环境空气中，SO</w:t>
            </w:r>
            <w:r>
              <w:rPr>
                <w:rFonts w:hint="eastAsia" w:ascii="Times New Roman" w:hAnsi="Times New Roman" w:eastAsia="Times New Roman" w:cs="Times New Roman"/>
                <w:snapToGrid w:val="0"/>
                <w:color w:val="auto"/>
                <w:sz w:val="24"/>
                <w:szCs w:val="24"/>
                <w:vertAlign w:val="subscript"/>
              </w:rPr>
              <w:t>2</w:t>
            </w:r>
            <w:r>
              <w:rPr>
                <w:rFonts w:hint="eastAsia" w:ascii="Times New Roman" w:hAnsi="Times New Roman" w:eastAsia="宋体" w:cs="Times New Roman"/>
                <w:snapToGrid w:val="0"/>
                <w:color w:val="auto"/>
                <w:sz w:val="24"/>
                <w:szCs w:val="24"/>
              </w:rPr>
              <w:t>、NO</w:t>
            </w:r>
            <w:r>
              <w:rPr>
                <w:rFonts w:hint="eastAsia" w:ascii="Times New Roman" w:hAnsi="Times New Roman" w:eastAsia="Times New Roman" w:cs="Times New Roman"/>
                <w:snapToGrid w:val="0"/>
                <w:color w:val="auto"/>
                <w:sz w:val="24"/>
                <w:szCs w:val="24"/>
                <w:vertAlign w:val="subscript"/>
              </w:rPr>
              <w:t>2</w:t>
            </w:r>
            <w:r>
              <w:rPr>
                <w:rFonts w:hint="eastAsia" w:ascii="Times New Roman" w:hAnsi="Times New Roman" w:eastAsia="宋体" w:cs="Times New Roman"/>
                <w:snapToGrid w:val="0"/>
                <w:color w:val="auto"/>
                <w:sz w:val="24"/>
                <w:szCs w:val="24"/>
              </w:rPr>
              <w:t>、</w:t>
            </w:r>
            <w:bookmarkStart w:id="9" w:name="_GoBack"/>
            <w:bookmarkEnd w:id="9"/>
            <w:r>
              <w:rPr>
                <w:rFonts w:hint="eastAsia" w:ascii="Times New Roman" w:hAnsi="Times New Roman" w:eastAsia="Times New Roman" w:cs="Times New Roman"/>
                <w:snapToGrid w:val="0"/>
                <w:color w:val="auto"/>
                <w:sz w:val="24"/>
                <w:szCs w:val="24"/>
              </w:rPr>
              <w:t>CO</w:t>
            </w:r>
            <w:r>
              <w:rPr>
                <w:rFonts w:hint="eastAsia" w:ascii="Times New Roman" w:hAnsi="Times New Roman" w:eastAsia="宋体" w:cs="Times New Roman"/>
                <w:snapToGrid w:val="0"/>
                <w:color w:val="auto"/>
                <w:sz w:val="24"/>
                <w:szCs w:val="24"/>
              </w:rPr>
              <w:t>满足</w:t>
            </w:r>
            <w:r>
              <w:rPr>
                <w:rFonts w:hint="eastAsia" w:ascii="Times New Roman" w:hAnsi="Times New Roman" w:eastAsia="宋体" w:cs="Times New Roman"/>
                <w:snapToGrid w:val="0"/>
                <w:color w:val="auto"/>
                <w:sz w:val="24"/>
                <w:szCs w:val="24"/>
                <w:lang w:eastAsia="zh-CN"/>
              </w:rPr>
              <w:t>《环境空气质量标准》（GB3095-20</w:t>
            </w:r>
            <w:r>
              <w:rPr>
                <w:rFonts w:hint="eastAsia" w:cs="Times New Roman"/>
                <w:snapToGrid w:val="0"/>
                <w:color w:val="auto"/>
                <w:sz w:val="24"/>
                <w:szCs w:val="24"/>
                <w:lang w:val="en-US" w:eastAsia="zh-CN"/>
              </w:rPr>
              <w:t>26</w:t>
            </w:r>
            <w:r>
              <w:rPr>
                <w:rFonts w:hint="eastAsia" w:ascii="Times New Roman" w:hAnsi="Times New Roman" w:eastAsia="宋体" w:cs="Times New Roman"/>
                <w:snapToGrid w:val="0"/>
                <w:color w:val="auto"/>
                <w:sz w:val="24"/>
                <w:szCs w:val="24"/>
                <w:lang w:eastAsia="zh-CN"/>
              </w:rPr>
              <w:t>）二级标准</w:t>
            </w:r>
            <w:r>
              <w:rPr>
                <w:rFonts w:hint="eastAsia" w:ascii="Times New Roman" w:hAnsi="Times New Roman" w:eastAsia="宋体" w:cs="Times New Roman"/>
                <w:snapToGrid w:val="0"/>
                <w:color w:val="auto"/>
                <w:sz w:val="24"/>
                <w:szCs w:val="24"/>
              </w:rPr>
              <w:t>，PM</w:t>
            </w:r>
            <w:r>
              <w:rPr>
                <w:rFonts w:hint="eastAsia" w:ascii="Times New Roman" w:hAnsi="Times New Roman" w:eastAsia="宋体" w:cs="Times New Roman"/>
                <w:snapToGrid w:val="0"/>
                <w:color w:val="auto"/>
                <w:sz w:val="24"/>
                <w:szCs w:val="24"/>
                <w:vertAlign w:val="subscript"/>
              </w:rPr>
              <w:t>10</w:t>
            </w:r>
            <w:r>
              <w:rPr>
                <w:rFonts w:hint="eastAsia" w:ascii="Times New Roman" w:hAnsi="Times New Roman" w:eastAsia="宋体" w:cs="Times New Roman"/>
                <w:snapToGrid w:val="0"/>
                <w:color w:val="auto"/>
                <w:sz w:val="24"/>
                <w:szCs w:val="24"/>
              </w:rPr>
              <w:t>、PM</w:t>
            </w:r>
            <w:r>
              <w:rPr>
                <w:rFonts w:hint="eastAsia" w:ascii="Times New Roman" w:hAnsi="Times New Roman" w:eastAsia="Times New Roman" w:cs="Times New Roman"/>
                <w:snapToGrid w:val="0"/>
                <w:color w:val="auto"/>
                <w:sz w:val="24"/>
                <w:szCs w:val="24"/>
                <w:vertAlign w:val="subscript"/>
              </w:rPr>
              <w:t>2.5</w:t>
            </w:r>
            <w:r>
              <w:rPr>
                <w:rFonts w:hint="eastAsia" w:ascii="Times New Roman" w:hAnsi="Times New Roman" w:eastAsia="宋体" w:cs="Times New Roman"/>
                <w:snapToGrid w:val="0"/>
                <w:color w:val="auto"/>
                <w:sz w:val="24"/>
                <w:szCs w:val="24"/>
              </w:rPr>
              <w:t>、O</w:t>
            </w:r>
            <w:r>
              <w:rPr>
                <w:rFonts w:hint="eastAsia" w:ascii="Times New Roman" w:hAnsi="Times New Roman" w:eastAsia="Times New Roman" w:cs="Times New Roman"/>
                <w:snapToGrid w:val="0"/>
                <w:color w:val="auto"/>
                <w:sz w:val="24"/>
                <w:szCs w:val="24"/>
                <w:vertAlign w:val="subscript"/>
              </w:rPr>
              <w:t>3</w:t>
            </w:r>
            <w:r>
              <w:rPr>
                <w:rFonts w:hint="eastAsia" w:ascii="Times New Roman" w:hAnsi="Times New Roman" w:eastAsia="宋体" w:cs="Times New Roman"/>
                <w:snapToGrid w:val="0"/>
                <w:color w:val="auto"/>
                <w:sz w:val="24"/>
                <w:szCs w:val="24"/>
              </w:rPr>
              <w:t>-8h存在不达标现象。</w:t>
            </w:r>
            <w:r>
              <w:rPr>
                <w:rFonts w:hint="eastAsia" w:ascii="Times New Roman" w:hAnsi="Times New Roman" w:eastAsia="宋体" w:cs="Times New Roman"/>
                <w:color w:val="auto"/>
                <w:sz w:val="24"/>
                <w:szCs w:val="24"/>
                <w:lang w:eastAsia="zh-CN"/>
              </w:rPr>
              <w:t>超标原因主要是由于工业生产、燃煤、机动车、建筑施工</w:t>
            </w:r>
            <w:r>
              <w:rPr>
                <w:rFonts w:hint="eastAsia" w:ascii="Times New Roman" w:hAnsi="Times New Roman" w:eastAsia="宋体" w:cs="Times New Roman"/>
                <w:color w:val="auto"/>
                <w:sz w:val="24"/>
                <w:szCs w:val="24"/>
                <w:lang w:val="en-US" w:eastAsia="zh-CN"/>
              </w:rPr>
              <w:t>场地</w:t>
            </w:r>
            <w:r>
              <w:rPr>
                <w:rFonts w:hint="eastAsia" w:ascii="Times New Roman" w:hAnsi="Times New Roman" w:eastAsia="宋体" w:cs="Times New Roman"/>
                <w:color w:val="auto"/>
                <w:sz w:val="24"/>
                <w:szCs w:val="24"/>
                <w:lang w:eastAsia="zh-CN"/>
              </w:rPr>
              <w:t>扬尘等污染及气象因素的影响，该地区环境空气质量总体一般，项目所在区域为不达标区</w:t>
            </w:r>
            <w:r>
              <w:rPr>
                <w:rFonts w:hint="default" w:ascii="Times New Roman" w:hAnsi="Times New Roman" w:cs="Times New Roman"/>
                <w:bCs/>
                <w:sz w:val="24"/>
                <w:szCs w:val="24"/>
              </w:rPr>
              <w:t>。</w:t>
            </w:r>
          </w:p>
          <w:p w14:paraId="7FED95BA">
            <w:pPr>
              <w:keepNext w:val="0"/>
              <w:keepLines w:val="0"/>
              <w:numPr>
                <w:ilvl w:val="0"/>
                <w:numId w:val="0"/>
              </w:numPr>
              <w:suppressLineNumbers w:val="0"/>
              <w:adjustRightInd w:val="0"/>
              <w:snapToGrid w:val="0"/>
              <w:spacing w:before="0" w:beforeAutospacing="0" w:after="0" w:afterAutospacing="0" w:line="360" w:lineRule="auto"/>
              <w:ind w:left="0" w:right="0" w:firstLine="480" w:firstLineChars="200"/>
              <w:rPr>
                <w:rFonts w:hint="eastAsia" w:ascii="Times New Roman" w:hAnsi="Times New Roman" w:eastAsia="宋体" w:cs="Times New Roman"/>
                <w:snapToGrid w:val="0"/>
                <w:color w:val="auto"/>
                <w:sz w:val="24"/>
                <w:szCs w:val="24"/>
                <w:lang w:val="en-US" w:eastAsia="zh-CN"/>
              </w:rPr>
            </w:pPr>
            <w:r>
              <w:rPr>
                <w:rFonts w:hint="eastAsia" w:ascii="Times New Roman" w:hAnsi="Times New Roman" w:eastAsia="宋体" w:cs="Times New Roman"/>
                <w:snapToGrid w:val="0"/>
                <w:color w:val="auto"/>
                <w:sz w:val="24"/>
                <w:szCs w:val="24"/>
                <w:lang w:val="en-US" w:eastAsia="zh-CN"/>
              </w:rPr>
              <w:t>根据关于印发《深入打好重污染天气消除、臭氧污染防治和柴油货车污染治理攻坚战行动方案》的通知（环大气[2022]68号），</w:t>
            </w:r>
            <w:r>
              <w:rPr>
                <w:rFonts w:hint="eastAsia" w:cs="Times New Roman"/>
                <w:snapToGrid w:val="0"/>
                <w:color w:val="auto"/>
                <w:sz w:val="24"/>
                <w:szCs w:val="24"/>
                <w:lang w:val="en-US" w:eastAsia="zh-CN"/>
              </w:rPr>
              <w:t>临港经济开发区</w:t>
            </w:r>
            <w:r>
              <w:rPr>
                <w:rFonts w:hint="eastAsia" w:ascii="Times New Roman" w:hAnsi="Times New Roman" w:eastAsia="宋体" w:cs="Times New Roman"/>
                <w:snapToGrid w:val="0"/>
                <w:color w:val="auto"/>
                <w:sz w:val="24"/>
                <w:szCs w:val="24"/>
                <w:lang w:val="en-US" w:eastAsia="zh-CN"/>
              </w:rPr>
              <w:t>执行重污染天气消除攻坚行动方案、臭氧污染防治攻坚行动方案、柴油货车污染治理攻坚行动方案，区域环境质量正逐步改善。</w:t>
            </w:r>
          </w:p>
          <w:p w14:paraId="6491212B">
            <w:pPr>
              <w:keepNext w:val="0"/>
              <w:keepLines w:val="0"/>
              <w:numPr>
                <w:ilvl w:val="0"/>
                <w:numId w:val="5"/>
              </w:numPr>
              <w:suppressLineNumbers w:val="0"/>
              <w:adjustRightInd w:val="0"/>
              <w:snapToGrid w:val="0"/>
              <w:spacing w:before="0" w:beforeAutospacing="0" w:after="0" w:afterAutospacing="0" w:line="360" w:lineRule="auto"/>
              <w:ind w:left="0" w:right="0" w:firstLine="480" w:firstLineChars="200"/>
              <w:rPr>
                <w:rFonts w:hint="eastAsia" w:ascii="Times New Roman" w:hAnsi="Times New Roman" w:eastAsia="宋体" w:cs="Times New Roman"/>
                <w:snapToGrid w:val="0"/>
                <w:color w:val="auto"/>
                <w:sz w:val="24"/>
                <w:szCs w:val="24"/>
                <w:lang w:val="en-US" w:eastAsia="zh-CN"/>
              </w:rPr>
            </w:pPr>
            <w:r>
              <w:rPr>
                <w:rFonts w:hint="eastAsia" w:ascii="Times New Roman" w:hAnsi="Times New Roman" w:eastAsia="宋体" w:cs="Times New Roman"/>
                <w:snapToGrid w:val="0"/>
                <w:color w:val="auto"/>
                <w:sz w:val="24"/>
                <w:szCs w:val="24"/>
                <w:lang w:val="en-US" w:eastAsia="zh-CN"/>
              </w:rPr>
              <w:t>特征因子</w:t>
            </w:r>
          </w:p>
          <w:p w14:paraId="32564A19">
            <w:pPr>
              <w:keepNext w:val="0"/>
              <w:keepLines w:val="0"/>
              <w:suppressLineNumbers w:val="0"/>
              <w:adjustRightInd w:val="0"/>
              <w:snapToGrid w:val="0"/>
              <w:spacing w:before="0" w:beforeAutospacing="0" w:after="0" w:afterAutospacing="0" w:line="360" w:lineRule="auto"/>
              <w:ind w:left="0" w:right="0" w:firstLine="480" w:firstLineChars="200"/>
              <w:rPr>
                <w:rFonts w:hint="eastAsia" w:ascii="Times New Roman" w:hAnsi="Times New Roman" w:eastAsia="宋体" w:cs="Times New Roman"/>
                <w:snapToGrid w:val="0"/>
                <w:color w:val="auto"/>
                <w:sz w:val="24"/>
                <w:szCs w:val="24"/>
                <w:lang w:eastAsia="zh-CN"/>
              </w:rPr>
            </w:pPr>
            <w:r>
              <w:rPr>
                <w:rFonts w:hint="eastAsia" w:ascii="Times New Roman" w:hAnsi="Times New Roman" w:eastAsia="宋体" w:cs="Times New Roman"/>
                <w:snapToGrid w:val="0"/>
                <w:color w:val="auto"/>
                <w:sz w:val="24"/>
                <w:szCs w:val="24"/>
                <w:lang w:val="en-US" w:eastAsia="zh-CN"/>
              </w:rPr>
              <w:t>本项目</w:t>
            </w:r>
            <w:r>
              <w:rPr>
                <w:rFonts w:hint="default" w:ascii="Times New Roman" w:hAnsi="Times New Roman" w:eastAsia="宋体" w:cs="Times New Roman"/>
                <w:snapToGrid w:val="0"/>
                <w:color w:val="auto"/>
                <w:sz w:val="24"/>
                <w:szCs w:val="24"/>
              </w:rPr>
              <w:t>特征污染物</w:t>
            </w:r>
            <w:r>
              <w:rPr>
                <w:rFonts w:hint="eastAsia" w:ascii="Times New Roman" w:hAnsi="Times New Roman" w:eastAsia="宋体" w:cs="Times New Roman"/>
                <w:snapToGrid w:val="0"/>
                <w:color w:val="auto"/>
                <w:sz w:val="24"/>
                <w:szCs w:val="24"/>
                <w:lang w:val="en-US" w:eastAsia="zh-CN"/>
              </w:rPr>
              <w:t>为非甲烷总烃。非甲烷总烃环境质量现状数据引用《沧州临港经济技术开发区环境空气质量现状监测（西区）检测报告》，</w:t>
            </w:r>
            <w:r>
              <w:rPr>
                <w:rFonts w:hint="eastAsia" w:ascii="Times New Roman" w:hAnsi="Times New Roman" w:eastAsia="宋体" w:cs="Times New Roman"/>
                <w:snapToGrid w:val="0"/>
                <w:color w:val="auto"/>
                <w:sz w:val="24"/>
                <w:szCs w:val="24"/>
                <w:lang w:eastAsia="zh-CN"/>
              </w:rPr>
              <w:t>报告编号：</w:t>
            </w:r>
            <w:r>
              <w:rPr>
                <w:rFonts w:hint="eastAsia" w:ascii="Times New Roman" w:hAnsi="Times New Roman" w:eastAsia="宋体" w:cs="Times New Roman"/>
                <w:snapToGrid w:val="0"/>
                <w:color w:val="auto"/>
                <w:sz w:val="24"/>
                <w:szCs w:val="24"/>
                <w:lang w:val="en-US" w:eastAsia="zh-CN"/>
              </w:rPr>
              <w:t>ZJC/HP202302004号</w:t>
            </w:r>
            <w:r>
              <w:rPr>
                <w:rFonts w:hint="eastAsia" w:ascii="Times New Roman" w:hAnsi="Times New Roman" w:eastAsia="宋体" w:cs="Times New Roman"/>
                <w:snapToGrid w:val="0"/>
                <w:color w:val="auto"/>
                <w:sz w:val="24"/>
                <w:szCs w:val="24"/>
                <w:lang w:eastAsia="zh-CN"/>
              </w:rPr>
              <w:t>，监测点位为</w:t>
            </w:r>
            <w:r>
              <w:rPr>
                <w:rFonts w:hint="eastAsia" w:ascii="Times New Roman" w:hAnsi="Times New Roman" w:cs="Times New Roman"/>
                <w:color w:val="auto"/>
                <w:sz w:val="24"/>
                <w:szCs w:val="24"/>
                <w:highlight w:val="none"/>
                <w:u w:val="none"/>
                <w:lang w:eastAsia="zh-CN"/>
              </w:rPr>
              <w:t>刘官庄村</w:t>
            </w:r>
            <w:r>
              <w:rPr>
                <w:rFonts w:hint="eastAsia" w:ascii="Times New Roman" w:hAnsi="Times New Roman" w:eastAsia="宋体" w:cs="Times New Roman"/>
                <w:snapToGrid w:val="0"/>
                <w:color w:val="auto"/>
                <w:sz w:val="24"/>
                <w:szCs w:val="24"/>
                <w:lang w:eastAsia="zh-CN"/>
              </w:rPr>
              <w:t>。</w:t>
            </w:r>
            <w:r>
              <w:rPr>
                <w:rFonts w:hint="eastAsia" w:ascii="Times New Roman" w:hAnsi="Times New Roman" w:eastAsia="宋体" w:cs="Times New Roman"/>
                <w:snapToGrid w:val="0"/>
                <w:color w:val="auto"/>
                <w:sz w:val="24"/>
                <w:szCs w:val="24"/>
                <w:lang w:val="en-US" w:eastAsia="zh-CN"/>
              </w:rPr>
              <w:t>监测点位</w:t>
            </w:r>
            <w:r>
              <w:rPr>
                <w:rFonts w:hint="eastAsia" w:ascii="Times New Roman" w:hAnsi="Times New Roman" w:eastAsia="宋体" w:cs="Times New Roman"/>
                <w:snapToGrid w:val="0"/>
                <w:color w:val="auto"/>
                <w:sz w:val="24"/>
                <w:szCs w:val="24"/>
                <w:lang w:eastAsia="zh-CN"/>
              </w:rPr>
              <w:t>位于本项目东北侧约</w:t>
            </w:r>
            <w:r>
              <w:rPr>
                <w:rFonts w:hint="eastAsia" w:ascii="Times New Roman" w:hAnsi="Times New Roman" w:eastAsia="宋体" w:cs="Times New Roman"/>
                <w:snapToGrid w:val="0"/>
                <w:color w:val="auto"/>
                <w:sz w:val="24"/>
                <w:szCs w:val="24"/>
                <w:lang w:val="en-US" w:eastAsia="zh-CN"/>
              </w:rPr>
              <w:t>1153</w:t>
            </w:r>
            <w:r>
              <w:rPr>
                <w:rFonts w:hint="eastAsia" w:ascii="Times New Roman" w:hAnsi="Times New Roman" w:eastAsia="宋体" w:cs="Times New Roman"/>
                <w:snapToGrid w:val="0"/>
                <w:color w:val="auto"/>
                <w:sz w:val="24"/>
                <w:szCs w:val="24"/>
                <w:lang w:eastAsia="zh-CN"/>
              </w:rPr>
              <w:t>m。监测时间为2023年2月16日至22日，监测因子为非甲烷总烃，符合《建设项目环境影响报告表编制技术指南（污染影响类）（试行）》要求。</w:t>
            </w:r>
          </w:p>
          <w:p w14:paraId="551D96AC">
            <w:pPr>
              <w:keepNext w:val="0"/>
              <w:keepLines w:val="0"/>
              <w:numPr>
                <w:ilvl w:val="0"/>
                <w:numId w:val="0"/>
              </w:numPr>
              <w:suppressLineNumbers w:val="0"/>
              <w:adjustRightInd w:val="0"/>
              <w:spacing w:before="0" w:beforeAutospacing="0" w:after="0" w:afterAutospacing="0" w:line="360" w:lineRule="auto"/>
              <w:ind w:left="0" w:right="0" w:firstLine="480" w:firstLineChars="200"/>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（1）</w:t>
            </w:r>
            <w:r>
              <w:rPr>
                <w:rFonts w:hint="default" w:ascii="Times New Roman" w:hAnsi="Times New Roman" w:eastAsia="宋体" w:cs="Times New Roman"/>
                <w:sz w:val="24"/>
                <w:szCs w:val="24"/>
                <w:lang w:val="en-US" w:eastAsia="zh-CN"/>
              </w:rPr>
              <w:t>监测点位</w:t>
            </w:r>
          </w:p>
          <w:p w14:paraId="4F37DDC4">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000000"/>
                <w:kern w:val="0"/>
                <w:sz w:val="24"/>
                <w:szCs w:val="24"/>
                <w:lang w:val="en-US" w:eastAsia="zh-CN" w:bidi="ar-SA"/>
              </w:rPr>
            </w:pPr>
            <w:r>
              <w:rPr>
                <w:rFonts w:hint="default" w:ascii="Times New Roman" w:hAnsi="Times New Roman" w:eastAsia="宋体" w:cs="Times New Roman"/>
                <w:sz w:val="24"/>
                <w:szCs w:val="24"/>
                <w:lang w:val="en-US" w:eastAsia="zh-CN"/>
              </w:rPr>
              <w:t>大气监测布点情况见</w:t>
            </w:r>
            <w:r>
              <w:rPr>
                <w:rFonts w:hint="eastAsia" w:ascii="Times New Roman" w:hAnsi="Times New Roman" w:eastAsia="宋体" w:cs="Times New Roman"/>
                <w:sz w:val="24"/>
                <w:szCs w:val="24"/>
                <w:lang w:val="en-US" w:eastAsia="zh-CN"/>
              </w:rPr>
              <w:t>下</w:t>
            </w:r>
            <w:r>
              <w:rPr>
                <w:rFonts w:hint="default" w:ascii="Times New Roman" w:hAnsi="Times New Roman" w:eastAsia="宋体" w:cs="Times New Roman"/>
                <w:sz w:val="24"/>
                <w:szCs w:val="24"/>
                <w:lang w:val="en-US" w:eastAsia="zh-CN"/>
              </w:rPr>
              <w:t>表。</w:t>
            </w:r>
          </w:p>
          <w:p w14:paraId="57131754">
            <w:pPr>
              <w:keepNext w:val="0"/>
              <w:keepLines w:val="0"/>
              <w:suppressLineNumbers w:val="0"/>
              <w:spacing w:before="0" w:beforeAutospacing="0" w:after="0" w:afterAutospacing="0" w:line="240" w:lineRule="auto"/>
              <w:ind w:left="0" w:right="0" w:firstLine="422" w:firstLineChars="200"/>
              <w:jc w:val="center"/>
              <w:rPr>
                <w:rFonts w:hint="default" w:ascii="Times New Roman" w:hAnsi="Times New Roman" w:eastAsia="宋体" w:cs="Times New Roman"/>
                <w:b/>
                <w:bCs/>
                <w:color w:val="000000"/>
                <w:kern w:val="0"/>
                <w:sz w:val="21"/>
                <w:szCs w:val="21"/>
                <w:lang w:val="en-US" w:eastAsia="zh-CN" w:bidi="ar-SA"/>
              </w:rPr>
            </w:pPr>
            <w:r>
              <w:rPr>
                <w:rFonts w:hint="default" w:ascii="Times New Roman" w:hAnsi="Times New Roman" w:eastAsia="宋体" w:cs="Times New Roman"/>
                <w:b/>
                <w:bCs/>
                <w:color w:val="000000"/>
                <w:kern w:val="0"/>
                <w:sz w:val="21"/>
                <w:szCs w:val="21"/>
                <w:lang w:val="en-US" w:eastAsia="zh-CN" w:bidi="ar-SA"/>
              </w:rPr>
              <w:t>环境空气质量现状监测布点一览表</w:t>
            </w:r>
          </w:p>
          <w:tbl>
            <w:tblPr>
              <w:tblStyle w:val="38"/>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02"/>
              <w:gridCol w:w="855"/>
              <w:gridCol w:w="1006"/>
              <w:gridCol w:w="1500"/>
              <w:gridCol w:w="2159"/>
              <w:gridCol w:w="1353"/>
            </w:tblGrid>
            <w:tr w14:paraId="722B57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897" w:type="pct"/>
                  <w:noWrap w:val="0"/>
                  <w:vAlign w:val="center"/>
                </w:tcPr>
                <w:p w14:paraId="0265599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监测点位</w:t>
                  </w:r>
                  <w:r>
                    <w:rPr>
                      <w:rFonts w:hint="default" w:ascii="Times New Roman" w:hAnsi="Times New Roman" w:eastAsia="宋体" w:cs="Times New Roman"/>
                      <w:sz w:val="21"/>
                      <w:szCs w:val="21"/>
                      <w:lang w:val="en-US" w:eastAsia="zh-CN"/>
                    </w:rPr>
                    <w:t>名称</w:t>
                  </w:r>
                </w:p>
              </w:tc>
              <w:tc>
                <w:tcPr>
                  <w:tcW w:w="510" w:type="pct"/>
                  <w:noWrap w:val="0"/>
                  <w:vAlign w:val="center"/>
                </w:tcPr>
                <w:p w14:paraId="5B64431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方位</w:t>
                  </w:r>
                </w:p>
              </w:tc>
              <w:tc>
                <w:tcPr>
                  <w:tcW w:w="600" w:type="pct"/>
                  <w:noWrap w:val="0"/>
                  <w:vAlign w:val="center"/>
                </w:tcPr>
                <w:p w14:paraId="4332F83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据本项目距离</w:t>
                  </w:r>
                </w:p>
              </w:tc>
              <w:tc>
                <w:tcPr>
                  <w:tcW w:w="895" w:type="pct"/>
                  <w:noWrap w:val="0"/>
                  <w:vAlign w:val="center"/>
                </w:tcPr>
                <w:p w14:paraId="40A813A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监测时段</w:t>
                  </w:r>
                </w:p>
              </w:tc>
              <w:tc>
                <w:tcPr>
                  <w:tcW w:w="1288" w:type="pct"/>
                  <w:noWrap w:val="0"/>
                  <w:vAlign w:val="center"/>
                </w:tcPr>
                <w:p w14:paraId="391D055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监测报告编号</w:t>
                  </w:r>
                </w:p>
              </w:tc>
              <w:tc>
                <w:tcPr>
                  <w:tcW w:w="807" w:type="pct"/>
                  <w:noWrap w:val="0"/>
                  <w:vAlign w:val="center"/>
                </w:tcPr>
                <w:p w14:paraId="4EC62C6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监测内容</w:t>
                  </w:r>
                </w:p>
              </w:tc>
            </w:tr>
            <w:tr w14:paraId="50EB7F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897" w:type="pct"/>
                  <w:noWrap w:val="0"/>
                  <w:vAlign w:val="center"/>
                </w:tcPr>
                <w:p w14:paraId="143FDF9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刘官庄村</w:t>
                  </w:r>
                </w:p>
              </w:tc>
              <w:tc>
                <w:tcPr>
                  <w:tcW w:w="510" w:type="pct"/>
                  <w:noWrap w:val="0"/>
                  <w:vAlign w:val="center"/>
                </w:tcPr>
                <w:p w14:paraId="55F27B33">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东北侧</w:t>
                  </w:r>
                </w:p>
              </w:tc>
              <w:tc>
                <w:tcPr>
                  <w:tcW w:w="600" w:type="pct"/>
                  <w:noWrap w:val="0"/>
                  <w:vAlign w:val="center"/>
                </w:tcPr>
                <w:p w14:paraId="67E2966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1153m</w:t>
                  </w:r>
                </w:p>
              </w:tc>
              <w:tc>
                <w:tcPr>
                  <w:tcW w:w="895" w:type="pct"/>
                  <w:noWrap w:val="0"/>
                  <w:vAlign w:val="center"/>
                </w:tcPr>
                <w:p w14:paraId="2F7FFCE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2:00-3:00；8:00-9:00；14:00-15:00；20:00-21:00；</w:t>
                  </w:r>
                </w:p>
              </w:tc>
              <w:tc>
                <w:tcPr>
                  <w:tcW w:w="1288" w:type="pct"/>
                  <w:noWrap w:val="0"/>
                  <w:vAlign w:val="center"/>
                </w:tcPr>
                <w:p w14:paraId="6A824E11">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ZJC/HP202302004号</w:t>
                  </w:r>
                </w:p>
              </w:tc>
              <w:tc>
                <w:tcPr>
                  <w:tcW w:w="807" w:type="pct"/>
                  <w:noWrap w:val="0"/>
                  <w:vAlign w:val="center"/>
                </w:tcPr>
                <w:p w14:paraId="0B330808">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非甲烷总烃</w:t>
                  </w:r>
                </w:p>
              </w:tc>
            </w:tr>
          </w:tbl>
          <w:p w14:paraId="0ED19EAC">
            <w:pPr>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157" w:beforeLines="50" w:beforeAutospacing="0" w:after="0" w:afterAutospacing="0" w:line="360" w:lineRule="auto"/>
              <w:ind w:left="0" w:right="0" w:firstLine="480" w:firstLineChars="200"/>
              <w:textAlignment w:val="auto"/>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（2）</w:t>
            </w:r>
            <w:r>
              <w:rPr>
                <w:rFonts w:hint="default" w:ascii="Times New Roman" w:hAnsi="Times New Roman" w:eastAsia="宋体" w:cs="Times New Roman"/>
                <w:sz w:val="24"/>
                <w:szCs w:val="24"/>
                <w:lang w:val="en-US" w:eastAsia="zh-CN"/>
              </w:rPr>
              <w:t>监测结果</w:t>
            </w:r>
          </w:p>
          <w:p w14:paraId="182503A6">
            <w:pPr>
              <w:keepNext w:val="0"/>
              <w:keepLines w:val="0"/>
              <w:numPr>
                <w:ilvl w:val="0"/>
                <w:numId w:val="0"/>
              </w:numPr>
              <w:suppressLineNumbers w:val="0"/>
              <w:adjustRightInd w:val="0"/>
              <w:spacing w:before="0" w:beforeAutospacing="0" w:after="0" w:afterAutospacing="0" w:line="360" w:lineRule="auto"/>
              <w:ind w:left="0" w:right="0" w:firstLine="480" w:firstLineChars="200"/>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区域大气环境特征污染物监测结果见</w:t>
            </w:r>
            <w:r>
              <w:rPr>
                <w:rFonts w:hint="eastAsia" w:ascii="Times New Roman" w:hAnsi="Times New Roman" w:eastAsia="宋体" w:cs="Times New Roman"/>
                <w:sz w:val="24"/>
                <w:szCs w:val="24"/>
                <w:lang w:val="en-US" w:eastAsia="zh-CN"/>
              </w:rPr>
              <w:t>下表</w:t>
            </w:r>
            <w:r>
              <w:rPr>
                <w:rFonts w:hint="default" w:ascii="Times New Roman" w:hAnsi="Times New Roman" w:eastAsia="宋体" w:cs="Times New Roman"/>
                <w:sz w:val="24"/>
                <w:szCs w:val="24"/>
                <w:lang w:val="en-US" w:eastAsia="zh-CN"/>
              </w:rPr>
              <w:t>。</w:t>
            </w:r>
          </w:p>
          <w:p w14:paraId="1087D630">
            <w:pPr>
              <w:keepNext w:val="0"/>
              <w:keepLines w:val="0"/>
              <w:suppressLineNumbers w:val="0"/>
              <w:spacing w:before="0" w:beforeAutospacing="0" w:after="0" w:afterAutospacing="0" w:line="240" w:lineRule="auto"/>
              <w:ind w:left="0" w:right="0" w:firstLine="422" w:firstLineChars="200"/>
              <w:jc w:val="center"/>
              <w:rPr>
                <w:rFonts w:hint="default" w:ascii="Times New Roman" w:hAnsi="Times New Roman" w:eastAsia="宋体" w:cs="Times New Roman"/>
                <w:b/>
                <w:bCs/>
                <w:color w:val="000000"/>
                <w:kern w:val="0"/>
                <w:sz w:val="21"/>
                <w:szCs w:val="21"/>
                <w:lang w:val="en-US" w:eastAsia="zh-CN" w:bidi="ar-SA"/>
              </w:rPr>
            </w:pPr>
            <w:r>
              <w:rPr>
                <w:rFonts w:hint="default" w:ascii="Times New Roman" w:hAnsi="Times New Roman" w:eastAsia="宋体" w:cs="Times New Roman"/>
                <w:b/>
                <w:bCs/>
                <w:color w:val="000000"/>
                <w:kern w:val="0"/>
                <w:sz w:val="21"/>
                <w:szCs w:val="21"/>
                <w:lang w:val="en-US" w:eastAsia="zh-CN" w:bidi="ar-SA"/>
              </w:rPr>
              <w:t>小时平均浓度现状监测结果统计评价表</w:t>
            </w:r>
          </w:p>
          <w:tbl>
            <w:tblPr>
              <w:tblStyle w:val="38"/>
              <w:tblW w:w="8450"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490"/>
              <w:gridCol w:w="1106"/>
              <w:gridCol w:w="1334"/>
              <w:gridCol w:w="1034"/>
              <w:gridCol w:w="1069"/>
              <w:gridCol w:w="968"/>
              <w:gridCol w:w="1196"/>
              <w:gridCol w:w="1253"/>
            </w:tblGrid>
            <w:tr w14:paraId="2015A8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8" w:hRule="atLeast"/>
                <w:tblHeader/>
              </w:trPr>
              <w:tc>
                <w:tcPr>
                  <w:tcW w:w="490" w:type="dxa"/>
                  <w:noWrap w:val="0"/>
                  <w:vAlign w:val="center"/>
                </w:tcPr>
                <w:p w14:paraId="21CAC52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序号</w:t>
                  </w:r>
                </w:p>
              </w:tc>
              <w:tc>
                <w:tcPr>
                  <w:tcW w:w="1106" w:type="dxa"/>
                  <w:noWrap w:val="0"/>
                  <w:vAlign w:val="center"/>
                </w:tcPr>
                <w:p w14:paraId="7939126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污染物</w:t>
                  </w:r>
                </w:p>
              </w:tc>
              <w:tc>
                <w:tcPr>
                  <w:tcW w:w="1334" w:type="dxa"/>
                  <w:noWrap w:val="0"/>
                  <w:vAlign w:val="center"/>
                </w:tcPr>
                <w:p w14:paraId="688048F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监测点名称</w:t>
                  </w:r>
                </w:p>
              </w:tc>
              <w:tc>
                <w:tcPr>
                  <w:tcW w:w="1034" w:type="dxa"/>
                  <w:noWrap w:val="0"/>
                  <w:vAlign w:val="center"/>
                </w:tcPr>
                <w:p w14:paraId="36F0F38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标准值（mg/m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lang w:val="en-US" w:eastAsia="zh-CN"/>
                    </w:rPr>
                    <w:t>）</w:t>
                  </w:r>
                </w:p>
              </w:tc>
              <w:tc>
                <w:tcPr>
                  <w:tcW w:w="1069" w:type="dxa"/>
                  <w:noWrap w:val="0"/>
                  <w:vAlign w:val="center"/>
                </w:tcPr>
                <w:p w14:paraId="2B677B6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监测值（mg/m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lang w:val="en-US" w:eastAsia="zh-CN"/>
                    </w:rPr>
                    <w:t>）</w:t>
                  </w:r>
                </w:p>
              </w:tc>
              <w:tc>
                <w:tcPr>
                  <w:tcW w:w="968" w:type="dxa"/>
                  <w:noWrap w:val="0"/>
                  <w:vAlign w:val="center"/>
                </w:tcPr>
                <w:p w14:paraId="15B543E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超标率％</w:t>
                  </w:r>
                </w:p>
              </w:tc>
              <w:tc>
                <w:tcPr>
                  <w:tcW w:w="1196" w:type="dxa"/>
                  <w:noWrap w:val="0"/>
                  <w:vAlign w:val="center"/>
                </w:tcPr>
                <w:p w14:paraId="7F4E25D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最大浓度占标率Pi %</w:t>
                  </w:r>
                </w:p>
              </w:tc>
              <w:tc>
                <w:tcPr>
                  <w:tcW w:w="1253" w:type="dxa"/>
                  <w:noWrap w:val="0"/>
                  <w:vAlign w:val="center"/>
                </w:tcPr>
                <w:p w14:paraId="3076252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最大超标倍数</w:t>
                  </w:r>
                </w:p>
              </w:tc>
            </w:tr>
            <w:tr w14:paraId="065A2D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9" w:hRule="atLeast"/>
              </w:trPr>
              <w:tc>
                <w:tcPr>
                  <w:tcW w:w="490" w:type="dxa"/>
                  <w:noWrap w:val="0"/>
                  <w:vAlign w:val="center"/>
                </w:tcPr>
                <w:p w14:paraId="1DAB765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1</w:t>
                  </w:r>
                </w:p>
              </w:tc>
              <w:tc>
                <w:tcPr>
                  <w:tcW w:w="1106" w:type="dxa"/>
                  <w:noWrap w:val="0"/>
                  <w:vAlign w:val="center"/>
                </w:tcPr>
                <w:p w14:paraId="4348F35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非甲烷总烃</w:t>
                  </w:r>
                </w:p>
              </w:tc>
              <w:tc>
                <w:tcPr>
                  <w:tcW w:w="1334" w:type="dxa"/>
                  <w:noWrap w:val="0"/>
                  <w:vAlign w:val="center"/>
                </w:tcPr>
                <w:p w14:paraId="1228047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刘官庄村</w:t>
                  </w:r>
                </w:p>
              </w:tc>
              <w:tc>
                <w:tcPr>
                  <w:tcW w:w="1034" w:type="dxa"/>
                  <w:noWrap w:val="0"/>
                  <w:vAlign w:val="center"/>
                </w:tcPr>
                <w:p w14:paraId="08AFC76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2.0</w:t>
                  </w:r>
                </w:p>
              </w:tc>
              <w:tc>
                <w:tcPr>
                  <w:tcW w:w="1069" w:type="dxa"/>
                  <w:noWrap w:val="0"/>
                  <w:vAlign w:val="center"/>
                </w:tcPr>
                <w:p w14:paraId="4A6C264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0.</w:t>
                  </w:r>
                  <w:r>
                    <w:rPr>
                      <w:rFonts w:hint="eastAsia" w:ascii="Times New Roman" w:hAnsi="Times New Roman" w:eastAsia="宋体" w:cs="Times New Roman"/>
                      <w:sz w:val="21"/>
                      <w:szCs w:val="21"/>
                      <w:lang w:val="en-US" w:eastAsia="zh-CN"/>
                    </w:rPr>
                    <w:t>28</w:t>
                  </w:r>
                  <w:r>
                    <w:rPr>
                      <w:rFonts w:hint="default" w:ascii="Times New Roman" w:hAnsi="Times New Roman" w:eastAsia="宋体" w:cs="Times New Roman"/>
                      <w:sz w:val="21"/>
                      <w:szCs w:val="21"/>
                      <w:lang w:val="en-US" w:eastAsia="zh-CN"/>
                    </w:rPr>
                    <w:t>～0.</w:t>
                  </w:r>
                  <w:r>
                    <w:rPr>
                      <w:rFonts w:hint="eastAsia" w:ascii="Times New Roman" w:hAnsi="Times New Roman" w:eastAsia="宋体" w:cs="Times New Roman"/>
                      <w:sz w:val="21"/>
                      <w:szCs w:val="21"/>
                      <w:lang w:val="en-US" w:eastAsia="zh-CN"/>
                    </w:rPr>
                    <w:t>68</w:t>
                  </w:r>
                </w:p>
              </w:tc>
              <w:tc>
                <w:tcPr>
                  <w:tcW w:w="968" w:type="dxa"/>
                  <w:noWrap w:val="0"/>
                  <w:vAlign w:val="center"/>
                </w:tcPr>
                <w:p w14:paraId="2BA15AC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0</w:t>
                  </w:r>
                </w:p>
              </w:tc>
              <w:tc>
                <w:tcPr>
                  <w:tcW w:w="1196" w:type="dxa"/>
                  <w:noWrap w:val="0"/>
                  <w:vAlign w:val="center"/>
                </w:tcPr>
                <w:p w14:paraId="61F5AE0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34</w:t>
                  </w:r>
                </w:p>
              </w:tc>
              <w:tc>
                <w:tcPr>
                  <w:tcW w:w="1253" w:type="dxa"/>
                  <w:noWrap w:val="0"/>
                  <w:vAlign w:val="center"/>
                </w:tcPr>
                <w:p w14:paraId="4903B50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w:t>
                  </w:r>
                </w:p>
              </w:tc>
            </w:tr>
          </w:tbl>
          <w:p w14:paraId="43B8F383">
            <w:pPr>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157" w:beforeLines="50" w:beforeAutospacing="0" w:after="0" w:afterAutospacing="0" w:line="360" w:lineRule="auto"/>
              <w:ind w:left="0" w:right="0" w:firstLine="480" w:firstLineChars="200"/>
              <w:textAlignment w:val="auto"/>
              <w:rPr>
                <w:rFonts w:hint="eastAsia"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由</w:t>
            </w:r>
            <w:r>
              <w:rPr>
                <w:rFonts w:hint="eastAsia" w:cs="Times New Roman"/>
                <w:sz w:val="24"/>
                <w:szCs w:val="24"/>
                <w:lang w:val="en-US" w:eastAsia="zh-CN"/>
              </w:rPr>
              <w:t>上</w:t>
            </w:r>
            <w:r>
              <w:rPr>
                <w:rFonts w:hint="default" w:ascii="Times New Roman" w:hAnsi="Times New Roman" w:eastAsia="宋体" w:cs="Times New Roman"/>
                <w:sz w:val="24"/>
                <w:szCs w:val="24"/>
                <w:lang w:val="en-US" w:eastAsia="zh-CN"/>
              </w:rPr>
              <w:t>表可知：非甲烷总烃</w:t>
            </w:r>
            <w:r>
              <w:rPr>
                <w:rFonts w:hint="eastAsia" w:cs="Times New Roman"/>
                <w:sz w:val="24"/>
                <w:szCs w:val="24"/>
                <w:lang w:val="en-US" w:eastAsia="zh-CN"/>
              </w:rPr>
              <w:t>1</w:t>
            </w:r>
            <w:r>
              <w:rPr>
                <w:rFonts w:hint="default" w:ascii="Times New Roman" w:hAnsi="Times New Roman" w:eastAsia="宋体" w:cs="Times New Roman"/>
                <w:sz w:val="24"/>
                <w:szCs w:val="24"/>
                <w:lang w:val="en-US" w:eastAsia="zh-CN"/>
              </w:rPr>
              <w:t>小时平均浓度满足《环境空气质量</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lang w:val="en-US" w:eastAsia="zh-CN"/>
              </w:rPr>
              <w:t>非甲烷总烃限值》(DB13/1577-2012)中限值要求。</w:t>
            </w:r>
          </w:p>
          <w:p w14:paraId="0565C0E3">
            <w:pPr>
              <w:keepNext w:val="0"/>
              <w:keepLines w:val="0"/>
              <w:widowControl/>
              <w:suppressLineNumbers w:val="0"/>
              <w:spacing w:before="0" w:beforeAutospacing="0" w:after="0" w:afterAutospacing="0" w:line="360" w:lineRule="auto"/>
              <w:ind w:left="0" w:right="0"/>
              <w:rPr>
                <w:rFonts w:hint="default" w:ascii="Times New Roman" w:hAnsi="Times New Roman" w:cs="Times New Roman"/>
                <w:b/>
                <w:kern w:val="0"/>
                <w:sz w:val="24"/>
                <w:szCs w:val="20"/>
              </w:rPr>
            </w:pPr>
            <w:r>
              <w:rPr>
                <w:rFonts w:hint="default" w:ascii="Times New Roman" w:hAnsi="Times New Roman" w:cs="Times New Roman"/>
                <w:b/>
                <w:kern w:val="0"/>
                <w:sz w:val="24"/>
                <w:szCs w:val="20"/>
              </w:rPr>
              <w:t>2、地表水</w:t>
            </w:r>
          </w:p>
          <w:p w14:paraId="2307DBA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kern w:val="0"/>
                <w:sz w:val="24"/>
                <w:szCs w:val="20"/>
                <w:highlight w:val="none"/>
                <w:lang w:val="en-US" w:eastAsia="zh-CN" w:bidi="en-US"/>
              </w:rPr>
            </w:pPr>
            <w:r>
              <w:rPr>
                <w:rFonts w:hint="eastAsia" w:ascii="Times New Roman" w:hAnsi="Times New Roman" w:eastAsia="宋体" w:cs="Times New Roman"/>
                <w:color w:val="auto"/>
                <w:kern w:val="0"/>
                <w:sz w:val="24"/>
                <w:szCs w:val="20"/>
                <w:lang w:val="en-US" w:eastAsia="zh-CN" w:bidi="en-US"/>
              </w:rPr>
              <w:t>202</w:t>
            </w:r>
            <w:r>
              <w:rPr>
                <w:rFonts w:hint="eastAsia" w:cs="Times New Roman"/>
                <w:color w:val="auto"/>
                <w:kern w:val="0"/>
                <w:sz w:val="24"/>
                <w:szCs w:val="20"/>
                <w:lang w:val="en-US" w:eastAsia="zh-CN" w:bidi="en-US"/>
              </w:rPr>
              <w:t>4</w:t>
            </w:r>
            <w:r>
              <w:rPr>
                <w:rFonts w:hint="eastAsia" w:ascii="Times New Roman" w:hAnsi="Times New Roman" w:eastAsia="宋体" w:cs="Times New Roman"/>
                <w:color w:val="auto"/>
                <w:kern w:val="0"/>
                <w:sz w:val="24"/>
                <w:szCs w:val="20"/>
                <w:lang w:val="en-US" w:eastAsia="zh-CN" w:bidi="en-US"/>
              </w:rPr>
              <w:t>年</w:t>
            </w:r>
            <w:r>
              <w:rPr>
                <w:rFonts w:hint="default" w:ascii="Times New Roman" w:hAnsi="Times New Roman" w:eastAsia="宋体" w:cs="Times New Roman"/>
                <w:color w:val="auto"/>
                <w:kern w:val="0"/>
                <w:sz w:val="24"/>
                <w:szCs w:val="20"/>
                <w:lang w:val="en-US" w:eastAsia="zh-CN" w:bidi="en-US"/>
              </w:rPr>
              <w:t>全市18个国省考断面水质达标率保持100%，地表水国省考断面水质优良比例达到50%，优于省定年度目标16.7个百分点。具体为：II类断面1个，为大浪淀水库，占比5.6%；III类断面8个，为漳卫新河小泊头桥、南排水河朱庄闸、子牙河小王庄、滏阳河西贾庄桥、南运河北街自动站、小白河后赵各庄西桥、黑龙港河东港拦河闸、任文干渠阎家坞，占比44.4%；IV类断面9个，为子牙新河阎辛庄、宣惠河大口河口、北排水河永红桥、沧浪渠杨官庄自动站、廖家洼排水渠四埝村桥、新石碑河李家堡桥、八团排干渠伊庄子闸、青静黄排水渠何老营、南大港湿地入口，占比50%。</w:t>
            </w:r>
          </w:p>
          <w:p w14:paraId="785A4A18">
            <w:pPr>
              <w:keepNext w:val="0"/>
              <w:keepLines w:val="0"/>
              <w:widowControl/>
              <w:suppressLineNumbers w:val="0"/>
              <w:spacing w:before="0" w:beforeAutospacing="0" w:after="0" w:afterAutospacing="0" w:line="360" w:lineRule="auto"/>
              <w:ind w:left="0" w:right="0" w:firstLine="480" w:firstLineChars="200"/>
              <w:rPr>
                <w:rFonts w:hint="eastAsia" w:ascii="Times New Roman" w:hAnsi="Times New Roman" w:cs="Times New Roman"/>
                <w:kern w:val="0"/>
                <w:sz w:val="24"/>
              </w:rPr>
            </w:pPr>
            <w:r>
              <w:rPr>
                <w:rFonts w:hint="eastAsia"/>
                <w:kern w:val="0"/>
                <w:sz w:val="24"/>
                <w:highlight w:val="none"/>
                <w:lang w:eastAsia="zh-CN"/>
              </w:rPr>
              <w:t>本项目距离新黄南排干</w:t>
            </w:r>
            <w:r>
              <w:rPr>
                <w:rFonts w:hint="eastAsia"/>
                <w:kern w:val="0"/>
                <w:sz w:val="24"/>
                <w:highlight w:val="none"/>
                <w:lang w:val="en-US" w:eastAsia="zh-CN"/>
              </w:rPr>
              <w:t>552</w:t>
            </w:r>
            <w:r>
              <w:rPr>
                <w:rFonts w:hint="eastAsia"/>
                <w:kern w:val="0"/>
                <w:sz w:val="24"/>
                <w:highlight w:val="none"/>
                <w:lang w:eastAsia="zh-CN"/>
              </w:rPr>
              <w:t>m，与南排水河互通，距</w:t>
            </w:r>
            <w:r>
              <w:rPr>
                <w:rFonts w:hint="eastAsia"/>
                <w:kern w:val="0"/>
                <w:sz w:val="24"/>
                <w:lang w:eastAsia="zh-CN"/>
              </w:rPr>
              <w:t>离本项目最近的地表水监测断面为</w:t>
            </w:r>
            <w:r>
              <w:rPr>
                <w:rFonts w:hint="default" w:ascii="Times New Roman" w:hAnsi="Times New Roman" w:eastAsia="宋体" w:cs="Times New Roman"/>
                <w:color w:val="auto"/>
                <w:kern w:val="0"/>
                <w:sz w:val="24"/>
                <w:szCs w:val="20"/>
                <w:lang w:val="en-US" w:eastAsia="zh-CN" w:bidi="en-US"/>
              </w:rPr>
              <w:t>南排水河朱庄闸</w:t>
            </w:r>
            <w:r>
              <w:rPr>
                <w:rFonts w:hint="eastAsia"/>
                <w:kern w:val="0"/>
                <w:sz w:val="24"/>
                <w:lang w:eastAsia="zh-CN"/>
              </w:rPr>
              <w:t>，</w:t>
            </w:r>
            <w:r>
              <w:rPr>
                <w:rFonts w:hint="default"/>
                <w:sz w:val="24"/>
                <w:lang w:eastAsia="zh-CN"/>
              </w:rPr>
              <w:t>根据《202</w:t>
            </w:r>
            <w:r>
              <w:rPr>
                <w:rFonts w:hint="eastAsia"/>
                <w:sz w:val="24"/>
                <w:lang w:val="en-US" w:eastAsia="zh-CN"/>
              </w:rPr>
              <w:t>4</w:t>
            </w:r>
            <w:r>
              <w:rPr>
                <w:rFonts w:hint="default"/>
                <w:sz w:val="24"/>
                <w:lang w:eastAsia="zh-CN"/>
              </w:rPr>
              <w:t>年沧州市生态环境状况公报》，</w:t>
            </w:r>
            <w:r>
              <w:rPr>
                <w:rFonts w:hint="eastAsia"/>
                <w:kern w:val="0"/>
                <w:sz w:val="24"/>
                <w:lang w:eastAsia="zh-CN"/>
              </w:rPr>
              <w:t>该断面地表水水质满足《地表水环境质量标准》（GB3838-2002）中</w:t>
            </w:r>
            <w:r>
              <w:rPr>
                <w:rFonts w:hint="default" w:ascii="Times New Roman" w:hAnsi="Times New Roman" w:eastAsia="宋体" w:cs="Times New Roman"/>
                <w:color w:val="auto"/>
                <w:kern w:val="0"/>
                <w:sz w:val="24"/>
                <w:szCs w:val="20"/>
                <w:lang w:val="en-US" w:eastAsia="zh-CN" w:bidi="en-US"/>
              </w:rPr>
              <w:t>III</w:t>
            </w:r>
            <w:r>
              <w:rPr>
                <w:rFonts w:hint="eastAsia"/>
                <w:kern w:val="0"/>
                <w:sz w:val="24"/>
                <w:lang w:eastAsia="zh-CN"/>
              </w:rPr>
              <w:t>类水水质标准。</w:t>
            </w:r>
            <w:r>
              <w:rPr>
                <w:rFonts w:hint="eastAsia" w:ascii="Times New Roman" w:hAnsi="Times New Roman" w:cs="Times New Roman"/>
                <w:color w:val="auto"/>
                <w:sz w:val="24"/>
                <w:highlight w:val="none"/>
                <w:lang w:eastAsia="zh-CN"/>
              </w:rPr>
              <w:t>本</w:t>
            </w:r>
            <w:r>
              <w:rPr>
                <w:rFonts w:hint="default" w:ascii="Times New Roman" w:hAnsi="Times New Roman" w:cs="Times New Roman"/>
                <w:color w:val="auto"/>
                <w:sz w:val="24"/>
                <w:highlight w:val="none"/>
                <w:lang w:eastAsia="zh-CN"/>
              </w:rPr>
              <w:t>项目</w:t>
            </w:r>
            <w:r>
              <w:rPr>
                <w:rFonts w:hint="eastAsia" w:cs="Times New Roman"/>
                <w:color w:val="auto"/>
                <w:sz w:val="24"/>
                <w:highlight w:val="none"/>
                <w:lang w:eastAsia="zh-CN"/>
              </w:rPr>
              <w:t>水性油墨配制用纯水全部挥发；无新增生活污水</w:t>
            </w:r>
            <w:r>
              <w:rPr>
                <w:rFonts w:hint="eastAsia"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eastAsia="zh-CN"/>
              </w:rPr>
              <w:t>故无需要进行地表水环境质量现状监测</w:t>
            </w:r>
            <w:r>
              <w:rPr>
                <w:rFonts w:hint="eastAsia" w:ascii="Times New Roman" w:hAnsi="Times New Roman" w:cs="Times New Roman"/>
                <w:szCs w:val="24"/>
                <w:lang w:val="en-US"/>
              </w:rPr>
              <w:t>。</w:t>
            </w:r>
          </w:p>
          <w:p w14:paraId="1D8CBE49">
            <w:pPr>
              <w:keepNext w:val="0"/>
              <w:keepLines w:val="0"/>
              <w:suppressLineNumbers w:val="0"/>
              <w:spacing w:before="0" w:beforeAutospacing="0" w:after="0" w:afterAutospacing="0" w:line="360" w:lineRule="auto"/>
              <w:ind w:left="0" w:right="0"/>
              <w:outlineLvl w:val="2"/>
              <w:rPr>
                <w:rFonts w:hint="default" w:ascii="Times New Roman" w:hAnsi="Times New Roman" w:cs="Times New Roman"/>
                <w:b/>
                <w:bCs/>
                <w:sz w:val="24"/>
                <w:szCs w:val="22"/>
              </w:rPr>
            </w:pPr>
            <w:r>
              <w:rPr>
                <w:rFonts w:hint="eastAsia" w:ascii="Times New Roman" w:hAnsi="Times New Roman" w:cs="Times New Roman"/>
                <w:b/>
                <w:bCs/>
                <w:sz w:val="24"/>
                <w:szCs w:val="22"/>
              </w:rPr>
              <w:t>3</w:t>
            </w:r>
            <w:r>
              <w:rPr>
                <w:rFonts w:hint="default" w:ascii="Times New Roman" w:hAnsi="Times New Roman" w:cs="Times New Roman"/>
                <w:b/>
                <w:bCs/>
                <w:sz w:val="24"/>
                <w:szCs w:val="22"/>
              </w:rPr>
              <w:t>、声环境</w:t>
            </w:r>
          </w:p>
          <w:p w14:paraId="52D81B50">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cs="Times New Roman"/>
                <w:kern w:val="0"/>
                <w:sz w:val="24"/>
                <w:szCs w:val="20"/>
              </w:rPr>
            </w:pPr>
            <w:r>
              <w:rPr>
                <w:rFonts w:hint="eastAsia" w:ascii="Times New Roman" w:hAnsi="Times New Roman" w:cs="Times New Roman"/>
                <w:sz w:val="24"/>
                <w:szCs w:val="24"/>
                <w:lang w:val="en-US"/>
              </w:rPr>
              <w:t>本项目厂界外周边5</w:t>
            </w:r>
            <w:r>
              <w:rPr>
                <w:rFonts w:hint="default" w:ascii="Times New Roman" w:hAnsi="Times New Roman" w:cs="Times New Roman"/>
                <w:sz w:val="24"/>
                <w:szCs w:val="24"/>
                <w:lang w:val="en-US"/>
              </w:rPr>
              <w:t>0</w:t>
            </w:r>
            <w:r>
              <w:rPr>
                <w:rFonts w:hint="eastAsia" w:ascii="Times New Roman" w:hAnsi="Times New Roman" w:cs="Times New Roman"/>
                <w:sz w:val="24"/>
                <w:szCs w:val="24"/>
                <w:lang w:val="en-US"/>
              </w:rPr>
              <w:t>米范围内不存在医院、学校、机关、科研单位、住宅、自然保护区等声环境保护目标，无需开展声环境质量现状监测</w:t>
            </w:r>
            <w:r>
              <w:rPr>
                <w:rFonts w:hint="eastAsia" w:ascii="Times New Roman" w:hAnsi="Times New Roman" w:cs="Times New Roman"/>
                <w:kern w:val="0"/>
                <w:sz w:val="24"/>
                <w:szCs w:val="24"/>
              </w:rPr>
              <w:t>。</w:t>
            </w:r>
          </w:p>
          <w:p w14:paraId="4922565E">
            <w:pPr>
              <w:keepNext w:val="0"/>
              <w:keepLines w:val="0"/>
              <w:suppressLineNumbers w:val="0"/>
              <w:adjustRightInd w:val="0"/>
              <w:snapToGrid w:val="0"/>
              <w:spacing w:before="0" w:beforeAutospacing="0" w:after="0" w:afterAutospacing="0" w:line="360" w:lineRule="auto"/>
              <w:ind w:left="0" w:right="0"/>
              <w:rPr>
                <w:rFonts w:hint="default" w:ascii="Times New Roman" w:hAnsi="Times New Roman" w:eastAsia="宋体" w:cs="Times New Roman"/>
                <w:b/>
                <w:bCs/>
                <w:snapToGrid w:val="0"/>
                <w:kern w:val="0"/>
                <w:sz w:val="24"/>
                <w:lang w:val="en-US" w:eastAsia="zh-CN"/>
              </w:rPr>
            </w:pPr>
            <w:r>
              <w:rPr>
                <w:rFonts w:hint="eastAsia" w:ascii="Times New Roman" w:hAnsi="Times New Roman" w:cs="Times New Roman"/>
                <w:b/>
                <w:bCs/>
                <w:sz w:val="24"/>
                <w:szCs w:val="20"/>
              </w:rPr>
              <w:t>4</w:t>
            </w:r>
            <w:r>
              <w:rPr>
                <w:rFonts w:hint="default" w:ascii="Times New Roman" w:hAnsi="Times New Roman" w:cs="Times New Roman"/>
                <w:b/>
                <w:bCs/>
                <w:sz w:val="24"/>
                <w:szCs w:val="20"/>
              </w:rPr>
              <w:t>、</w:t>
            </w:r>
            <w:r>
              <w:rPr>
                <w:rFonts w:hint="eastAsia" w:ascii="Times New Roman" w:hAnsi="Times New Roman" w:cs="Times New Roman"/>
                <w:b/>
                <w:bCs/>
                <w:sz w:val="24"/>
                <w:szCs w:val="20"/>
                <w:lang w:val="en-US" w:eastAsia="zh-CN"/>
              </w:rPr>
              <w:t>地下水</w:t>
            </w:r>
            <w:r>
              <w:rPr>
                <w:rFonts w:hint="default" w:ascii="Times New Roman" w:hAnsi="Times New Roman" w:cs="Times New Roman"/>
                <w:b/>
                <w:bCs/>
                <w:snapToGrid w:val="0"/>
                <w:kern w:val="0"/>
                <w:sz w:val="24"/>
              </w:rPr>
              <w:t>环境</w:t>
            </w:r>
            <w:r>
              <w:rPr>
                <w:rFonts w:hint="eastAsia" w:ascii="Times New Roman" w:hAnsi="Times New Roman" w:cs="Times New Roman"/>
                <w:b/>
                <w:bCs/>
                <w:snapToGrid w:val="0"/>
                <w:kern w:val="0"/>
                <w:sz w:val="24"/>
                <w:lang w:eastAsia="zh-CN"/>
              </w:rPr>
              <w:t>、</w:t>
            </w:r>
            <w:r>
              <w:rPr>
                <w:rFonts w:hint="eastAsia" w:ascii="Times New Roman" w:hAnsi="Times New Roman" w:cs="Times New Roman"/>
                <w:b/>
                <w:bCs/>
                <w:snapToGrid w:val="0"/>
                <w:kern w:val="0"/>
                <w:sz w:val="24"/>
                <w:lang w:val="en-US" w:eastAsia="zh-CN"/>
              </w:rPr>
              <w:t>土壤环境</w:t>
            </w:r>
          </w:p>
          <w:p w14:paraId="0363C134">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sz w:val="24"/>
                <w:szCs w:val="20"/>
              </w:rPr>
            </w:pPr>
            <w:r>
              <w:rPr>
                <w:rFonts w:hint="eastAsia" w:ascii="Times New Roman" w:hAnsi="Times New Roman" w:cs="Times New Roman"/>
                <w:color w:val="auto"/>
                <w:sz w:val="24"/>
                <w:highlight w:val="none"/>
                <w:lang w:eastAsia="zh-CN"/>
              </w:rPr>
              <w:t>本</w:t>
            </w:r>
            <w:r>
              <w:rPr>
                <w:rFonts w:hint="default" w:ascii="Times New Roman" w:hAnsi="Times New Roman" w:cs="Times New Roman"/>
                <w:color w:val="auto"/>
                <w:sz w:val="24"/>
                <w:highlight w:val="none"/>
                <w:lang w:eastAsia="zh-CN"/>
              </w:rPr>
              <w:t>项目</w:t>
            </w:r>
            <w:r>
              <w:rPr>
                <w:rFonts w:hint="eastAsia" w:cs="Times New Roman"/>
                <w:color w:val="auto"/>
                <w:sz w:val="24"/>
                <w:highlight w:val="none"/>
                <w:lang w:eastAsia="zh-CN"/>
              </w:rPr>
              <w:t>水性油墨配制用纯水全部挥发；无新增生活污水</w:t>
            </w:r>
            <w:r>
              <w:rPr>
                <w:rFonts w:hint="eastAsia" w:ascii="Times New Roman" w:hAnsi="Times New Roman" w:cs="Times New Roman"/>
                <w:bCs/>
                <w:sz w:val="24"/>
                <w:szCs w:val="20"/>
                <w:lang w:eastAsia="zh-CN"/>
              </w:rPr>
              <w:t>。</w:t>
            </w:r>
            <w:r>
              <w:rPr>
                <w:rFonts w:hint="eastAsia" w:ascii="Times New Roman" w:hAnsi="Times New Roman" w:cs="Times New Roman"/>
                <w:bCs/>
                <w:color w:val="auto"/>
                <w:sz w:val="24"/>
                <w:szCs w:val="20"/>
                <w:lang w:eastAsia="zh-CN"/>
              </w:rPr>
              <w:t>项目按分区防控采取防渗处理</w:t>
            </w:r>
            <w:r>
              <w:rPr>
                <w:rFonts w:hint="eastAsia" w:ascii="Times New Roman" w:hAnsi="Times New Roman" w:cs="Times New Roman"/>
                <w:bCs/>
                <w:sz w:val="24"/>
                <w:szCs w:val="20"/>
                <w:lang w:eastAsia="zh-CN"/>
              </w:rPr>
              <w:t>，企业做好分区防渗并加强管理的前提下，项目无地下水、土壤污染途径，无需进行地下水、土壤环境现状监测</w:t>
            </w:r>
            <w:r>
              <w:rPr>
                <w:rFonts w:hint="eastAsia" w:ascii="Times New Roman" w:hAnsi="Times New Roman" w:cs="Times New Roman"/>
                <w:bCs/>
                <w:sz w:val="24"/>
                <w:szCs w:val="20"/>
              </w:rPr>
              <w:t>。</w:t>
            </w:r>
          </w:p>
          <w:p w14:paraId="2AF93BB9">
            <w:pPr>
              <w:keepNext w:val="0"/>
              <w:keepLines w:val="0"/>
              <w:suppressLineNumbers w:val="0"/>
              <w:adjustRightInd w:val="0"/>
              <w:snapToGrid w:val="0"/>
              <w:spacing w:before="0" w:beforeAutospacing="0" w:after="0" w:afterAutospacing="0" w:line="360" w:lineRule="auto"/>
              <w:ind w:left="0" w:right="0"/>
              <w:jc w:val="left"/>
              <w:rPr>
                <w:rFonts w:hint="default" w:ascii="Times New Roman" w:hAnsi="Times New Roman" w:cs="Times New Roman"/>
                <w:b/>
                <w:bCs/>
                <w:sz w:val="24"/>
                <w:szCs w:val="20"/>
              </w:rPr>
            </w:pPr>
            <w:r>
              <w:rPr>
                <w:rFonts w:hint="eastAsia" w:ascii="Times New Roman" w:hAnsi="Times New Roman" w:cs="Times New Roman"/>
                <w:b/>
                <w:bCs/>
                <w:sz w:val="24"/>
                <w:szCs w:val="20"/>
                <w:lang w:val="en-US" w:eastAsia="zh-CN"/>
              </w:rPr>
              <w:t>5</w:t>
            </w:r>
            <w:r>
              <w:rPr>
                <w:rFonts w:hint="eastAsia" w:ascii="Times New Roman" w:hAnsi="Times New Roman" w:cs="Times New Roman"/>
                <w:b/>
                <w:bCs/>
                <w:sz w:val="24"/>
                <w:szCs w:val="20"/>
              </w:rPr>
              <w:t>、电磁辐射</w:t>
            </w:r>
          </w:p>
          <w:p w14:paraId="768F7594">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sz w:val="24"/>
                <w:szCs w:val="20"/>
              </w:rPr>
            </w:pPr>
            <w:r>
              <w:rPr>
                <w:rFonts w:hint="eastAsia" w:ascii="Times New Roman" w:hAnsi="Times New Roman" w:cs="Times New Roman"/>
                <w:sz w:val="24"/>
                <w:szCs w:val="20"/>
                <w:lang w:eastAsia="zh-CN"/>
              </w:rPr>
              <w:t>本项目不涉及广播电台、差转台、电视台塔台、卫星地球上行站、雷达等电磁辐射类项目，无需开展电磁辐射现状监测与评价</w:t>
            </w:r>
            <w:r>
              <w:rPr>
                <w:rFonts w:hint="eastAsia" w:ascii="Times New Roman" w:hAnsi="Times New Roman" w:cs="Times New Roman"/>
                <w:sz w:val="24"/>
                <w:szCs w:val="20"/>
              </w:rPr>
              <w:t>。</w:t>
            </w:r>
          </w:p>
          <w:p w14:paraId="6832A337">
            <w:pPr>
              <w:keepNext w:val="0"/>
              <w:keepLines w:val="0"/>
              <w:suppressLineNumbers w:val="0"/>
              <w:adjustRightInd w:val="0"/>
              <w:snapToGrid w:val="0"/>
              <w:spacing w:before="0" w:beforeAutospacing="0" w:after="0" w:afterAutospacing="0" w:line="360" w:lineRule="auto"/>
              <w:ind w:left="0" w:right="0"/>
              <w:jc w:val="left"/>
              <w:rPr>
                <w:rFonts w:hint="default" w:ascii="Times New Roman" w:hAnsi="Times New Roman" w:cs="Times New Roman"/>
                <w:b/>
                <w:bCs/>
                <w:sz w:val="24"/>
                <w:szCs w:val="20"/>
              </w:rPr>
            </w:pPr>
            <w:r>
              <w:rPr>
                <w:rFonts w:hint="eastAsia" w:ascii="Times New Roman" w:hAnsi="Times New Roman" w:cs="Times New Roman"/>
                <w:b/>
                <w:bCs/>
                <w:sz w:val="24"/>
                <w:szCs w:val="20"/>
                <w:lang w:val="en-US" w:eastAsia="zh-CN"/>
              </w:rPr>
              <w:t>6</w:t>
            </w:r>
            <w:r>
              <w:rPr>
                <w:rFonts w:hint="eastAsia" w:ascii="Times New Roman" w:hAnsi="Times New Roman" w:cs="Times New Roman"/>
                <w:b/>
                <w:bCs/>
                <w:sz w:val="24"/>
                <w:szCs w:val="20"/>
              </w:rPr>
              <w:t>、生态环境</w:t>
            </w:r>
          </w:p>
          <w:p w14:paraId="3E95085E">
            <w:pPr>
              <w:keepNext w:val="0"/>
              <w:keepLines w:val="0"/>
              <w:suppressLineNumbers w:val="0"/>
              <w:adjustRightInd w:val="0"/>
              <w:snapToGrid w:val="0"/>
              <w:spacing w:before="0" w:beforeAutospacing="0" w:after="0" w:afterAutospacing="0" w:line="360" w:lineRule="auto"/>
              <w:ind w:left="0" w:right="0" w:firstLine="480" w:firstLineChars="200"/>
              <w:jc w:val="left"/>
              <w:rPr>
                <w:rFonts w:hint="eastAsia" w:ascii="Times New Roman" w:hAnsi="Times New Roman" w:eastAsia="宋体" w:cs="Times New Roman"/>
                <w:sz w:val="24"/>
                <w:szCs w:val="20"/>
                <w:lang w:val="en-US" w:eastAsia="zh-CN"/>
              </w:rPr>
            </w:pPr>
            <w:r>
              <w:rPr>
                <w:rFonts w:hint="eastAsia" w:ascii="Times New Roman" w:hAnsi="Times New Roman" w:cs="Times New Roman"/>
                <w:sz w:val="24"/>
                <w:szCs w:val="20"/>
              </w:rPr>
              <w:t>项目位于</w:t>
            </w:r>
            <w:r>
              <w:rPr>
                <w:rFonts w:hint="eastAsia" w:ascii="Times New Roman" w:hAnsi="Times New Roman" w:cs="Times New Roman"/>
                <w:sz w:val="24"/>
                <w:szCs w:val="20"/>
                <w:lang w:eastAsia="zh-CN"/>
              </w:rPr>
              <w:t>沧州临港经济技术开发区西区</w:t>
            </w:r>
            <w:r>
              <w:rPr>
                <w:rFonts w:hint="eastAsia" w:ascii="Times New Roman" w:hAnsi="Times New Roman" w:cs="Times New Roman"/>
                <w:sz w:val="24"/>
                <w:szCs w:val="20"/>
              </w:rPr>
              <w:t>，项目占地为工业用地，且用地范围内无生态环境保护目标</w:t>
            </w:r>
            <w:r>
              <w:rPr>
                <w:rFonts w:hint="eastAsia"/>
                <w:sz w:val="24"/>
                <w:szCs w:val="20"/>
                <w:lang w:eastAsia="zh-CN"/>
              </w:rPr>
              <w:t>，</w:t>
            </w:r>
            <w:r>
              <w:rPr>
                <w:rFonts w:hint="default" w:ascii="Times New Roman" w:hAnsi="Times New Roman" w:eastAsia="宋体" w:cs="Times New Roman"/>
                <w:color w:val="auto"/>
                <w:kern w:val="2"/>
                <w:sz w:val="24"/>
                <w:szCs w:val="24"/>
                <w:lang w:eastAsia="zh-CN" w:bidi="ar-SA"/>
              </w:rPr>
              <w:t>无需进行生态环境现状调查</w:t>
            </w:r>
            <w:r>
              <w:rPr>
                <w:rFonts w:hint="eastAsia" w:ascii="Times New Roman" w:hAnsi="Times New Roman" w:cs="Times New Roman"/>
                <w:sz w:val="24"/>
                <w:szCs w:val="20"/>
              </w:rPr>
              <w:t>。</w:t>
            </w:r>
          </w:p>
        </w:tc>
      </w:tr>
      <w:tr w14:paraId="3BEEF92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508" w:hRule="atLeast"/>
          <w:jc w:val="center"/>
        </w:trPr>
        <w:tc>
          <w:tcPr>
            <w:tcW w:w="357" w:type="dxa"/>
            <w:noWrap w:val="0"/>
            <w:vAlign w:val="center"/>
          </w:tcPr>
          <w:p w14:paraId="63122AF7">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kern w:val="0"/>
                <w:sz w:val="24"/>
              </w:rPr>
            </w:pPr>
            <w:r>
              <w:rPr>
                <w:rFonts w:hint="default" w:ascii="Times New Roman" w:hAnsi="Times New Roman" w:cs="Times New Roman"/>
                <w:b/>
                <w:kern w:val="0"/>
                <w:sz w:val="24"/>
              </w:rPr>
              <w:t>环境</w:t>
            </w:r>
          </w:p>
          <w:p w14:paraId="4BBF3475">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kern w:val="0"/>
                <w:sz w:val="24"/>
              </w:rPr>
            </w:pPr>
            <w:r>
              <w:rPr>
                <w:rFonts w:hint="default" w:ascii="Times New Roman" w:hAnsi="Times New Roman" w:cs="Times New Roman"/>
                <w:b/>
                <w:kern w:val="0"/>
                <w:sz w:val="24"/>
              </w:rPr>
              <w:t>保护</w:t>
            </w:r>
          </w:p>
          <w:p w14:paraId="747CB137">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kern w:val="0"/>
                <w:szCs w:val="21"/>
              </w:rPr>
            </w:pPr>
            <w:r>
              <w:rPr>
                <w:rFonts w:hint="default" w:ascii="Times New Roman" w:hAnsi="Times New Roman" w:cs="Times New Roman"/>
                <w:b/>
                <w:kern w:val="0"/>
                <w:sz w:val="24"/>
              </w:rPr>
              <w:t>目标</w:t>
            </w:r>
          </w:p>
        </w:tc>
        <w:tc>
          <w:tcPr>
            <w:tcW w:w="8633" w:type="dxa"/>
            <w:noWrap w:val="0"/>
            <w:vAlign w:val="top"/>
          </w:tcPr>
          <w:p w14:paraId="33F0B232">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textAlignment w:val="auto"/>
              <w:rPr>
                <w:rFonts w:hint="default" w:ascii="Times New Roman" w:hAnsi="Times New Roman" w:cs="Times New Roman"/>
                <w:b/>
                <w:sz w:val="24"/>
                <w:szCs w:val="22"/>
              </w:rPr>
            </w:pPr>
            <w:r>
              <w:rPr>
                <w:rFonts w:hint="default" w:ascii="Times New Roman" w:hAnsi="Times New Roman" w:cs="Times New Roman"/>
                <w:b/>
                <w:sz w:val="24"/>
                <w:szCs w:val="22"/>
              </w:rPr>
              <w:t>1</w:t>
            </w:r>
            <w:r>
              <w:rPr>
                <w:rFonts w:hint="eastAsia" w:ascii="Times New Roman" w:hAnsi="Times New Roman" w:cs="Times New Roman"/>
                <w:b/>
                <w:sz w:val="24"/>
                <w:szCs w:val="22"/>
              </w:rPr>
              <w:t>、大气环境</w:t>
            </w:r>
          </w:p>
          <w:p w14:paraId="5C89155B">
            <w:pPr>
              <w:keepNext/>
              <w:keepLines w:val="0"/>
              <w:widowControl/>
              <w:suppressLineNumbers w:val="0"/>
              <w:spacing w:before="0" w:beforeAutospacing="0" w:after="0" w:afterAutospacing="0" w:line="360" w:lineRule="auto"/>
              <w:ind w:left="0" w:right="0" w:firstLine="480" w:firstLineChars="200"/>
              <w:rPr>
                <w:rFonts w:hint="eastAsia" w:ascii="Times New Roman" w:hAnsi="Times New Roman" w:cs="Times New Roman"/>
                <w:color w:val="000000"/>
                <w:sz w:val="24"/>
              </w:rPr>
            </w:pPr>
            <w:r>
              <w:rPr>
                <w:rFonts w:hint="eastAsia" w:ascii="Times New Roman" w:hAnsi="Times New Roman" w:cs="Times New Roman"/>
                <w:color w:val="auto"/>
                <w:sz w:val="24"/>
                <w:szCs w:val="22"/>
              </w:rPr>
              <w:t>本项目</w:t>
            </w:r>
            <w:r>
              <w:rPr>
                <w:rFonts w:hint="eastAsia" w:ascii="Times New Roman" w:hAnsi="Times New Roman" w:cs="Times New Roman"/>
                <w:color w:val="auto"/>
                <w:sz w:val="24"/>
                <w:szCs w:val="22"/>
                <w:lang w:eastAsia="zh-CN"/>
              </w:rPr>
              <w:t>厂界外</w:t>
            </w:r>
            <w:r>
              <w:rPr>
                <w:rFonts w:hint="eastAsia" w:ascii="Times New Roman" w:hAnsi="Times New Roman" w:cs="Times New Roman"/>
                <w:color w:val="auto"/>
                <w:sz w:val="24"/>
                <w:szCs w:val="22"/>
                <w:lang w:val="en-US" w:eastAsia="zh-CN"/>
              </w:rPr>
              <w:t>500米范围内无大气</w:t>
            </w:r>
            <w:r>
              <w:rPr>
                <w:rFonts w:hint="eastAsia" w:ascii="Times New Roman" w:hAnsi="Times New Roman" w:cs="Times New Roman"/>
                <w:color w:val="auto"/>
                <w:sz w:val="24"/>
                <w:szCs w:val="22"/>
              </w:rPr>
              <w:t>环境</w:t>
            </w:r>
            <w:r>
              <w:rPr>
                <w:rFonts w:hint="eastAsia" w:ascii="Times New Roman" w:hAnsi="Times New Roman" w:cs="Times New Roman"/>
                <w:color w:val="auto"/>
                <w:sz w:val="24"/>
                <w:szCs w:val="22"/>
                <w:lang w:val="en-US" w:eastAsia="zh-CN"/>
              </w:rPr>
              <w:t>保护目标</w:t>
            </w:r>
            <w:r>
              <w:rPr>
                <w:rFonts w:hint="eastAsia" w:ascii="Times New Roman" w:hAnsi="Times New Roman" w:cs="Times New Roman"/>
                <w:sz w:val="24"/>
                <w:szCs w:val="22"/>
              </w:rPr>
              <w:t>。</w:t>
            </w:r>
          </w:p>
          <w:p w14:paraId="58C341F1">
            <w:pPr>
              <w:keepNext w:val="0"/>
              <w:keepLines w:val="0"/>
              <w:suppressLineNumbers w:val="0"/>
              <w:spacing w:before="0" w:beforeAutospacing="0" w:after="0" w:afterAutospacing="0" w:line="440" w:lineRule="exact"/>
              <w:ind w:left="0" w:right="0"/>
              <w:jc w:val="left"/>
              <w:rPr>
                <w:rFonts w:hint="default" w:ascii="Times New Roman" w:hAnsi="Times New Roman" w:cs="Times New Roman"/>
                <w:b/>
                <w:color w:val="000000"/>
                <w:sz w:val="24"/>
              </w:rPr>
            </w:pPr>
            <w:r>
              <w:rPr>
                <w:rFonts w:hint="default" w:ascii="Times New Roman" w:hAnsi="Times New Roman" w:cs="Times New Roman"/>
                <w:b/>
                <w:color w:val="000000"/>
                <w:sz w:val="24"/>
              </w:rPr>
              <w:t>2</w:t>
            </w:r>
            <w:r>
              <w:rPr>
                <w:rFonts w:hint="eastAsia" w:ascii="Times New Roman" w:hAnsi="Times New Roman" w:cs="Times New Roman"/>
                <w:b/>
                <w:color w:val="000000"/>
                <w:sz w:val="24"/>
              </w:rPr>
              <w:t>、声环境</w:t>
            </w:r>
          </w:p>
          <w:p w14:paraId="089F5B12">
            <w:pPr>
              <w:keepNext w:val="0"/>
              <w:keepLines w:val="0"/>
              <w:suppressLineNumbers w:val="0"/>
              <w:spacing w:before="0" w:beforeAutospacing="0" w:after="0" w:afterAutospacing="0" w:line="440" w:lineRule="exact"/>
              <w:ind w:left="0" w:right="0" w:firstLine="480" w:firstLineChars="200"/>
              <w:jc w:val="left"/>
              <w:rPr>
                <w:rFonts w:hint="default" w:ascii="Times New Roman" w:hAnsi="Times New Roman" w:cs="Times New Roman"/>
                <w:color w:val="000000"/>
                <w:sz w:val="24"/>
              </w:rPr>
            </w:pPr>
            <w:r>
              <w:rPr>
                <w:rFonts w:hint="eastAsia" w:ascii="Times New Roman" w:hAnsi="Times New Roman" w:cs="Times New Roman"/>
                <w:color w:val="000000"/>
                <w:sz w:val="24"/>
              </w:rPr>
              <w:t>本项目厂界外</w:t>
            </w:r>
            <w:r>
              <w:rPr>
                <w:rFonts w:hint="default" w:ascii="Times New Roman" w:hAnsi="Times New Roman" w:cs="Times New Roman"/>
                <w:color w:val="000000"/>
                <w:sz w:val="24"/>
              </w:rPr>
              <w:t>50</w:t>
            </w:r>
            <w:r>
              <w:rPr>
                <w:rFonts w:hint="eastAsia" w:ascii="Times New Roman" w:hAnsi="Times New Roman" w:cs="Times New Roman"/>
                <w:color w:val="000000"/>
                <w:sz w:val="24"/>
              </w:rPr>
              <w:t>米范围内无声环境保护目标。</w:t>
            </w:r>
          </w:p>
          <w:p w14:paraId="1590E67F">
            <w:pPr>
              <w:keepNext w:val="0"/>
              <w:keepLines w:val="0"/>
              <w:suppressLineNumbers w:val="0"/>
              <w:spacing w:before="0" w:beforeAutospacing="0" w:after="0" w:afterAutospacing="0" w:line="440" w:lineRule="exact"/>
              <w:ind w:left="0" w:right="0"/>
              <w:jc w:val="left"/>
              <w:rPr>
                <w:rFonts w:hint="default" w:ascii="Times New Roman" w:hAnsi="Times New Roman" w:cs="Times New Roman"/>
                <w:b/>
                <w:color w:val="000000"/>
                <w:sz w:val="24"/>
              </w:rPr>
            </w:pPr>
            <w:r>
              <w:rPr>
                <w:rFonts w:hint="default" w:ascii="Times New Roman" w:hAnsi="Times New Roman" w:cs="Times New Roman"/>
                <w:b/>
                <w:color w:val="000000"/>
                <w:sz w:val="24"/>
              </w:rPr>
              <w:t>3</w:t>
            </w:r>
            <w:r>
              <w:rPr>
                <w:rFonts w:hint="eastAsia" w:ascii="Times New Roman" w:hAnsi="Times New Roman" w:cs="Times New Roman"/>
                <w:b/>
                <w:color w:val="000000"/>
                <w:sz w:val="24"/>
              </w:rPr>
              <w:t>、地下水环境</w:t>
            </w:r>
          </w:p>
          <w:p w14:paraId="2B9B8F81">
            <w:pPr>
              <w:keepNext w:val="0"/>
              <w:keepLines w:val="0"/>
              <w:suppressLineNumbers w:val="0"/>
              <w:spacing w:before="0" w:beforeAutospacing="0" w:after="0" w:afterAutospacing="0" w:line="440" w:lineRule="exact"/>
              <w:ind w:left="0" w:right="0" w:firstLine="480" w:firstLineChars="200"/>
              <w:jc w:val="left"/>
              <w:rPr>
                <w:rFonts w:hint="default" w:ascii="Times New Roman" w:hAnsi="Times New Roman" w:cs="Times New Roman"/>
                <w:color w:val="000000"/>
                <w:sz w:val="24"/>
              </w:rPr>
            </w:pPr>
            <w:r>
              <w:rPr>
                <w:rFonts w:hint="eastAsia" w:ascii="Times New Roman" w:hAnsi="Times New Roman" w:cs="Times New Roman"/>
                <w:color w:val="000000"/>
                <w:sz w:val="24"/>
              </w:rPr>
              <w:t>本项目</w:t>
            </w:r>
            <w:r>
              <w:rPr>
                <w:rFonts w:hint="eastAsia" w:cs="Times New Roman"/>
                <w:color w:val="000000"/>
                <w:sz w:val="24"/>
                <w:lang w:eastAsia="zh-CN"/>
              </w:rPr>
              <w:t>新增纯水为外购，生活</w:t>
            </w:r>
            <w:r>
              <w:rPr>
                <w:rFonts w:hint="eastAsia" w:ascii="Times New Roman" w:hAnsi="Times New Roman" w:cs="Times New Roman"/>
                <w:color w:val="000000"/>
                <w:sz w:val="24"/>
              </w:rPr>
              <w:t>用水由园区集中供水，本项目厂界外</w:t>
            </w:r>
            <w:r>
              <w:rPr>
                <w:rFonts w:hint="default" w:ascii="Times New Roman" w:hAnsi="Times New Roman" w:cs="Times New Roman"/>
                <w:color w:val="000000"/>
                <w:sz w:val="24"/>
              </w:rPr>
              <w:t>500</w:t>
            </w:r>
            <w:r>
              <w:rPr>
                <w:rFonts w:hint="eastAsia" w:ascii="Times New Roman" w:hAnsi="Times New Roman" w:cs="Times New Roman"/>
                <w:color w:val="000000"/>
                <w:sz w:val="24"/>
              </w:rPr>
              <w:t>米范围内无地下水集中式饮用水水源和热水、</w:t>
            </w:r>
            <w:r>
              <w:rPr>
                <w:rFonts w:hint="eastAsia" w:ascii="Times New Roman" w:hAnsi="Times New Roman" w:eastAsia="宋体" w:cs="Times New Roman"/>
                <w:color w:val="000000"/>
                <w:sz w:val="24"/>
              </w:rPr>
              <w:t>矿泉水、</w:t>
            </w:r>
            <w:r>
              <w:rPr>
                <w:rFonts w:hint="eastAsia" w:ascii="Times New Roman" w:hAnsi="Times New Roman" w:cs="Times New Roman"/>
                <w:color w:val="000000"/>
                <w:sz w:val="24"/>
              </w:rPr>
              <w:t>温泉等特殊地下水资源。</w:t>
            </w:r>
          </w:p>
          <w:p w14:paraId="0C5E7174">
            <w:pPr>
              <w:keepNext w:val="0"/>
              <w:keepLines w:val="0"/>
              <w:suppressLineNumbers w:val="0"/>
              <w:spacing w:before="0" w:beforeAutospacing="0" w:after="0" w:afterAutospacing="0" w:line="440" w:lineRule="exact"/>
              <w:ind w:left="0" w:right="0"/>
              <w:jc w:val="left"/>
              <w:rPr>
                <w:rFonts w:hint="eastAsia" w:ascii="Times New Roman" w:hAnsi="Times New Roman" w:cs="Times New Roman"/>
                <w:b/>
                <w:color w:val="000000"/>
                <w:sz w:val="24"/>
              </w:rPr>
            </w:pPr>
            <w:r>
              <w:rPr>
                <w:rFonts w:hint="default" w:ascii="Times New Roman" w:hAnsi="Times New Roman" w:cs="Times New Roman"/>
                <w:b/>
                <w:color w:val="000000"/>
                <w:sz w:val="24"/>
              </w:rPr>
              <w:t>4</w:t>
            </w:r>
            <w:r>
              <w:rPr>
                <w:rFonts w:hint="eastAsia" w:ascii="Times New Roman" w:hAnsi="Times New Roman" w:cs="Times New Roman"/>
                <w:b/>
                <w:color w:val="000000"/>
                <w:sz w:val="24"/>
              </w:rPr>
              <w:t>、生态环境</w:t>
            </w:r>
          </w:p>
          <w:p w14:paraId="02573046">
            <w:pPr>
              <w:keepNext w:val="0"/>
              <w:keepLines w:val="0"/>
              <w:suppressLineNumbers w:val="0"/>
              <w:spacing w:before="0" w:beforeAutospacing="0" w:after="0" w:afterAutospacing="0" w:line="440" w:lineRule="exact"/>
              <w:ind w:left="0" w:right="0" w:firstLine="480" w:firstLineChars="200"/>
              <w:rPr>
                <w:rFonts w:hint="default"/>
              </w:rPr>
            </w:pPr>
            <w:r>
              <w:rPr>
                <w:rFonts w:hint="eastAsia" w:ascii="Times New Roman" w:hAnsi="Times New Roman" w:cs="Times New Roman"/>
                <w:color w:val="000000"/>
                <w:sz w:val="24"/>
              </w:rPr>
              <w:t>本项目位于</w:t>
            </w:r>
            <w:r>
              <w:rPr>
                <w:rFonts w:hint="eastAsia" w:ascii="Times New Roman" w:hAnsi="Times New Roman" w:cs="Times New Roman"/>
                <w:sz w:val="24"/>
                <w:szCs w:val="20"/>
                <w:lang w:eastAsia="zh-CN"/>
              </w:rPr>
              <w:t>沧州临港经济技术开发区西区</w:t>
            </w:r>
            <w:r>
              <w:rPr>
                <w:rFonts w:hint="eastAsia" w:ascii="Times New Roman" w:hAnsi="Times New Roman" w:cs="Times New Roman"/>
                <w:color w:val="000000"/>
                <w:sz w:val="24"/>
              </w:rPr>
              <w:t>内，用地范围内不含生态环境保护目标。</w:t>
            </w:r>
          </w:p>
          <w:p w14:paraId="2DC1D638">
            <w:pPr>
              <w:keepNext w:val="0"/>
              <w:keepLines w:val="0"/>
              <w:pageBreakBefore w:val="0"/>
              <w:widowControl w:val="0"/>
              <w:suppressLineNumbers w:val="0"/>
              <w:kinsoku/>
              <w:wordWrap/>
              <w:overflowPunct/>
              <w:topLinePunct w:val="0"/>
              <w:autoSpaceDE w:val="0"/>
              <w:autoSpaceDN w:val="0"/>
              <w:bidi w:val="0"/>
              <w:adjustRightInd w:val="0"/>
              <w:snapToGrid w:val="0"/>
              <w:spacing w:before="157" w:beforeLines="50" w:beforeAutospacing="0" w:after="0" w:afterAutospacing="0" w:line="240" w:lineRule="auto"/>
              <w:ind w:left="0" w:right="0"/>
              <w:jc w:val="center"/>
              <w:textAlignment w:val="auto"/>
              <w:rPr>
                <w:rFonts w:hint="default"/>
                <w:b/>
                <w:bCs/>
                <w:szCs w:val="21"/>
              </w:rPr>
            </w:pPr>
            <w:r>
              <w:rPr>
                <w:rFonts w:hint="default"/>
                <w:b/>
                <w:bCs/>
                <w:szCs w:val="21"/>
              </w:rPr>
              <w:t>环境保护目标一览表</w:t>
            </w:r>
          </w:p>
          <w:tbl>
            <w:tblPr>
              <w:tblStyle w:val="38"/>
              <w:tblW w:w="8324"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680"/>
              <w:gridCol w:w="1282"/>
              <w:gridCol w:w="1028"/>
              <w:gridCol w:w="1028"/>
              <w:gridCol w:w="885"/>
              <w:gridCol w:w="810"/>
              <w:gridCol w:w="570"/>
              <w:gridCol w:w="2041"/>
            </w:tblGrid>
            <w:tr w14:paraId="033304B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38" w:hRule="atLeast"/>
                <w:jc w:val="center"/>
              </w:trPr>
              <w:tc>
                <w:tcPr>
                  <w:tcW w:w="680" w:type="dxa"/>
                  <w:vMerge w:val="restart"/>
                  <w:noWrap w:val="0"/>
                  <w:vAlign w:val="center"/>
                </w:tcPr>
                <w:p w14:paraId="1F184B49">
                  <w:pPr>
                    <w:keepNext w:val="0"/>
                    <w:keepLines w:val="0"/>
                    <w:suppressLineNumbers w:val="0"/>
                    <w:adjustRightInd w:val="0"/>
                    <w:snapToGrid w:val="0"/>
                    <w:spacing w:before="0" w:beforeAutospacing="0" w:after="0" w:afterAutospacing="0"/>
                    <w:ind w:left="0" w:right="0"/>
                    <w:jc w:val="center"/>
                    <w:rPr>
                      <w:rFonts w:hint="default"/>
                      <w:snapToGrid w:val="0"/>
                      <w:kern w:val="0"/>
                      <w:szCs w:val="21"/>
                    </w:rPr>
                  </w:pPr>
                  <w:r>
                    <w:rPr>
                      <w:rFonts w:hint="default"/>
                      <w:snapToGrid w:val="0"/>
                      <w:kern w:val="0"/>
                      <w:szCs w:val="21"/>
                    </w:rPr>
                    <w:t>项目</w:t>
                  </w:r>
                </w:p>
              </w:tc>
              <w:tc>
                <w:tcPr>
                  <w:tcW w:w="1282" w:type="dxa"/>
                  <w:vMerge w:val="restart"/>
                  <w:noWrap w:val="0"/>
                  <w:vAlign w:val="center"/>
                </w:tcPr>
                <w:p w14:paraId="74D8AC31">
                  <w:pPr>
                    <w:keepNext w:val="0"/>
                    <w:keepLines w:val="0"/>
                    <w:suppressLineNumbers w:val="0"/>
                    <w:adjustRightInd w:val="0"/>
                    <w:snapToGrid w:val="0"/>
                    <w:spacing w:before="0" w:beforeAutospacing="0" w:after="0" w:afterAutospacing="0"/>
                    <w:ind w:left="0" w:right="0"/>
                    <w:jc w:val="center"/>
                    <w:rPr>
                      <w:rFonts w:hint="default"/>
                      <w:snapToGrid w:val="0"/>
                      <w:kern w:val="0"/>
                      <w:szCs w:val="21"/>
                    </w:rPr>
                  </w:pPr>
                  <w:r>
                    <w:rPr>
                      <w:rFonts w:hint="default"/>
                      <w:snapToGrid w:val="0"/>
                      <w:kern w:val="0"/>
                      <w:szCs w:val="21"/>
                    </w:rPr>
                    <w:t>保护目标名称</w:t>
                  </w:r>
                </w:p>
              </w:tc>
              <w:tc>
                <w:tcPr>
                  <w:tcW w:w="2056" w:type="dxa"/>
                  <w:gridSpan w:val="2"/>
                  <w:noWrap w:val="0"/>
                  <w:vAlign w:val="center"/>
                </w:tcPr>
                <w:p w14:paraId="0EF96322">
                  <w:pPr>
                    <w:keepNext w:val="0"/>
                    <w:keepLines w:val="0"/>
                    <w:suppressLineNumbers w:val="0"/>
                    <w:adjustRightInd w:val="0"/>
                    <w:snapToGrid w:val="0"/>
                    <w:spacing w:before="0" w:beforeAutospacing="0" w:after="0" w:afterAutospacing="0"/>
                    <w:ind w:left="0" w:right="0"/>
                    <w:jc w:val="center"/>
                    <w:rPr>
                      <w:rFonts w:hint="default"/>
                      <w:snapToGrid w:val="0"/>
                      <w:kern w:val="0"/>
                      <w:szCs w:val="21"/>
                    </w:rPr>
                  </w:pPr>
                  <w:r>
                    <w:rPr>
                      <w:rFonts w:hint="default"/>
                      <w:snapToGrid w:val="0"/>
                      <w:kern w:val="0"/>
                      <w:szCs w:val="21"/>
                    </w:rPr>
                    <w:t>坐标</w:t>
                  </w:r>
                </w:p>
              </w:tc>
              <w:tc>
                <w:tcPr>
                  <w:tcW w:w="885" w:type="dxa"/>
                  <w:vMerge w:val="restart"/>
                  <w:noWrap w:val="0"/>
                  <w:vAlign w:val="center"/>
                </w:tcPr>
                <w:p w14:paraId="409C6DAF">
                  <w:pPr>
                    <w:keepNext w:val="0"/>
                    <w:keepLines w:val="0"/>
                    <w:suppressLineNumbers w:val="0"/>
                    <w:adjustRightInd w:val="0"/>
                    <w:snapToGrid w:val="0"/>
                    <w:spacing w:before="0" w:beforeAutospacing="0" w:after="0" w:afterAutospacing="0"/>
                    <w:ind w:left="0" w:right="0"/>
                    <w:jc w:val="center"/>
                    <w:rPr>
                      <w:rFonts w:hint="default"/>
                      <w:snapToGrid w:val="0"/>
                      <w:kern w:val="0"/>
                      <w:szCs w:val="21"/>
                    </w:rPr>
                  </w:pPr>
                  <w:r>
                    <w:rPr>
                      <w:rFonts w:hint="default"/>
                      <w:snapToGrid w:val="0"/>
                      <w:kern w:val="0"/>
                      <w:szCs w:val="21"/>
                    </w:rPr>
                    <w:t>方位</w:t>
                  </w:r>
                </w:p>
              </w:tc>
              <w:tc>
                <w:tcPr>
                  <w:tcW w:w="810" w:type="dxa"/>
                  <w:vMerge w:val="restart"/>
                  <w:noWrap w:val="0"/>
                  <w:vAlign w:val="center"/>
                </w:tcPr>
                <w:p w14:paraId="51B2C3C8">
                  <w:pPr>
                    <w:keepNext w:val="0"/>
                    <w:keepLines w:val="0"/>
                    <w:suppressLineNumbers w:val="0"/>
                    <w:adjustRightInd w:val="0"/>
                    <w:snapToGrid w:val="0"/>
                    <w:spacing w:before="0" w:beforeAutospacing="0" w:after="0" w:afterAutospacing="0"/>
                    <w:ind w:left="0" w:right="0"/>
                    <w:jc w:val="center"/>
                    <w:rPr>
                      <w:rFonts w:hint="default"/>
                      <w:snapToGrid w:val="0"/>
                      <w:kern w:val="0"/>
                      <w:szCs w:val="21"/>
                    </w:rPr>
                  </w:pPr>
                  <w:r>
                    <w:rPr>
                      <w:rFonts w:hint="default"/>
                      <w:snapToGrid w:val="0"/>
                      <w:kern w:val="0"/>
                      <w:szCs w:val="21"/>
                    </w:rPr>
                    <w:t>距厂界距离（m）</w:t>
                  </w:r>
                </w:p>
              </w:tc>
              <w:tc>
                <w:tcPr>
                  <w:tcW w:w="570" w:type="dxa"/>
                  <w:vMerge w:val="restart"/>
                  <w:noWrap w:val="0"/>
                  <w:vAlign w:val="center"/>
                </w:tcPr>
                <w:p w14:paraId="6504D8D3">
                  <w:pPr>
                    <w:keepNext w:val="0"/>
                    <w:keepLines w:val="0"/>
                    <w:suppressLineNumbers w:val="0"/>
                    <w:adjustRightInd w:val="0"/>
                    <w:snapToGrid w:val="0"/>
                    <w:spacing w:before="0" w:beforeAutospacing="0" w:after="0" w:afterAutospacing="0"/>
                    <w:ind w:left="0" w:right="0"/>
                    <w:jc w:val="center"/>
                    <w:rPr>
                      <w:rFonts w:hint="default"/>
                      <w:snapToGrid w:val="0"/>
                      <w:kern w:val="0"/>
                      <w:szCs w:val="21"/>
                    </w:rPr>
                  </w:pPr>
                  <w:r>
                    <w:rPr>
                      <w:rFonts w:hint="default"/>
                      <w:snapToGrid w:val="0"/>
                      <w:kern w:val="0"/>
                      <w:szCs w:val="21"/>
                    </w:rPr>
                    <w:t>保护对象</w:t>
                  </w:r>
                </w:p>
              </w:tc>
              <w:tc>
                <w:tcPr>
                  <w:tcW w:w="2041" w:type="dxa"/>
                  <w:vMerge w:val="restart"/>
                  <w:noWrap w:val="0"/>
                  <w:vAlign w:val="center"/>
                </w:tcPr>
                <w:p w14:paraId="10639FEA">
                  <w:pPr>
                    <w:keepNext w:val="0"/>
                    <w:keepLines w:val="0"/>
                    <w:suppressLineNumbers w:val="0"/>
                    <w:adjustRightInd w:val="0"/>
                    <w:snapToGrid w:val="0"/>
                    <w:spacing w:before="0" w:beforeAutospacing="0" w:after="0" w:afterAutospacing="0"/>
                    <w:ind w:left="0" w:right="0"/>
                    <w:jc w:val="center"/>
                    <w:rPr>
                      <w:rFonts w:hint="default"/>
                      <w:snapToGrid w:val="0"/>
                      <w:kern w:val="0"/>
                      <w:szCs w:val="21"/>
                    </w:rPr>
                  </w:pPr>
                  <w:r>
                    <w:rPr>
                      <w:rFonts w:hint="default"/>
                      <w:snapToGrid w:val="0"/>
                      <w:kern w:val="0"/>
                      <w:szCs w:val="21"/>
                    </w:rPr>
                    <w:t>保护标准及级别</w:t>
                  </w:r>
                </w:p>
              </w:tc>
            </w:tr>
            <w:tr w14:paraId="6D2C3C8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38" w:hRule="atLeast"/>
                <w:jc w:val="center"/>
              </w:trPr>
              <w:tc>
                <w:tcPr>
                  <w:tcW w:w="680" w:type="dxa"/>
                  <w:vMerge w:val="continue"/>
                  <w:noWrap w:val="0"/>
                  <w:vAlign w:val="center"/>
                </w:tcPr>
                <w:p w14:paraId="30FCD9D5">
                  <w:pPr>
                    <w:keepNext w:val="0"/>
                    <w:keepLines w:val="0"/>
                    <w:suppressLineNumbers w:val="0"/>
                    <w:adjustRightInd w:val="0"/>
                    <w:snapToGrid w:val="0"/>
                    <w:spacing w:before="0" w:beforeAutospacing="0" w:after="0" w:afterAutospacing="0"/>
                    <w:ind w:left="0" w:right="0"/>
                    <w:jc w:val="center"/>
                    <w:rPr>
                      <w:rFonts w:hint="default"/>
                      <w:szCs w:val="21"/>
                    </w:rPr>
                  </w:pPr>
                </w:p>
              </w:tc>
              <w:tc>
                <w:tcPr>
                  <w:tcW w:w="1282" w:type="dxa"/>
                  <w:vMerge w:val="continue"/>
                  <w:noWrap w:val="0"/>
                  <w:vAlign w:val="center"/>
                </w:tcPr>
                <w:p w14:paraId="3F47303F">
                  <w:pPr>
                    <w:keepNext w:val="0"/>
                    <w:keepLines w:val="0"/>
                    <w:suppressLineNumbers w:val="0"/>
                    <w:adjustRightInd w:val="0"/>
                    <w:snapToGrid w:val="0"/>
                    <w:spacing w:before="0" w:beforeAutospacing="0" w:after="0" w:afterAutospacing="0"/>
                    <w:ind w:left="0" w:right="0"/>
                    <w:jc w:val="center"/>
                    <w:rPr>
                      <w:rFonts w:hint="default"/>
                      <w:szCs w:val="21"/>
                    </w:rPr>
                  </w:pPr>
                </w:p>
              </w:tc>
              <w:tc>
                <w:tcPr>
                  <w:tcW w:w="1028" w:type="dxa"/>
                  <w:noWrap w:val="0"/>
                  <w:vAlign w:val="center"/>
                </w:tcPr>
                <w:p w14:paraId="0F4D287E">
                  <w:pPr>
                    <w:keepNext w:val="0"/>
                    <w:keepLines w:val="0"/>
                    <w:suppressLineNumbers w:val="0"/>
                    <w:adjustRightInd w:val="0"/>
                    <w:snapToGrid w:val="0"/>
                    <w:spacing w:before="0" w:beforeAutospacing="0" w:after="0" w:afterAutospacing="0"/>
                    <w:ind w:left="0" w:right="0"/>
                    <w:jc w:val="center"/>
                    <w:rPr>
                      <w:rFonts w:hint="default"/>
                      <w:snapToGrid w:val="0"/>
                      <w:kern w:val="0"/>
                      <w:szCs w:val="21"/>
                    </w:rPr>
                  </w:pPr>
                  <w:r>
                    <w:rPr>
                      <w:rFonts w:hint="default"/>
                      <w:snapToGrid w:val="0"/>
                      <w:kern w:val="0"/>
                      <w:szCs w:val="21"/>
                    </w:rPr>
                    <w:t>东经</w:t>
                  </w:r>
                </w:p>
              </w:tc>
              <w:tc>
                <w:tcPr>
                  <w:tcW w:w="1028" w:type="dxa"/>
                  <w:noWrap w:val="0"/>
                  <w:vAlign w:val="center"/>
                </w:tcPr>
                <w:p w14:paraId="78A4D192">
                  <w:pPr>
                    <w:keepNext w:val="0"/>
                    <w:keepLines w:val="0"/>
                    <w:suppressLineNumbers w:val="0"/>
                    <w:adjustRightInd w:val="0"/>
                    <w:snapToGrid w:val="0"/>
                    <w:spacing w:before="0" w:beforeAutospacing="0" w:after="0" w:afterAutospacing="0"/>
                    <w:ind w:left="0" w:right="0"/>
                    <w:jc w:val="center"/>
                    <w:rPr>
                      <w:rFonts w:hint="default"/>
                      <w:snapToGrid w:val="0"/>
                      <w:kern w:val="0"/>
                      <w:szCs w:val="21"/>
                    </w:rPr>
                  </w:pPr>
                  <w:r>
                    <w:rPr>
                      <w:rFonts w:hint="default"/>
                      <w:snapToGrid w:val="0"/>
                      <w:kern w:val="0"/>
                      <w:szCs w:val="21"/>
                    </w:rPr>
                    <w:t>北纬</w:t>
                  </w:r>
                </w:p>
              </w:tc>
              <w:tc>
                <w:tcPr>
                  <w:tcW w:w="885" w:type="dxa"/>
                  <w:vMerge w:val="continue"/>
                  <w:noWrap w:val="0"/>
                  <w:vAlign w:val="center"/>
                </w:tcPr>
                <w:p w14:paraId="2761643C">
                  <w:pPr>
                    <w:keepNext w:val="0"/>
                    <w:keepLines w:val="0"/>
                    <w:suppressLineNumbers w:val="0"/>
                    <w:adjustRightInd w:val="0"/>
                    <w:snapToGrid w:val="0"/>
                    <w:spacing w:before="0" w:beforeAutospacing="0" w:after="0" w:afterAutospacing="0"/>
                    <w:ind w:left="0" w:right="0"/>
                    <w:jc w:val="center"/>
                    <w:rPr>
                      <w:rFonts w:hint="default"/>
                      <w:snapToGrid w:val="0"/>
                      <w:kern w:val="0"/>
                      <w:szCs w:val="21"/>
                    </w:rPr>
                  </w:pPr>
                </w:p>
              </w:tc>
              <w:tc>
                <w:tcPr>
                  <w:tcW w:w="810" w:type="dxa"/>
                  <w:vMerge w:val="continue"/>
                  <w:noWrap w:val="0"/>
                  <w:vAlign w:val="center"/>
                </w:tcPr>
                <w:p w14:paraId="13ADDAB0">
                  <w:pPr>
                    <w:keepNext w:val="0"/>
                    <w:keepLines w:val="0"/>
                    <w:suppressLineNumbers w:val="0"/>
                    <w:adjustRightInd w:val="0"/>
                    <w:snapToGrid w:val="0"/>
                    <w:spacing w:before="0" w:beforeAutospacing="0" w:after="0" w:afterAutospacing="0"/>
                    <w:ind w:left="0" w:right="0"/>
                    <w:jc w:val="center"/>
                    <w:rPr>
                      <w:rFonts w:hint="default"/>
                      <w:snapToGrid w:val="0"/>
                      <w:kern w:val="0"/>
                      <w:szCs w:val="21"/>
                    </w:rPr>
                  </w:pPr>
                </w:p>
              </w:tc>
              <w:tc>
                <w:tcPr>
                  <w:tcW w:w="570" w:type="dxa"/>
                  <w:vMerge w:val="continue"/>
                  <w:noWrap w:val="0"/>
                  <w:vAlign w:val="center"/>
                </w:tcPr>
                <w:p w14:paraId="5BFB22E6">
                  <w:pPr>
                    <w:keepNext w:val="0"/>
                    <w:keepLines w:val="0"/>
                    <w:suppressLineNumbers w:val="0"/>
                    <w:adjustRightInd w:val="0"/>
                    <w:snapToGrid w:val="0"/>
                    <w:spacing w:before="0" w:beforeAutospacing="0" w:after="0" w:afterAutospacing="0"/>
                    <w:ind w:left="0" w:right="0"/>
                    <w:jc w:val="center"/>
                    <w:rPr>
                      <w:rFonts w:hint="default"/>
                      <w:snapToGrid w:val="0"/>
                      <w:kern w:val="0"/>
                      <w:szCs w:val="21"/>
                    </w:rPr>
                  </w:pPr>
                </w:p>
              </w:tc>
              <w:tc>
                <w:tcPr>
                  <w:tcW w:w="2041" w:type="dxa"/>
                  <w:vMerge w:val="continue"/>
                  <w:noWrap w:val="0"/>
                  <w:vAlign w:val="center"/>
                </w:tcPr>
                <w:p w14:paraId="366B40C4">
                  <w:pPr>
                    <w:keepNext w:val="0"/>
                    <w:keepLines w:val="0"/>
                    <w:suppressLineNumbers w:val="0"/>
                    <w:adjustRightInd w:val="0"/>
                    <w:snapToGrid w:val="0"/>
                    <w:spacing w:before="0" w:beforeAutospacing="0" w:after="0" w:afterAutospacing="0"/>
                    <w:ind w:left="0" w:right="0"/>
                    <w:jc w:val="center"/>
                    <w:rPr>
                      <w:rFonts w:hint="default"/>
                      <w:snapToGrid w:val="0"/>
                      <w:kern w:val="0"/>
                      <w:szCs w:val="21"/>
                    </w:rPr>
                  </w:pPr>
                </w:p>
              </w:tc>
            </w:tr>
            <w:tr w14:paraId="45F9DD0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234" w:hRule="atLeast"/>
                <w:jc w:val="center"/>
              </w:trPr>
              <w:tc>
                <w:tcPr>
                  <w:tcW w:w="680" w:type="dxa"/>
                  <w:noWrap w:val="0"/>
                  <w:vAlign w:val="center"/>
                </w:tcPr>
                <w:p w14:paraId="38926500">
                  <w:pPr>
                    <w:keepNext w:val="0"/>
                    <w:keepLines w:val="0"/>
                    <w:suppressLineNumbers w:val="0"/>
                    <w:adjustRightInd w:val="0"/>
                    <w:snapToGrid w:val="0"/>
                    <w:spacing w:before="0" w:beforeAutospacing="0" w:after="0" w:afterAutospacing="0"/>
                    <w:ind w:left="0" w:right="0"/>
                    <w:jc w:val="center"/>
                    <w:rPr>
                      <w:rFonts w:hint="default"/>
                      <w:snapToGrid w:val="0"/>
                      <w:kern w:val="0"/>
                      <w:szCs w:val="21"/>
                    </w:rPr>
                  </w:pPr>
                  <w:r>
                    <w:rPr>
                      <w:rFonts w:hint="default"/>
                      <w:snapToGrid w:val="0"/>
                      <w:kern w:val="0"/>
                      <w:szCs w:val="21"/>
                    </w:rPr>
                    <w:t>大气</w:t>
                  </w:r>
                </w:p>
                <w:p w14:paraId="27E3F880">
                  <w:pPr>
                    <w:keepNext w:val="0"/>
                    <w:keepLines w:val="0"/>
                    <w:suppressLineNumbers w:val="0"/>
                    <w:adjustRightInd w:val="0"/>
                    <w:snapToGrid w:val="0"/>
                    <w:spacing w:before="0" w:beforeAutospacing="0" w:after="0" w:afterAutospacing="0"/>
                    <w:ind w:left="0" w:right="0"/>
                    <w:jc w:val="center"/>
                    <w:rPr>
                      <w:rFonts w:hint="default"/>
                      <w:szCs w:val="21"/>
                    </w:rPr>
                  </w:pPr>
                  <w:r>
                    <w:rPr>
                      <w:rFonts w:hint="default"/>
                      <w:snapToGrid w:val="0"/>
                      <w:kern w:val="0"/>
                      <w:szCs w:val="21"/>
                    </w:rPr>
                    <w:t>环境</w:t>
                  </w:r>
                </w:p>
              </w:tc>
              <w:tc>
                <w:tcPr>
                  <w:tcW w:w="5603" w:type="dxa"/>
                  <w:gridSpan w:val="6"/>
                  <w:noWrap w:val="0"/>
                  <w:vAlign w:val="center"/>
                </w:tcPr>
                <w:p w14:paraId="295713C2">
                  <w:pPr>
                    <w:keepNext w:val="0"/>
                    <w:keepLines w:val="0"/>
                    <w:suppressLineNumbers w:val="0"/>
                    <w:adjustRightInd w:val="0"/>
                    <w:snapToGrid w:val="0"/>
                    <w:spacing w:before="0" w:beforeAutospacing="0" w:after="0" w:afterAutospacing="0"/>
                    <w:ind w:left="0" w:right="0"/>
                    <w:jc w:val="center"/>
                    <w:rPr>
                      <w:rFonts w:hint="eastAsia" w:eastAsia="宋体"/>
                      <w:snapToGrid w:val="0"/>
                      <w:kern w:val="0"/>
                      <w:szCs w:val="21"/>
                      <w:lang w:eastAsia="zh-CN"/>
                    </w:rPr>
                  </w:pPr>
                  <w:r>
                    <w:rPr>
                      <w:rFonts w:hint="eastAsia"/>
                      <w:snapToGrid w:val="0"/>
                      <w:kern w:val="0"/>
                      <w:szCs w:val="21"/>
                    </w:rPr>
                    <w:t>项目500m范围内无大气环境敏感目标</w:t>
                  </w:r>
                </w:p>
              </w:tc>
              <w:tc>
                <w:tcPr>
                  <w:tcW w:w="2041" w:type="dxa"/>
                  <w:noWrap w:val="0"/>
                  <w:vAlign w:val="center"/>
                </w:tcPr>
                <w:p w14:paraId="1F885D0E">
                  <w:pPr>
                    <w:keepNext w:val="0"/>
                    <w:keepLines w:val="0"/>
                    <w:widowControl/>
                    <w:suppressLineNumbers w:val="0"/>
                    <w:adjustRightInd w:val="0"/>
                    <w:snapToGrid w:val="0"/>
                    <w:spacing w:before="0" w:beforeAutospacing="0" w:after="0" w:afterAutospacing="0"/>
                    <w:ind w:left="0" w:right="0"/>
                    <w:jc w:val="center"/>
                    <w:rPr>
                      <w:rFonts w:hint="eastAsia" w:eastAsia="宋体"/>
                      <w:snapToGrid w:val="0"/>
                      <w:kern w:val="0"/>
                      <w:szCs w:val="21"/>
                      <w:lang w:eastAsia="zh-CN"/>
                    </w:rPr>
                  </w:pPr>
                  <w:r>
                    <w:rPr>
                      <w:rFonts w:hint="default"/>
                    </w:rPr>
                    <w:t>《环境空气质量标准》</w:t>
                  </w:r>
                  <w:r>
                    <w:rPr>
                      <w:rFonts w:hint="default"/>
                      <w:kern w:val="0"/>
                    </w:rPr>
                    <w:t>（GB3095-20</w:t>
                  </w:r>
                  <w:r>
                    <w:rPr>
                      <w:rFonts w:hint="eastAsia"/>
                      <w:kern w:val="0"/>
                      <w:lang w:val="en-US" w:eastAsia="zh-CN"/>
                    </w:rPr>
                    <w:t>26</w:t>
                  </w:r>
                  <w:r>
                    <w:rPr>
                      <w:rFonts w:hint="default"/>
                      <w:kern w:val="0"/>
                    </w:rPr>
                    <w:t>）二级标准</w:t>
                  </w:r>
                  <w:r>
                    <w:rPr>
                      <w:rFonts w:hint="eastAsia"/>
                      <w:spacing w:val="-4"/>
                      <w:lang w:eastAsia="zh-CN"/>
                    </w:rPr>
                    <w:t>、</w:t>
                  </w:r>
                  <w:r>
                    <w:rPr>
                      <w:rFonts w:hint="default" w:ascii="Times New Roman" w:hAnsi="Times New Roman" w:eastAsia="宋体" w:cs="Times New Roman"/>
                      <w:color w:val="auto"/>
                      <w:sz w:val="21"/>
                      <w:szCs w:val="21"/>
                      <w:highlight w:val="none"/>
                      <w:lang w:eastAsia="zh-CN"/>
                    </w:rPr>
                    <w:t>《环境空气质量非甲烷总烃限值》（DB13/1577-2012）中二级标准</w:t>
                  </w:r>
                </w:p>
              </w:tc>
            </w:tr>
            <w:tr w14:paraId="7A75AF0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63" w:hRule="atLeast"/>
                <w:jc w:val="center"/>
              </w:trPr>
              <w:tc>
                <w:tcPr>
                  <w:tcW w:w="680" w:type="dxa"/>
                  <w:noWrap w:val="0"/>
                  <w:vAlign w:val="center"/>
                </w:tcPr>
                <w:p w14:paraId="6BA9DFE2">
                  <w:pPr>
                    <w:keepNext w:val="0"/>
                    <w:keepLines w:val="0"/>
                    <w:suppressLineNumbers w:val="0"/>
                    <w:adjustRightInd w:val="0"/>
                    <w:snapToGrid w:val="0"/>
                    <w:spacing w:before="0" w:beforeAutospacing="0" w:after="0" w:afterAutospacing="0"/>
                    <w:ind w:left="0" w:right="0"/>
                    <w:jc w:val="center"/>
                    <w:rPr>
                      <w:rFonts w:hint="default"/>
                      <w:szCs w:val="21"/>
                    </w:rPr>
                  </w:pPr>
                  <w:r>
                    <w:rPr>
                      <w:rFonts w:hint="default"/>
                      <w:snapToGrid w:val="0"/>
                      <w:kern w:val="0"/>
                      <w:szCs w:val="21"/>
                    </w:rPr>
                    <w:t>声环境</w:t>
                  </w:r>
                </w:p>
              </w:tc>
              <w:tc>
                <w:tcPr>
                  <w:tcW w:w="5603" w:type="dxa"/>
                  <w:gridSpan w:val="6"/>
                  <w:noWrap w:val="0"/>
                  <w:vAlign w:val="center"/>
                </w:tcPr>
                <w:p w14:paraId="196688AE">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snapToGrid w:val="0"/>
                      <w:kern w:val="0"/>
                      <w:sz w:val="21"/>
                      <w:szCs w:val="21"/>
                      <w:lang w:val="en-US" w:eastAsia="zh-CN" w:bidi="ar-SA"/>
                    </w:rPr>
                  </w:pPr>
                  <w:r>
                    <w:rPr>
                      <w:rFonts w:hint="default"/>
                      <w:snapToGrid w:val="0"/>
                      <w:kern w:val="0"/>
                      <w:szCs w:val="21"/>
                    </w:rPr>
                    <w:t>厂界外50m范围内无声环境保护目标</w:t>
                  </w:r>
                </w:p>
              </w:tc>
              <w:tc>
                <w:tcPr>
                  <w:tcW w:w="2041" w:type="dxa"/>
                  <w:noWrap w:val="0"/>
                  <w:vAlign w:val="center"/>
                </w:tcPr>
                <w:p w14:paraId="38456D0A">
                  <w:pPr>
                    <w:keepNext w:val="0"/>
                    <w:keepLines w:val="0"/>
                    <w:suppressLineNumbers w:val="0"/>
                    <w:adjustRightInd w:val="0"/>
                    <w:snapToGrid w:val="0"/>
                    <w:spacing w:before="0" w:beforeAutospacing="0" w:after="0" w:afterAutospacing="0"/>
                    <w:ind w:left="0" w:right="0"/>
                    <w:jc w:val="center"/>
                    <w:rPr>
                      <w:rFonts w:hint="default"/>
                      <w:snapToGrid w:val="0"/>
                      <w:kern w:val="0"/>
                      <w:szCs w:val="21"/>
                    </w:rPr>
                  </w:pPr>
                  <w:r>
                    <w:rPr>
                      <w:rFonts w:hint="default"/>
                      <w:kern w:val="0"/>
                    </w:rPr>
                    <w:t>《声环境质量标准》（GB3096-2008）</w:t>
                  </w:r>
                  <w:r>
                    <w:rPr>
                      <w:rFonts w:hint="eastAsia"/>
                      <w:kern w:val="0"/>
                    </w:rPr>
                    <w:t>2</w:t>
                  </w:r>
                  <w:r>
                    <w:rPr>
                      <w:rFonts w:hint="default"/>
                      <w:kern w:val="0"/>
                    </w:rPr>
                    <w:t>类标准</w:t>
                  </w:r>
                </w:p>
              </w:tc>
            </w:tr>
            <w:tr w14:paraId="3C1A99C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80" w:type="dxa"/>
                  <w:noWrap w:val="0"/>
                  <w:vAlign w:val="center"/>
                </w:tcPr>
                <w:p w14:paraId="50617396">
                  <w:pPr>
                    <w:keepNext w:val="0"/>
                    <w:keepLines w:val="0"/>
                    <w:suppressLineNumbers w:val="0"/>
                    <w:adjustRightInd w:val="0"/>
                    <w:snapToGrid w:val="0"/>
                    <w:spacing w:before="0" w:beforeAutospacing="0" w:after="0" w:afterAutospacing="0"/>
                    <w:ind w:left="0" w:right="0"/>
                    <w:jc w:val="center"/>
                    <w:rPr>
                      <w:rFonts w:hint="default"/>
                      <w:snapToGrid w:val="0"/>
                      <w:kern w:val="0"/>
                      <w:szCs w:val="21"/>
                    </w:rPr>
                  </w:pPr>
                  <w:r>
                    <w:rPr>
                      <w:rFonts w:hint="default"/>
                      <w:snapToGrid w:val="0"/>
                      <w:kern w:val="0"/>
                      <w:szCs w:val="21"/>
                    </w:rPr>
                    <w:t>地下水环境</w:t>
                  </w:r>
                </w:p>
              </w:tc>
              <w:tc>
                <w:tcPr>
                  <w:tcW w:w="5603" w:type="dxa"/>
                  <w:gridSpan w:val="6"/>
                  <w:noWrap w:val="0"/>
                  <w:vAlign w:val="center"/>
                </w:tcPr>
                <w:p w14:paraId="40715AD7">
                  <w:pPr>
                    <w:keepNext w:val="0"/>
                    <w:keepLines w:val="0"/>
                    <w:suppressLineNumbers w:val="0"/>
                    <w:adjustRightInd w:val="0"/>
                    <w:snapToGrid w:val="0"/>
                    <w:spacing w:before="0" w:beforeAutospacing="0" w:after="0" w:afterAutospacing="0"/>
                    <w:ind w:left="0" w:right="0"/>
                    <w:jc w:val="center"/>
                    <w:rPr>
                      <w:rFonts w:hint="default"/>
                      <w:snapToGrid w:val="0"/>
                      <w:kern w:val="0"/>
                      <w:szCs w:val="21"/>
                    </w:rPr>
                  </w:pPr>
                  <w:r>
                    <w:rPr>
                      <w:rFonts w:hint="default"/>
                      <w:snapToGrid w:val="0"/>
                      <w:kern w:val="0"/>
                      <w:szCs w:val="21"/>
                    </w:rPr>
                    <w:t>厂界外500m范围内无地下水集中式饮用水水源和热水、矿泉水、温泉等特殊地下水资源</w:t>
                  </w:r>
                </w:p>
              </w:tc>
              <w:tc>
                <w:tcPr>
                  <w:tcW w:w="2041" w:type="dxa"/>
                  <w:noWrap w:val="0"/>
                  <w:vAlign w:val="center"/>
                </w:tcPr>
                <w:p w14:paraId="0D8BEE3E">
                  <w:pPr>
                    <w:keepNext w:val="0"/>
                    <w:keepLines w:val="0"/>
                    <w:widowControl/>
                    <w:suppressLineNumbers w:val="0"/>
                    <w:adjustRightInd w:val="0"/>
                    <w:snapToGrid w:val="0"/>
                    <w:spacing w:before="0" w:beforeAutospacing="0" w:after="0" w:afterAutospacing="0"/>
                    <w:ind w:left="0" w:right="0"/>
                    <w:jc w:val="center"/>
                    <w:rPr>
                      <w:rFonts w:hint="default"/>
                      <w:snapToGrid w:val="0"/>
                      <w:kern w:val="0"/>
                      <w:szCs w:val="21"/>
                    </w:rPr>
                  </w:pPr>
                  <w:r>
                    <w:rPr>
                      <w:rFonts w:hint="default"/>
                      <w:kern w:val="0"/>
                    </w:rPr>
                    <w:t>《地下水质量标准》（GB/T14848－2017）</w:t>
                  </w:r>
                  <w:r>
                    <w:rPr>
                      <w:rFonts w:hint="default"/>
                      <w:kern w:val="0"/>
                      <w:szCs w:val="21"/>
                    </w:rPr>
                    <w:t>Ⅲ</w:t>
                  </w:r>
                  <w:r>
                    <w:rPr>
                      <w:rFonts w:hint="default"/>
                      <w:kern w:val="0"/>
                    </w:rPr>
                    <w:t>类标准</w:t>
                  </w:r>
                </w:p>
              </w:tc>
            </w:tr>
            <w:tr w14:paraId="7156AD8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76" w:hRule="atLeast"/>
                <w:jc w:val="center"/>
              </w:trPr>
              <w:tc>
                <w:tcPr>
                  <w:tcW w:w="680" w:type="dxa"/>
                  <w:noWrap w:val="0"/>
                  <w:vAlign w:val="center"/>
                </w:tcPr>
                <w:p w14:paraId="673C87FE">
                  <w:pPr>
                    <w:keepNext w:val="0"/>
                    <w:keepLines w:val="0"/>
                    <w:suppressLineNumbers w:val="0"/>
                    <w:adjustRightInd w:val="0"/>
                    <w:snapToGrid w:val="0"/>
                    <w:spacing w:before="0" w:beforeAutospacing="0" w:after="0" w:afterAutospacing="0"/>
                    <w:ind w:left="0" w:right="0"/>
                    <w:jc w:val="center"/>
                    <w:rPr>
                      <w:rFonts w:hint="default"/>
                      <w:snapToGrid w:val="0"/>
                      <w:kern w:val="0"/>
                      <w:szCs w:val="21"/>
                    </w:rPr>
                  </w:pPr>
                  <w:r>
                    <w:rPr>
                      <w:rFonts w:hint="default"/>
                      <w:snapToGrid w:val="0"/>
                      <w:kern w:val="0"/>
                      <w:szCs w:val="21"/>
                    </w:rPr>
                    <w:t>生态</w:t>
                  </w:r>
                </w:p>
                <w:p w14:paraId="036B89E2">
                  <w:pPr>
                    <w:keepNext w:val="0"/>
                    <w:keepLines w:val="0"/>
                    <w:suppressLineNumbers w:val="0"/>
                    <w:adjustRightInd w:val="0"/>
                    <w:snapToGrid w:val="0"/>
                    <w:spacing w:before="0" w:beforeAutospacing="0" w:after="0" w:afterAutospacing="0"/>
                    <w:ind w:left="0" w:right="0"/>
                    <w:jc w:val="center"/>
                    <w:rPr>
                      <w:rFonts w:hint="default"/>
                      <w:snapToGrid w:val="0"/>
                      <w:kern w:val="0"/>
                      <w:szCs w:val="21"/>
                    </w:rPr>
                  </w:pPr>
                  <w:r>
                    <w:rPr>
                      <w:rFonts w:hint="default"/>
                      <w:snapToGrid w:val="0"/>
                      <w:kern w:val="0"/>
                      <w:szCs w:val="21"/>
                    </w:rPr>
                    <w:t>环境</w:t>
                  </w:r>
                </w:p>
              </w:tc>
              <w:tc>
                <w:tcPr>
                  <w:tcW w:w="5603" w:type="dxa"/>
                  <w:gridSpan w:val="6"/>
                  <w:noWrap w:val="0"/>
                  <w:vAlign w:val="center"/>
                </w:tcPr>
                <w:p w14:paraId="10F8E82C">
                  <w:pPr>
                    <w:keepNext w:val="0"/>
                    <w:keepLines w:val="0"/>
                    <w:suppressLineNumbers w:val="0"/>
                    <w:adjustRightInd w:val="0"/>
                    <w:snapToGrid w:val="0"/>
                    <w:spacing w:before="0" w:beforeAutospacing="0" w:after="0" w:afterAutospacing="0"/>
                    <w:ind w:left="0" w:right="0"/>
                    <w:jc w:val="center"/>
                    <w:rPr>
                      <w:rFonts w:hint="default"/>
                      <w:snapToGrid w:val="0"/>
                      <w:kern w:val="0"/>
                      <w:szCs w:val="21"/>
                    </w:rPr>
                  </w:pPr>
                  <w:r>
                    <w:rPr>
                      <w:rFonts w:hint="default"/>
                      <w:snapToGrid w:val="0"/>
                      <w:szCs w:val="21"/>
                    </w:rPr>
                    <w:t>占地范围内无生态环境保护目标</w:t>
                  </w:r>
                </w:p>
              </w:tc>
              <w:tc>
                <w:tcPr>
                  <w:tcW w:w="2041" w:type="dxa"/>
                  <w:noWrap w:val="0"/>
                  <w:vAlign w:val="center"/>
                </w:tcPr>
                <w:p w14:paraId="1B581E47">
                  <w:pPr>
                    <w:keepNext w:val="0"/>
                    <w:keepLines w:val="0"/>
                    <w:suppressLineNumbers w:val="0"/>
                    <w:adjustRightInd w:val="0"/>
                    <w:snapToGrid w:val="0"/>
                    <w:spacing w:before="0" w:beforeAutospacing="0" w:after="0" w:afterAutospacing="0"/>
                    <w:ind w:left="0" w:right="0"/>
                    <w:jc w:val="center"/>
                    <w:rPr>
                      <w:rFonts w:hint="default"/>
                      <w:snapToGrid w:val="0"/>
                      <w:szCs w:val="21"/>
                    </w:rPr>
                  </w:pPr>
                  <w:r>
                    <w:rPr>
                      <w:rFonts w:hint="eastAsia"/>
                      <w:snapToGrid w:val="0"/>
                      <w:szCs w:val="21"/>
                    </w:rPr>
                    <w:t>/</w:t>
                  </w:r>
                </w:p>
              </w:tc>
            </w:tr>
          </w:tbl>
          <w:p w14:paraId="3EF97DE9">
            <w:pPr>
              <w:keepNext w:val="0"/>
              <w:keepLines w:val="0"/>
              <w:suppressLineNumbers w:val="0"/>
              <w:spacing w:before="0" w:beforeAutospacing="0" w:after="0" w:afterAutospacing="0" w:line="440" w:lineRule="exact"/>
              <w:ind w:left="0" w:right="0" w:firstLine="420" w:firstLineChars="200"/>
              <w:rPr>
                <w:rFonts w:hint="eastAsia"/>
                <w:lang w:val="en-US" w:eastAsia="zh-CN"/>
              </w:rPr>
            </w:pPr>
          </w:p>
        </w:tc>
      </w:tr>
      <w:tr w14:paraId="4747FD3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022" w:hRule="atLeast"/>
          <w:jc w:val="center"/>
        </w:trPr>
        <w:tc>
          <w:tcPr>
            <w:tcW w:w="357" w:type="dxa"/>
            <w:noWrap w:val="0"/>
            <w:tcMar>
              <w:left w:w="28" w:type="dxa"/>
              <w:right w:w="28" w:type="dxa"/>
            </w:tcMar>
            <w:vAlign w:val="center"/>
          </w:tcPr>
          <w:p w14:paraId="4D7DDECF">
            <w:pPr>
              <w:keepNext w:val="0"/>
              <w:keepLines w:val="0"/>
              <w:suppressLineNumbers w:val="0"/>
              <w:adjustRightInd w:val="0"/>
              <w:snapToGrid w:val="0"/>
              <w:spacing w:before="0" w:beforeAutospacing="0" w:after="0" w:afterAutospacing="0" w:line="360" w:lineRule="auto"/>
              <w:ind w:left="0" w:right="0"/>
              <w:jc w:val="center"/>
              <w:rPr>
                <w:rFonts w:hint="default" w:ascii="Times New Roman" w:hAnsi="Times New Roman" w:cs="Times New Roman"/>
                <w:b/>
                <w:kern w:val="0"/>
                <w:sz w:val="24"/>
              </w:rPr>
            </w:pPr>
            <w:r>
              <w:rPr>
                <w:rFonts w:hint="default" w:ascii="Times New Roman" w:hAnsi="Times New Roman" w:cs="Times New Roman"/>
                <w:b/>
                <w:kern w:val="0"/>
                <w:sz w:val="24"/>
              </w:rPr>
              <w:t>污染</w:t>
            </w:r>
          </w:p>
          <w:p w14:paraId="2FD2E1CD">
            <w:pPr>
              <w:keepNext w:val="0"/>
              <w:keepLines w:val="0"/>
              <w:suppressLineNumbers w:val="0"/>
              <w:adjustRightInd w:val="0"/>
              <w:snapToGrid w:val="0"/>
              <w:spacing w:before="0" w:beforeAutospacing="0" w:after="0" w:afterAutospacing="0" w:line="360" w:lineRule="auto"/>
              <w:ind w:left="0" w:right="0"/>
              <w:jc w:val="center"/>
              <w:rPr>
                <w:rFonts w:hint="default" w:ascii="Times New Roman" w:hAnsi="Times New Roman" w:cs="Times New Roman"/>
                <w:b/>
                <w:kern w:val="0"/>
                <w:sz w:val="24"/>
              </w:rPr>
            </w:pPr>
            <w:r>
              <w:rPr>
                <w:rFonts w:hint="default" w:ascii="Times New Roman" w:hAnsi="Times New Roman" w:cs="Times New Roman"/>
                <w:b/>
                <w:kern w:val="0"/>
                <w:sz w:val="24"/>
              </w:rPr>
              <w:t>物排</w:t>
            </w:r>
          </w:p>
          <w:p w14:paraId="43067553">
            <w:pPr>
              <w:keepNext w:val="0"/>
              <w:keepLines w:val="0"/>
              <w:suppressLineNumbers w:val="0"/>
              <w:adjustRightInd w:val="0"/>
              <w:snapToGrid w:val="0"/>
              <w:spacing w:before="0" w:beforeAutospacing="0" w:after="0" w:afterAutospacing="0" w:line="360" w:lineRule="auto"/>
              <w:ind w:left="0" w:right="0"/>
              <w:jc w:val="center"/>
              <w:rPr>
                <w:rFonts w:hint="default" w:ascii="Times New Roman" w:hAnsi="Times New Roman" w:cs="Times New Roman"/>
                <w:b/>
                <w:kern w:val="0"/>
                <w:sz w:val="24"/>
              </w:rPr>
            </w:pPr>
            <w:r>
              <w:rPr>
                <w:rFonts w:hint="default" w:ascii="Times New Roman" w:hAnsi="Times New Roman" w:cs="Times New Roman"/>
                <w:b/>
                <w:kern w:val="0"/>
                <w:sz w:val="24"/>
              </w:rPr>
              <w:t>放控</w:t>
            </w:r>
          </w:p>
          <w:p w14:paraId="70F963F0">
            <w:pPr>
              <w:keepNext w:val="0"/>
              <w:keepLines w:val="0"/>
              <w:suppressLineNumbers w:val="0"/>
              <w:adjustRightInd w:val="0"/>
              <w:snapToGrid w:val="0"/>
              <w:spacing w:before="0" w:beforeAutospacing="0" w:after="0" w:afterAutospacing="0" w:line="360" w:lineRule="auto"/>
              <w:ind w:left="0" w:right="0"/>
              <w:jc w:val="center"/>
              <w:rPr>
                <w:rFonts w:hint="default" w:ascii="Times New Roman" w:hAnsi="Times New Roman" w:cs="Times New Roman"/>
                <w:b/>
                <w:kern w:val="0"/>
                <w:sz w:val="24"/>
              </w:rPr>
            </w:pPr>
            <w:r>
              <w:rPr>
                <w:rFonts w:hint="default" w:ascii="Times New Roman" w:hAnsi="Times New Roman" w:cs="Times New Roman"/>
                <w:b/>
                <w:kern w:val="0"/>
                <w:sz w:val="24"/>
              </w:rPr>
              <w:t>制标</w:t>
            </w:r>
          </w:p>
          <w:p w14:paraId="58AF3865">
            <w:pPr>
              <w:keepNext w:val="0"/>
              <w:keepLines w:val="0"/>
              <w:suppressLineNumbers w:val="0"/>
              <w:adjustRightInd w:val="0"/>
              <w:snapToGrid w:val="0"/>
              <w:spacing w:before="0" w:beforeAutospacing="0" w:after="0" w:afterAutospacing="0" w:line="360" w:lineRule="auto"/>
              <w:ind w:left="0" w:right="0"/>
              <w:jc w:val="center"/>
              <w:rPr>
                <w:rFonts w:hint="default" w:ascii="Times New Roman" w:hAnsi="Times New Roman" w:cs="Times New Roman"/>
                <w:kern w:val="0"/>
                <w:szCs w:val="21"/>
              </w:rPr>
            </w:pPr>
            <w:r>
              <w:rPr>
                <w:rFonts w:hint="default" w:ascii="Times New Roman" w:hAnsi="Times New Roman" w:cs="Times New Roman"/>
                <w:b/>
                <w:kern w:val="0"/>
                <w:sz w:val="24"/>
              </w:rPr>
              <w:t>准</w:t>
            </w:r>
          </w:p>
        </w:tc>
        <w:tc>
          <w:tcPr>
            <w:tcW w:w="8633" w:type="dxa"/>
            <w:noWrap w:val="0"/>
            <w:vAlign w:val="center"/>
          </w:tcPr>
          <w:p w14:paraId="1A2A8BD3">
            <w:pPr>
              <w:pStyle w:val="3"/>
              <w:keepLines w:val="0"/>
              <w:pageBreakBefore w:val="0"/>
              <w:widowControl w:val="0"/>
              <w:suppressLineNumbers w:val="0"/>
              <w:tabs>
                <w:tab w:val="left" w:pos="360"/>
              </w:tabs>
              <w:kinsoku/>
              <w:wordWrap/>
              <w:topLinePunct w:val="0"/>
              <w:autoSpaceDE/>
              <w:autoSpaceDN/>
              <w:bidi w:val="0"/>
              <w:spacing w:before="0" w:beforeAutospacing="0" w:after="0" w:afterAutospacing="0" w:line="360" w:lineRule="auto"/>
              <w:ind w:right="0"/>
              <w:rPr>
                <w:rFonts w:hint="default" w:ascii="Times New Roman" w:hAnsi="Times New Roman" w:eastAsia="宋体" w:cs="Times New Roman"/>
                <w:sz w:val="24"/>
                <w:lang w:eastAsia="zh-CN"/>
              </w:rPr>
            </w:pPr>
            <w:r>
              <w:rPr>
                <w:rFonts w:hint="default" w:ascii="Times New Roman" w:hAnsi="Times New Roman" w:eastAsia="宋体" w:cs="Times New Roman"/>
                <w:sz w:val="24"/>
              </w:rPr>
              <w:t>施工期</w:t>
            </w:r>
            <w:r>
              <w:rPr>
                <w:rFonts w:hint="default" w:ascii="Times New Roman" w:hAnsi="Times New Roman" w:eastAsia="宋体" w:cs="Times New Roman"/>
                <w:sz w:val="24"/>
                <w:lang w:eastAsia="zh-CN"/>
              </w:rPr>
              <w:t>：</w:t>
            </w:r>
          </w:p>
          <w:p w14:paraId="2FE6660E">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bookmarkStart w:id="4" w:name="OLE_LINK95"/>
            <w:r>
              <w:rPr>
                <w:rFonts w:hint="eastAsia" w:ascii="Times New Roman" w:hAnsi="Times New Roman" w:eastAsia="宋体" w:cs="Times New Roman"/>
                <w:sz w:val="24"/>
                <w:lang w:val="en-US" w:eastAsia="zh-CN"/>
              </w:rPr>
              <w:t>1</w:t>
            </w:r>
            <w:r>
              <w:rPr>
                <w:rFonts w:hint="default" w:ascii="Times New Roman" w:hAnsi="Times New Roman" w:eastAsia="宋体" w:cs="Times New Roman"/>
                <w:sz w:val="24"/>
                <w:lang w:val="en-US" w:eastAsia="zh-CN"/>
              </w:rPr>
              <w:t>、</w:t>
            </w:r>
            <w:r>
              <w:rPr>
                <w:rFonts w:hint="eastAsia" w:eastAsia="宋体"/>
                <w:b w:val="0"/>
                <w:bCs w:val="0"/>
                <w:color w:val="auto"/>
                <w:kern w:val="2"/>
                <w:sz w:val="24"/>
                <w:szCs w:val="24"/>
                <w:lang w:val="en-US" w:eastAsia="zh-CN"/>
              </w:rPr>
              <w:t>本项目施工期进行防渗层改造，</w:t>
            </w:r>
            <w:r>
              <w:rPr>
                <w:rFonts w:hint="default" w:ascii="Times New Roman" w:hAnsi="Times New Roman" w:cs="Times New Roman"/>
                <w:color w:val="auto"/>
                <w:sz w:val="24"/>
                <w:highlight w:val="none"/>
              </w:rPr>
              <w:t>大气污染物排放执行河北省地方标准《施工场地扬尘排放标准》（DB13/2934-2019）中表1扬尘排放浓度限值标准</w:t>
            </w:r>
            <w:r>
              <w:rPr>
                <w:rFonts w:hint="eastAsia" w:ascii="Times New Roman" w:hAnsi="Times New Roman" w:eastAsia="宋体" w:cs="Times New Roman"/>
                <w:kern w:val="0"/>
                <w:sz w:val="24"/>
                <w:szCs w:val="22"/>
                <w:lang w:eastAsia="zh-CN" w:bidi="en-US"/>
              </w:rPr>
              <w:t>及</w:t>
            </w:r>
            <w:r>
              <w:rPr>
                <w:rFonts w:hint="eastAsia" w:ascii="Times New Roman" w:hAnsi="Times New Roman" w:cs="Times New Roman"/>
                <w:color w:val="auto"/>
                <w:sz w:val="24"/>
                <w:lang w:eastAsia="zh-CN"/>
              </w:rPr>
              <w:t>表</w:t>
            </w:r>
            <w:r>
              <w:rPr>
                <w:rFonts w:hint="eastAsia" w:ascii="Times New Roman" w:hAnsi="Times New Roman" w:cs="Times New Roman"/>
                <w:color w:val="auto"/>
                <w:sz w:val="24"/>
                <w:lang w:val="en-US" w:eastAsia="zh-CN"/>
              </w:rPr>
              <w:t>3</w:t>
            </w:r>
            <w:r>
              <w:rPr>
                <w:rFonts w:hint="eastAsia" w:ascii="Times New Roman" w:hAnsi="Times New Roman" w:cs="Times New Roman"/>
                <w:color w:val="auto"/>
                <w:sz w:val="24"/>
                <w:lang w:eastAsia="zh-CN"/>
              </w:rPr>
              <w:t>监测点位数量设置要求</w:t>
            </w:r>
            <w:r>
              <w:rPr>
                <w:rFonts w:hint="default" w:ascii="Times New Roman" w:hAnsi="Times New Roman" w:cs="Times New Roman"/>
                <w:color w:val="auto"/>
                <w:sz w:val="24"/>
                <w:highlight w:val="none"/>
              </w:rPr>
              <w:t>，见下表。</w:t>
            </w:r>
          </w:p>
          <w:p w14:paraId="01C11FA9">
            <w:pPr>
              <w:keepNext w:val="0"/>
              <w:keepLines w:val="0"/>
              <w:widowControl/>
              <w:suppressLineNumbers w:val="0"/>
              <w:autoSpaceDE w:val="0"/>
              <w:autoSpaceDN w:val="0"/>
              <w:adjustRightInd w:val="0"/>
              <w:snapToGrid w:val="0"/>
              <w:spacing w:before="0" w:beforeAutospacing="0" w:after="0" w:afterAutospacing="0" w:line="240" w:lineRule="auto"/>
              <w:ind w:left="0" w:right="0"/>
              <w:jc w:val="center"/>
              <w:rPr>
                <w:rFonts w:hint="default" w:ascii="Times New Roman" w:hAnsi="Times New Roman" w:eastAsia="宋体" w:cs="Times New Roman"/>
                <w:b/>
                <w:color w:val="auto"/>
                <w:kern w:val="0"/>
                <w:sz w:val="21"/>
                <w:szCs w:val="21"/>
                <w:highlight w:val="none"/>
                <w:vertAlign w:val="superscript"/>
              </w:rPr>
            </w:pPr>
            <w:r>
              <w:rPr>
                <w:rFonts w:hint="default" w:ascii="Times New Roman" w:hAnsi="Times New Roman" w:eastAsia="宋体" w:cs="Times New Roman"/>
                <w:b/>
                <w:color w:val="auto"/>
                <w:kern w:val="0"/>
                <w:sz w:val="21"/>
                <w:szCs w:val="21"/>
                <w:highlight w:val="none"/>
              </w:rPr>
              <w:t>扬尘排放浓度限值标准  单位：μg/m</w:t>
            </w:r>
            <w:r>
              <w:rPr>
                <w:rFonts w:hint="default" w:ascii="Times New Roman" w:hAnsi="Times New Roman" w:eastAsia="宋体" w:cs="Times New Roman"/>
                <w:b/>
                <w:color w:val="auto"/>
                <w:kern w:val="0"/>
                <w:sz w:val="21"/>
                <w:szCs w:val="21"/>
                <w:highlight w:val="none"/>
                <w:vertAlign w:val="superscript"/>
              </w:rPr>
              <w:t>3</w:t>
            </w:r>
          </w:p>
          <w:tbl>
            <w:tblPr>
              <w:tblStyle w:val="38"/>
              <w:tblW w:w="81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92"/>
              <w:gridCol w:w="2503"/>
              <w:gridCol w:w="2231"/>
              <w:gridCol w:w="2280"/>
            </w:tblGrid>
            <w:tr w14:paraId="424A84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jc w:val="center"/>
              </w:trPr>
              <w:tc>
                <w:tcPr>
                  <w:tcW w:w="1092" w:type="dxa"/>
                  <w:noWrap w:val="0"/>
                  <w:vAlign w:val="center"/>
                </w:tcPr>
                <w:p w14:paraId="6BD8598B">
                  <w:pPr>
                    <w:pStyle w:val="13"/>
                    <w:keepNext w:val="0"/>
                    <w:keepLines w:val="0"/>
                    <w:suppressLineNumbers w:val="0"/>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highlight w:val="none"/>
                      <w:lang w:val="en-GB"/>
                    </w:rPr>
                  </w:pPr>
                  <w:r>
                    <w:rPr>
                      <w:rFonts w:hint="default" w:ascii="Times New Roman" w:hAnsi="Times New Roman" w:eastAsia="宋体" w:cs="Times New Roman"/>
                      <w:color w:val="auto"/>
                      <w:sz w:val="21"/>
                      <w:szCs w:val="21"/>
                      <w:highlight w:val="none"/>
                      <w:lang w:val="en-GB"/>
                    </w:rPr>
                    <w:t>控制项目</w:t>
                  </w:r>
                </w:p>
              </w:tc>
              <w:tc>
                <w:tcPr>
                  <w:tcW w:w="2503" w:type="dxa"/>
                  <w:noWrap w:val="0"/>
                  <w:vAlign w:val="center"/>
                </w:tcPr>
                <w:p w14:paraId="762F0114">
                  <w:pPr>
                    <w:pStyle w:val="13"/>
                    <w:keepNext w:val="0"/>
                    <w:keepLines w:val="0"/>
                    <w:suppressLineNumbers w:val="0"/>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GB"/>
                    </w:rPr>
                    <w:t>监测点浓度限值</w:t>
                  </w:r>
                  <w:r>
                    <w:rPr>
                      <w:rFonts w:hint="default" w:ascii="Times New Roman" w:hAnsi="Times New Roman" w:eastAsia="宋体" w:cs="Times New Roman"/>
                      <w:color w:val="auto"/>
                      <w:sz w:val="21"/>
                      <w:szCs w:val="21"/>
                      <w:highlight w:val="none"/>
                      <w:vertAlign w:val="superscript"/>
                      <w:lang w:val="en-US" w:eastAsia="zh-CN"/>
                    </w:rPr>
                    <w:t>a</w:t>
                  </w:r>
                  <w:r>
                    <w:rPr>
                      <w:rFonts w:hint="default" w:ascii="Times New Roman" w:hAnsi="Times New Roman" w:eastAsia="宋体" w:cs="Times New Roman"/>
                      <w:color w:val="auto"/>
                      <w:sz w:val="21"/>
                      <w:szCs w:val="21"/>
                      <w:highlight w:val="none"/>
                    </w:rPr>
                    <w:t>（</w:t>
                  </w:r>
                  <w:r>
                    <w:rPr>
                      <w:rFonts w:hint="default" w:ascii="Times New Roman" w:hAnsi="Times New Roman" w:eastAsia="宋体" w:cs="Times New Roman"/>
                      <w:color w:val="auto"/>
                      <w:sz w:val="21"/>
                      <w:szCs w:val="21"/>
                      <w:highlight w:val="none"/>
                      <w:lang w:val="en-GB" w:eastAsia="zh-TW"/>
                    </w:rPr>
                    <w:t>μg/m</w:t>
                  </w:r>
                  <w:r>
                    <w:rPr>
                      <w:rFonts w:hint="default" w:ascii="Times New Roman" w:hAnsi="Times New Roman" w:eastAsia="宋体" w:cs="Times New Roman"/>
                      <w:color w:val="auto"/>
                      <w:sz w:val="21"/>
                      <w:szCs w:val="21"/>
                      <w:highlight w:val="none"/>
                      <w:vertAlign w:val="superscript"/>
                      <w:lang w:val="en-GB" w:eastAsia="zh-TW"/>
                    </w:rPr>
                    <w:t>3</w:t>
                  </w:r>
                  <w:r>
                    <w:rPr>
                      <w:rFonts w:hint="default" w:ascii="Times New Roman" w:hAnsi="Times New Roman" w:eastAsia="宋体" w:cs="Times New Roman"/>
                      <w:color w:val="auto"/>
                      <w:sz w:val="21"/>
                      <w:szCs w:val="21"/>
                      <w:highlight w:val="none"/>
                    </w:rPr>
                    <w:t>）</w:t>
                  </w:r>
                </w:p>
              </w:tc>
              <w:tc>
                <w:tcPr>
                  <w:tcW w:w="2231" w:type="dxa"/>
                  <w:noWrap w:val="0"/>
                  <w:vAlign w:val="center"/>
                </w:tcPr>
                <w:p w14:paraId="35CCF645">
                  <w:pPr>
                    <w:pStyle w:val="13"/>
                    <w:keepNext w:val="0"/>
                    <w:keepLines w:val="0"/>
                    <w:suppressLineNumbers w:val="0"/>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highlight w:val="none"/>
                      <w:lang w:val="en-GB"/>
                    </w:rPr>
                  </w:pPr>
                  <w:r>
                    <w:rPr>
                      <w:rFonts w:hint="default" w:ascii="Times New Roman" w:hAnsi="Times New Roman" w:eastAsia="宋体" w:cs="Times New Roman"/>
                      <w:color w:val="auto"/>
                      <w:sz w:val="21"/>
                      <w:szCs w:val="21"/>
                      <w:highlight w:val="none"/>
                      <w:lang w:val="en-GB"/>
                    </w:rPr>
                    <w:t>达标判定依据（次</w:t>
                  </w:r>
                  <w:r>
                    <w:rPr>
                      <w:rFonts w:hint="default" w:ascii="Times New Roman" w:hAnsi="Times New Roman" w:eastAsia="宋体" w:cs="Times New Roman"/>
                      <w:color w:val="auto"/>
                      <w:sz w:val="21"/>
                      <w:szCs w:val="21"/>
                      <w:highlight w:val="none"/>
                    </w:rPr>
                    <w:t>/天</w:t>
                  </w:r>
                  <w:r>
                    <w:rPr>
                      <w:rFonts w:hint="default" w:ascii="Times New Roman" w:hAnsi="Times New Roman" w:eastAsia="宋体" w:cs="Times New Roman"/>
                      <w:color w:val="auto"/>
                      <w:sz w:val="21"/>
                      <w:szCs w:val="21"/>
                      <w:highlight w:val="none"/>
                      <w:lang w:val="en-GB"/>
                    </w:rPr>
                    <w:t>）</w:t>
                  </w:r>
                </w:p>
              </w:tc>
              <w:tc>
                <w:tcPr>
                  <w:tcW w:w="2280" w:type="dxa"/>
                  <w:noWrap w:val="0"/>
                  <w:vAlign w:val="center"/>
                </w:tcPr>
                <w:p w14:paraId="0E8F1EC5">
                  <w:pPr>
                    <w:pStyle w:val="13"/>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color w:val="auto"/>
                      <w:sz w:val="21"/>
                      <w:szCs w:val="21"/>
                      <w:highlight w:val="none"/>
                      <w:lang w:val="en-GB"/>
                    </w:rPr>
                  </w:pPr>
                  <w:r>
                    <w:rPr>
                      <w:rFonts w:hint="default" w:ascii="Times New Roman" w:hAnsi="Times New Roman" w:eastAsia="宋体" w:cs="Times New Roman"/>
                      <w:color w:val="auto"/>
                      <w:sz w:val="21"/>
                      <w:szCs w:val="21"/>
                      <w:highlight w:val="none"/>
                      <w:lang w:val="en-GB"/>
                    </w:rPr>
                    <w:t>标准来源</w:t>
                  </w:r>
                </w:p>
              </w:tc>
            </w:tr>
            <w:tr w14:paraId="51CE44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092" w:type="dxa"/>
                  <w:noWrap w:val="0"/>
                  <w:vAlign w:val="center"/>
                </w:tcPr>
                <w:p w14:paraId="140D972D">
                  <w:pPr>
                    <w:pStyle w:val="13"/>
                    <w:keepNext w:val="0"/>
                    <w:keepLines w:val="0"/>
                    <w:suppressLineNumbers w:val="0"/>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PM</w:t>
                  </w:r>
                  <w:r>
                    <w:rPr>
                      <w:rFonts w:hint="default" w:ascii="Times New Roman" w:hAnsi="Times New Roman" w:eastAsia="宋体" w:cs="Times New Roman"/>
                      <w:color w:val="auto"/>
                      <w:sz w:val="21"/>
                      <w:szCs w:val="21"/>
                      <w:highlight w:val="none"/>
                      <w:vertAlign w:val="subscript"/>
                    </w:rPr>
                    <w:t>10</w:t>
                  </w:r>
                </w:p>
              </w:tc>
              <w:tc>
                <w:tcPr>
                  <w:tcW w:w="2503" w:type="dxa"/>
                  <w:noWrap w:val="0"/>
                  <w:vAlign w:val="center"/>
                </w:tcPr>
                <w:p w14:paraId="0DD5A128">
                  <w:pPr>
                    <w:pStyle w:val="13"/>
                    <w:keepNext w:val="0"/>
                    <w:keepLines w:val="0"/>
                    <w:suppressLineNumbers w:val="0"/>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80</w:t>
                  </w:r>
                </w:p>
              </w:tc>
              <w:tc>
                <w:tcPr>
                  <w:tcW w:w="2231" w:type="dxa"/>
                  <w:noWrap w:val="0"/>
                  <w:vAlign w:val="center"/>
                </w:tcPr>
                <w:p w14:paraId="62842010">
                  <w:pPr>
                    <w:pStyle w:val="13"/>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GB" w:eastAsia="zh-TW"/>
                    </w:rPr>
                    <w:t>≤</w:t>
                  </w:r>
                  <w:r>
                    <w:rPr>
                      <w:rFonts w:hint="default" w:ascii="Times New Roman" w:hAnsi="Times New Roman" w:eastAsia="宋体" w:cs="Times New Roman"/>
                      <w:color w:val="auto"/>
                      <w:sz w:val="21"/>
                      <w:szCs w:val="21"/>
                      <w:highlight w:val="none"/>
                    </w:rPr>
                    <w:t>2</w:t>
                  </w:r>
                </w:p>
              </w:tc>
              <w:tc>
                <w:tcPr>
                  <w:tcW w:w="2280" w:type="dxa"/>
                  <w:vMerge w:val="restart"/>
                  <w:noWrap w:val="0"/>
                  <w:vAlign w:val="center"/>
                </w:tcPr>
                <w:p w14:paraId="59956ECF">
                  <w:pPr>
                    <w:pStyle w:val="13"/>
                    <w:keepNext w:val="0"/>
                    <w:keepLines w:val="0"/>
                    <w:suppressLineNumbers w:val="0"/>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highlight w:val="none"/>
                      <w:lang w:val="en-GB" w:eastAsia="zh-TW"/>
                    </w:rPr>
                  </w:pPr>
                  <w:r>
                    <w:rPr>
                      <w:rFonts w:hint="default" w:ascii="Times New Roman" w:hAnsi="Times New Roman" w:eastAsia="宋体" w:cs="Times New Roman"/>
                      <w:color w:val="auto"/>
                      <w:sz w:val="21"/>
                      <w:szCs w:val="21"/>
                      <w:highlight w:val="none"/>
                    </w:rPr>
                    <w:t>《施工场地扬尘排放标准》（DB13/2934-2019）中表1扬尘排放浓度限值标准</w:t>
                  </w:r>
                </w:p>
              </w:tc>
            </w:tr>
            <w:tr w14:paraId="6A209E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4" w:hRule="atLeast"/>
                <w:jc w:val="center"/>
              </w:trPr>
              <w:tc>
                <w:tcPr>
                  <w:tcW w:w="5826" w:type="dxa"/>
                  <w:gridSpan w:val="3"/>
                  <w:noWrap w:val="0"/>
                  <w:vAlign w:val="center"/>
                </w:tcPr>
                <w:p w14:paraId="2B2F7B06">
                  <w:pPr>
                    <w:pStyle w:val="13"/>
                    <w:keepNext w:val="0"/>
                    <w:keepLines w:val="0"/>
                    <w:suppressLineNumbers w:val="0"/>
                    <w:spacing w:before="0" w:beforeAutospacing="0" w:after="0" w:afterAutospacing="0" w:line="240" w:lineRule="auto"/>
                    <w:ind w:left="0" w:leftChars="0" w:right="0" w:firstLine="0" w:firstLineChars="0"/>
                    <w:jc w:val="both"/>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a</w:t>
                  </w:r>
                  <w:r>
                    <w:rPr>
                      <w:rFonts w:hint="default" w:ascii="Times New Roman" w:hAnsi="Times New Roman" w:eastAsia="宋体" w:cs="Times New Roman"/>
                      <w:color w:val="auto"/>
                      <w:sz w:val="21"/>
                      <w:szCs w:val="21"/>
                      <w:highlight w:val="none"/>
                    </w:rPr>
                    <w:t>指监测点PM</w:t>
                  </w:r>
                  <w:r>
                    <w:rPr>
                      <w:rFonts w:hint="default" w:ascii="Times New Roman" w:hAnsi="Times New Roman" w:eastAsia="宋体" w:cs="Times New Roman"/>
                      <w:color w:val="auto"/>
                      <w:sz w:val="21"/>
                      <w:szCs w:val="21"/>
                      <w:highlight w:val="none"/>
                      <w:vertAlign w:val="subscript"/>
                    </w:rPr>
                    <w:t>10</w:t>
                  </w:r>
                  <w:r>
                    <w:rPr>
                      <w:rFonts w:hint="default" w:ascii="Times New Roman" w:hAnsi="Times New Roman" w:eastAsia="宋体" w:cs="Times New Roman"/>
                      <w:color w:val="auto"/>
                      <w:sz w:val="21"/>
                      <w:szCs w:val="21"/>
                      <w:highlight w:val="none"/>
                    </w:rPr>
                    <w:t>小时平均浓度实测值与同时段所属县（市、区）PM</w:t>
                  </w:r>
                  <w:r>
                    <w:rPr>
                      <w:rFonts w:hint="default" w:ascii="Times New Roman" w:hAnsi="Times New Roman" w:eastAsia="宋体" w:cs="Times New Roman"/>
                      <w:color w:val="auto"/>
                      <w:sz w:val="21"/>
                      <w:szCs w:val="21"/>
                      <w:highlight w:val="none"/>
                      <w:vertAlign w:val="subscript"/>
                    </w:rPr>
                    <w:t>10</w:t>
                  </w:r>
                  <w:r>
                    <w:rPr>
                      <w:rFonts w:hint="default" w:ascii="Times New Roman" w:hAnsi="Times New Roman" w:eastAsia="宋体" w:cs="Times New Roman"/>
                      <w:color w:val="auto"/>
                      <w:sz w:val="21"/>
                      <w:szCs w:val="21"/>
                      <w:highlight w:val="none"/>
                    </w:rPr>
                    <w:t>小时平均浓度的差值。当县（市、区）PM</w:t>
                  </w:r>
                  <w:r>
                    <w:rPr>
                      <w:rFonts w:hint="default" w:ascii="Times New Roman" w:hAnsi="Times New Roman" w:eastAsia="宋体" w:cs="Times New Roman"/>
                      <w:color w:val="auto"/>
                      <w:sz w:val="21"/>
                      <w:szCs w:val="21"/>
                      <w:highlight w:val="none"/>
                      <w:vertAlign w:val="subscript"/>
                    </w:rPr>
                    <w:t>10</w:t>
                  </w:r>
                  <w:r>
                    <w:rPr>
                      <w:rFonts w:hint="default" w:ascii="Times New Roman" w:hAnsi="Times New Roman" w:eastAsia="宋体" w:cs="Times New Roman"/>
                      <w:color w:val="auto"/>
                      <w:sz w:val="21"/>
                      <w:szCs w:val="21"/>
                      <w:highlight w:val="none"/>
                    </w:rPr>
                    <w:t>小时平均浓度值大于150</w:t>
                  </w:r>
                  <w:r>
                    <w:rPr>
                      <w:rFonts w:hint="default" w:ascii="Times New Roman" w:hAnsi="Times New Roman" w:eastAsia="宋体" w:cs="Times New Roman"/>
                      <w:color w:val="auto"/>
                      <w:sz w:val="21"/>
                      <w:szCs w:val="21"/>
                      <w:highlight w:val="none"/>
                      <w:lang w:val="en-GB" w:eastAsia="zh-TW"/>
                    </w:rPr>
                    <w:t>μg/m</w:t>
                  </w:r>
                  <w:r>
                    <w:rPr>
                      <w:rFonts w:hint="default" w:ascii="Times New Roman" w:hAnsi="Times New Roman" w:eastAsia="宋体" w:cs="Times New Roman"/>
                      <w:color w:val="auto"/>
                      <w:sz w:val="21"/>
                      <w:szCs w:val="21"/>
                      <w:highlight w:val="none"/>
                      <w:vertAlign w:val="superscript"/>
                      <w:lang w:val="en-GB" w:eastAsia="zh-TW"/>
                    </w:rPr>
                    <w:t>3</w:t>
                  </w:r>
                  <w:r>
                    <w:rPr>
                      <w:rFonts w:hint="default" w:ascii="Times New Roman" w:hAnsi="Times New Roman" w:eastAsia="宋体" w:cs="Times New Roman"/>
                      <w:color w:val="auto"/>
                      <w:sz w:val="21"/>
                      <w:szCs w:val="21"/>
                      <w:highlight w:val="none"/>
                    </w:rPr>
                    <w:t>时，以150</w:t>
                  </w:r>
                  <w:r>
                    <w:rPr>
                      <w:rFonts w:hint="default" w:ascii="Times New Roman" w:hAnsi="Times New Roman" w:eastAsia="宋体" w:cs="Times New Roman"/>
                      <w:color w:val="auto"/>
                      <w:sz w:val="21"/>
                      <w:szCs w:val="21"/>
                      <w:highlight w:val="none"/>
                      <w:lang w:val="en-GB" w:eastAsia="zh-TW"/>
                    </w:rPr>
                    <w:t>μg/m</w:t>
                  </w:r>
                  <w:r>
                    <w:rPr>
                      <w:rFonts w:hint="default" w:ascii="Times New Roman" w:hAnsi="Times New Roman" w:eastAsia="宋体" w:cs="Times New Roman"/>
                      <w:color w:val="auto"/>
                      <w:sz w:val="21"/>
                      <w:szCs w:val="21"/>
                      <w:highlight w:val="none"/>
                      <w:vertAlign w:val="superscript"/>
                      <w:lang w:val="en-GB" w:eastAsia="zh-TW"/>
                    </w:rPr>
                    <w:t>3</w:t>
                  </w:r>
                  <w:r>
                    <w:rPr>
                      <w:rFonts w:hint="default" w:ascii="Times New Roman" w:hAnsi="Times New Roman" w:eastAsia="宋体" w:cs="Times New Roman"/>
                      <w:color w:val="auto"/>
                      <w:sz w:val="21"/>
                      <w:szCs w:val="21"/>
                      <w:highlight w:val="none"/>
                    </w:rPr>
                    <w:t>计。</w:t>
                  </w:r>
                </w:p>
              </w:tc>
              <w:tc>
                <w:tcPr>
                  <w:tcW w:w="2280" w:type="dxa"/>
                  <w:vMerge w:val="continue"/>
                  <w:noWrap w:val="0"/>
                  <w:vAlign w:val="center"/>
                </w:tcPr>
                <w:p w14:paraId="39219708">
                  <w:pPr>
                    <w:pStyle w:val="13"/>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1"/>
                      <w:szCs w:val="21"/>
                      <w:highlight w:val="none"/>
                    </w:rPr>
                  </w:pPr>
                </w:p>
              </w:tc>
            </w:tr>
          </w:tbl>
          <w:p w14:paraId="0870DFCA">
            <w:pPr>
              <w:keepNext w:val="0"/>
              <w:keepLines w:val="0"/>
              <w:widowControl/>
              <w:suppressLineNumbers w:val="0"/>
              <w:spacing w:before="157" w:beforeLines="50" w:beforeAutospacing="0" w:after="0" w:afterAutospacing="0"/>
              <w:ind w:left="0" w:right="0"/>
              <w:jc w:val="center"/>
              <w:rPr>
                <w:rFonts w:hint="default" w:ascii="Times New Roman" w:hAnsi="Times New Roman" w:eastAsia="宋体" w:cs="Times New Roman"/>
                <w:b/>
                <w:color w:val="auto"/>
                <w:kern w:val="0"/>
                <w:sz w:val="21"/>
                <w:szCs w:val="21"/>
                <w:vertAlign w:val="superscript"/>
              </w:rPr>
            </w:pPr>
            <w:r>
              <w:rPr>
                <w:rFonts w:hint="eastAsia" w:ascii="Times New Roman" w:hAnsi="Times New Roman" w:eastAsia="宋体" w:cs="Times New Roman"/>
                <w:b/>
                <w:color w:val="auto"/>
                <w:kern w:val="0"/>
                <w:sz w:val="21"/>
                <w:szCs w:val="21"/>
                <w:lang w:eastAsia="zh-CN"/>
              </w:rPr>
              <w:t>施工场地扬尘监测点数量设置</w:t>
            </w:r>
          </w:p>
          <w:tbl>
            <w:tblPr>
              <w:tblStyle w:val="38"/>
              <w:tblW w:w="84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71"/>
              <w:gridCol w:w="3685"/>
              <w:gridCol w:w="2650"/>
            </w:tblGrid>
            <w:tr w14:paraId="1E77C0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2071" w:type="dxa"/>
                  <w:noWrap w:val="0"/>
                  <w:vAlign w:val="center"/>
                </w:tcPr>
                <w:p w14:paraId="0B4C5F31">
                  <w:pPr>
                    <w:pStyle w:val="13"/>
                    <w:keepNext w:val="0"/>
                    <w:keepLines w:val="0"/>
                    <w:suppressLineNumbers w:val="0"/>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GB" w:eastAsia="zh-CN"/>
                    </w:rPr>
                    <w:t>占地面积（</w:t>
                  </w:r>
                  <w:r>
                    <w:rPr>
                      <w:rFonts w:hint="default" w:ascii="Times New Roman" w:hAnsi="Times New Roman" w:eastAsia="宋体" w:cs="Times New Roman"/>
                      <w:color w:val="auto"/>
                      <w:sz w:val="21"/>
                      <w:szCs w:val="21"/>
                      <w:lang w:val="en-US" w:eastAsia="zh-CN"/>
                    </w:rPr>
                    <w:t>m</w:t>
                  </w:r>
                  <w:r>
                    <w:rPr>
                      <w:rFonts w:hint="default" w:ascii="Times New Roman" w:hAnsi="Times New Roman" w:eastAsia="宋体" w:cs="Times New Roman"/>
                      <w:color w:val="auto"/>
                      <w:sz w:val="21"/>
                      <w:szCs w:val="21"/>
                      <w:vertAlign w:val="superscript"/>
                      <w:lang w:val="en-US" w:eastAsia="zh-CN"/>
                    </w:rPr>
                    <w:t>2</w:t>
                  </w:r>
                  <w:r>
                    <w:rPr>
                      <w:rFonts w:hint="default" w:ascii="Times New Roman" w:hAnsi="Times New Roman" w:eastAsia="宋体" w:cs="Times New Roman"/>
                      <w:color w:val="auto"/>
                      <w:sz w:val="21"/>
                      <w:szCs w:val="21"/>
                      <w:lang w:val="en-GB" w:eastAsia="zh-CN"/>
                    </w:rPr>
                    <w:t>）</w:t>
                  </w:r>
                </w:p>
              </w:tc>
              <w:tc>
                <w:tcPr>
                  <w:tcW w:w="3685" w:type="dxa"/>
                  <w:noWrap w:val="0"/>
                  <w:vAlign w:val="center"/>
                </w:tcPr>
                <w:p w14:paraId="40ABC218">
                  <w:pPr>
                    <w:pStyle w:val="13"/>
                    <w:keepNext w:val="0"/>
                    <w:keepLines w:val="0"/>
                    <w:suppressLineNumbers w:val="0"/>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lang w:val="en-GB" w:eastAsia="zh-CN"/>
                    </w:rPr>
                  </w:pPr>
                  <w:r>
                    <w:rPr>
                      <w:rFonts w:hint="default" w:ascii="Times New Roman" w:hAnsi="Times New Roman" w:eastAsia="宋体" w:cs="Times New Roman"/>
                      <w:color w:val="auto"/>
                      <w:sz w:val="21"/>
                      <w:szCs w:val="21"/>
                      <w:lang w:val="en-GB" w:eastAsia="zh-CN"/>
                    </w:rPr>
                    <w:t>监测点数量（个）</w:t>
                  </w:r>
                </w:p>
              </w:tc>
              <w:tc>
                <w:tcPr>
                  <w:tcW w:w="2650" w:type="dxa"/>
                  <w:noWrap w:val="0"/>
                  <w:vAlign w:val="center"/>
                </w:tcPr>
                <w:p w14:paraId="2DD739B3">
                  <w:pPr>
                    <w:pStyle w:val="13"/>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1"/>
                      <w:szCs w:val="21"/>
                      <w:lang w:val="en-GB"/>
                    </w:rPr>
                  </w:pPr>
                  <w:r>
                    <w:rPr>
                      <w:rFonts w:hint="default" w:ascii="Times New Roman" w:hAnsi="Times New Roman" w:eastAsia="宋体" w:cs="Times New Roman"/>
                      <w:color w:val="auto"/>
                      <w:sz w:val="21"/>
                      <w:szCs w:val="21"/>
                      <w:lang w:val="en-GB"/>
                    </w:rPr>
                    <w:t>标准来源</w:t>
                  </w:r>
                </w:p>
              </w:tc>
            </w:tr>
            <w:tr w14:paraId="7FD6A6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2071" w:type="dxa"/>
                  <w:noWrap w:val="0"/>
                  <w:vAlign w:val="center"/>
                </w:tcPr>
                <w:p w14:paraId="020BFF66">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lang w:val="en-US" w:eastAsia="zh-CN" w:bidi="ar"/>
                    </w:rPr>
                    <w:t>S≤5000</w:t>
                  </w:r>
                </w:p>
              </w:tc>
              <w:tc>
                <w:tcPr>
                  <w:tcW w:w="3685" w:type="dxa"/>
                  <w:noWrap w:val="0"/>
                  <w:vAlign w:val="center"/>
                </w:tcPr>
                <w:p w14:paraId="78DD3694">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lang w:val="en-US" w:eastAsia="zh-CN" w:bidi="ar"/>
                    </w:rPr>
                    <w:t>≥1</w:t>
                  </w:r>
                </w:p>
              </w:tc>
              <w:tc>
                <w:tcPr>
                  <w:tcW w:w="2650" w:type="dxa"/>
                  <w:vMerge w:val="restart"/>
                  <w:noWrap w:val="0"/>
                  <w:vAlign w:val="center"/>
                </w:tcPr>
                <w:p w14:paraId="01F1A3D7">
                  <w:pPr>
                    <w:pStyle w:val="13"/>
                    <w:keepNext w:val="0"/>
                    <w:keepLines w:val="0"/>
                    <w:suppressLineNumbers w:val="0"/>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lang w:val="en-GB" w:eastAsia="zh-TW"/>
                    </w:rPr>
                  </w:pPr>
                  <w:r>
                    <w:rPr>
                      <w:rFonts w:hint="default" w:ascii="Times New Roman" w:hAnsi="Times New Roman" w:eastAsia="宋体" w:cs="Times New Roman"/>
                      <w:color w:val="auto"/>
                      <w:sz w:val="21"/>
                      <w:szCs w:val="21"/>
                    </w:rPr>
                    <w:t>《施工场地扬尘排放标准》（DB13/2934-2019）中表</w:t>
                  </w:r>
                  <w:r>
                    <w:rPr>
                      <w:rFonts w:hint="default" w:ascii="Times New Roman" w:hAnsi="Times New Roman" w:eastAsia="宋体" w:cs="Times New Roman"/>
                      <w:color w:val="auto"/>
                      <w:sz w:val="21"/>
                      <w:szCs w:val="21"/>
                      <w:lang w:val="en-US" w:eastAsia="zh-CN"/>
                    </w:rPr>
                    <w:t>3</w:t>
                  </w:r>
                  <w:r>
                    <w:rPr>
                      <w:rFonts w:hint="default" w:ascii="Times New Roman" w:hAnsi="Times New Roman" w:eastAsia="宋体" w:cs="Times New Roman"/>
                      <w:color w:val="auto"/>
                      <w:sz w:val="21"/>
                      <w:szCs w:val="21"/>
                      <w:lang w:eastAsia="zh-CN"/>
                    </w:rPr>
                    <w:t>施工场地扬尘监测点数量设置要求</w:t>
                  </w:r>
                </w:p>
              </w:tc>
            </w:tr>
            <w:tr w14:paraId="42B391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2071" w:type="dxa"/>
                  <w:noWrap w:val="0"/>
                  <w:vAlign w:val="center"/>
                </w:tcPr>
                <w:p w14:paraId="328C198F">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lang w:val="en-US" w:eastAsia="zh-CN" w:bidi="ar"/>
                    </w:rPr>
                    <w:t>5000＜S≤10000</w:t>
                  </w:r>
                </w:p>
              </w:tc>
              <w:tc>
                <w:tcPr>
                  <w:tcW w:w="3685" w:type="dxa"/>
                  <w:noWrap w:val="0"/>
                  <w:vAlign w:val="center"/>
                </w:tcPr>
                <w:p w14:paraId="38849988">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val="en-GB" w:eastAsia="zh-TW"/>
                    </w:rPr>
                  </w:pPr>
                  <w:r>
                    <w:rPr>
                      <w:rFonts w:hint="default" w:ascii="Times New Roman" w:hAnsi="Times New Roman" w:eastAsia="宋体" w:cs="Times New Roman"/>
                      <w:color w:val="auto"/>
                      <w:kern w:val="0"/>
                      <w:sz w:val="21"/>
                      <w:szCs w:val="21"/>
                      <w:lang w:val="en-US" w:eastAsia="zh-CN" w:bidi="ar"/>
                    </w:rPr>
                    <w:t>≥2</w:t>
                  </w:r>
                </w:p>
              </w:tc>
              <w:tc>
                <w:tcPr>
                  <w:tcW w:w="2650" w:type="dxa"/>
                  <w:vMerge w:val="continue"/>
                  <w:noWrap w:val="0"/>
                  <w:vAlign w:val="center"/>
                </w:tcPr>
                <w:p w14:paraId="74EC5EAC">
                  <w:pPr>
                    <w:pStyle w:val="13"/>
                    <w:keepNext w:val="0"/>
                    <w:keepLines w:val="0"/>
                    <w:suppressLineNumbers w:val="0"/>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p>
              </w:tc>
            </w:tr>
            <w:tr w14:paraId="129C72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2071" w:type="dxa"/>
                  <w:noWrap w:val="0"/>
                  <w:vAlign w:val="center"/>
                </w:tcPr>
                <w:p w14:paraId="531A29B9">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lang w:val="en-US" w:eastAsia="zh-CN" w:bidi="ar"/>
                    </w:rPr>
                    <w:t>10000＜S≤100000</w:t>
                  </w:r>
                </w:p>
              </w:tc>
              <w:tc>
                <w:tcPr>
                  <w:tcW w:w="3685" w:type="dxa"/>
                  <w:noWrap w:val="0"/>
                  <w:vAlign w:val="center"/>
                </w:tcPr>
                <w:p w14:paraId="6EB91757">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val="en-GB" w:eastAsia="zh-TW"/>
                    </w:rPr>
                  </w:pPr>
                  <w:r>
                    <w:rPr>
                      <w:rFonts w:hint="default" w:ascii="Times New Roman" w:hAnsi="Times New Roman" w:eastAsia="宋体" w:cs="Times New Roman"/>
                      <w:color w:val="auto"/>
                      <w:kern w:val="0"/>
                      <w:sz w:val="21"/>
                      <w:szCs w:val="21"/>
                      <w:lang w:val="en-US" w:eastAsia="zh-CN" w:bidi="ar"/>
                    </w:rPr>
                    <w:t>≥4</w:t>
                  </w:r>
                </w:p>
              </w:tc>
              <w:tc>
                <w:tcPr>
                  <w:tcW w:w="2650" w:type="dxa"/>
                  <w:vMerge w:val="continue"/>
                  <w:noWrap w:val="0"/>
                  <w:vAlign w:val="center"/>
                </w:tcPr>
                <w:p w14:paraId="25E80F57">
                  <w:pPr>
                    <w:pStyle w:val="13"/>
                    <w:keepNext w:val="0"/>
                    <w:keepLines w:val="0"/>
                    <w:suppressLineNumbers w:val="0"/>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p>
              </w:tc>
            </w:tr>
            <w:tr w14:paraId="6EE108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2071" w:type="dxa"/>
                  <w:noWrap w:val="0"/>
                  <w:vAlign w:val="center"/>
                </w:tcPr>
                <w:p w14:paraId="081F765F">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lang w:val="en-US" w:eastAsia="zh-CN" w:bidi="ar"/>
                    </w:rPr>
                    <w:t>S＞100000</w:t>
                  </w:r>
                </w:p>
              </w:tc>
              <w:tc>
                <w:tcPr>
                  <w:tcW w:w="3685" w:type="dxa"/>
                  <w:noWrap w:val="0"/>
                  <w:vAlign w:val="center"/>
                </w:tcPr>
                <w:p w14:paraId="5ACE9C5C">
                  <w:pPr>
                    <w:keepNext w:val="0"/>
                    <w:keepLines w:val="0"/>
                    <w:widowControl/>
                    <w:suppressLineNumbers w:val="0"/>
                    <w:spacing w:before="0" w:beforeAutospacing="0" w:after="0" w:afterAutospacing="0"/>
                    <w:ind w:left="0" w:right="0"/>
                    <w:jc w:val="both"/>
                    <w:rPr>
                      <w:rFonts w:hint="default" w:ascii="Times New Roman" w:hAnsi="Times New Roman" w:eastAsia="宋体" w:cs="Times New Roman"/>
                      <w:color w:val="auto"/>
                      <w:sz w:val="21"/>
                      <w:szCs w:val="21"/>
                      <w:lang w:val="en-GB" w:eastAsia="zh-TW"/>
                    </w:rPr>
                  </w:pPr>
                  <w:r>
                    <w:rPr>
                      <w:rFonts w:hint="default" w:ascii="Times New Roman" w:hAnsi="Times New Roman" w:eastAsia="宋体" w:cs="Times New Roman"/>
                      <w:color w:val="auto"/>
                      <w:kern w:val="0"/>
                      <w:sz w:val="21"/>
                      <w:szCs w:val="21"/>
                      <w:lang w:val="en-US" w:eastAsia="zh-CN" w:bidi="ar"/>
                    </w:rPr>
                    <w:t>在10万平方米最少设置4个监测点的基础上，每增加10万平方米最少增设1个监测点（不足10万平方米的部分按10万平方米计）。</w:t>
                  </w:r>
                </w:p>
              </w:tc>
              <w:tc>
                <w:tcPr>
                  <w:tcW w:w="2650" w:type="dxa"/>
                  <w:vMerge w:val="continue"/>
                  <w:noWrap w:val="0"/>
                  <w:vAlign w:val="center"/>
                </w:tcPr>
                <w:p w14:paraId="54530DB2">
                  <w:pPr>
                    <w:pStyle w:val="13"/>
                    <w:keepNext w:val="0"/>
                    <w:keepLines w:val="0"/>
                    <w:suppressLineNumbers w:val="0"/>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p>
              </w:tc>
            </w:tr>
          </w:tbl>
          <w:p w14:paraId="6AFB8FDD">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right="0" w:firstLine="480" w:firstLineChars="200"/>
              <w:textAlignment w:val="auto"/>
              <w:rPr>
                <w:rFonts w:hint="default" w:ascii="Times New Roman" w:hAnsi="Times New Roman" w:eastAsia="宋体" w:cs="Times New Roman"/>
                <w:b/>
                <w:kern w:val="0"/>
                <w:sz w:val="21"/>
                <w:szCs w:val="21"/>
              </w:rPr>
            </w:pPr>
            <w:r>
              <w:rPr>
                <w:rFonts w:hint="eastAsia" w:cs="Times New Roman"/>
                <w:sz w:val="24"/>
                <w:lang w:val="en-US" w:eastAsia="zh-CN"/>
              </w:rPr>
              <w:t>2、</w:t>
            </w:r>
            <w:r>
              <w:rPr>
                <w:rFonts w:hint="default" w:ascii="Times New Roman" w:hAnsi="Times New Roman" w:eastAsia="宋体" w:cs="Times New Roman"/>
                <w:sz w:val="24"/>
              </w:rPr>
              <w:t>项目施工期</w:t>
            </w:r>
            <w:r>
              <w:rPr>
                <w:rFonts w:hint="default" w:ascii="Times New Roman" w:hAnsi="Times New Roman" w:eastAsia="宋体" w:cs="Times New Roman"/>
                <w:sz w:val="24"/>
                <w:lang w:val="en-US" w:eastAsia="zh-CN"/>
              </w:rPr>
              <w:t>场</w:t>
            </w:r>
            <w:r>
              <w:rPr>
                <w:rFonts w:hint="default" w:ascii="Times New Roman" w:hAnsi="Times New Roman" w:eastAsia="宋体" w:cs="Times New Roman"/>
                <w:sz w:val="24"/>
              </w:rPr>
              <w:t>界噪声执行《建筑施工噪声排放标准》（GB12523-20</w:t>
            </w:r>
            <w:r>
              <w:rPr>
                <w:rFonts w:hint="eastAsia" w:cs="Times New Roman"/>
                <w:sz w:val="24"/>
                <w:lang w:val="en-US" w:eastAsia="zh-CN"/>
              </w:rPr>
              <w:t>25</w:t>
            </w:r>
            <w:r>
              <w:rPr>
                <w:rFonts w:hint="default" w:ascii="Times New Roman" w:hAnsi="Times New Roman" w:eastAsia="宋体" w:cs="Times New Roman"/>
                <w:sz w:val="24"/>
              </w:rPr>
              <w:t>）表1中排放限值标准，</w:t>
            </w:r>
            <w:bookmarkEnd w:id="4"/>
            <w:r>
              <w:rPr>
                <w:rFonts w:hint="default" w:ascii="Times New Roman" w:hAnsi="Times New Roman" w:eastAsia="宋体" w:cs="Times New Roman"/>
                <w:sz w:val="24"/>
              </w:rPr>
              <w:t>见下表。</w:t>
            </w:r>
          </w:p>
          <w:p w14:paraId="2E4C8B96">
            <w:pPr>
              <w:keepNext w:val="0"/>
              <w:keepLines w:val="0"/>
              <w:suppressLineNumbers w:val="0"/>
              <w:spacing w:before="0" w:beforeAutospacing="0" w:after="0" w:afterAutospacing="0" w:line="240" w:lineRule="auto"/>
              <w:ind w:left="0" w:right="0" w:firstLine="422" w:firstLineChars="200"/>
              <w:jc w:val="center"/>
              <w:rPr>
                <w:rFonts w:hint="default" w:ascii="Times New Roman" w:hAnsi="Times New Roman" w:eastAsia="宋体" w:cs="Times New Roman"/>
                <w:b/>
                <w:bCs/>
                <w:color w:val="000000"/>
                <w:kern w:val="0"/>
                <w:sz w:val="21"/>
                <w:szCs w:val="21"/>
                <w:lang w:val="en-US" w:eastAsia="zh-CN" w:bidi="ar-SA"/>
              </w:rPr>
            </w:pPr>
            <w:r>
              <w:rPr>
                <w:rFonts w:hint="default" w:ascii="Times New Roman" w:hAnsi="Times New Roman" w:eastAsia="宋体" w:cs="Times New Roman"/>
                <w:b/>
                <w:bCs/>
                <w:color w:val="000000"/>
                <w:kern w:val="0"/>
                <w:sz w:val="21"/>
                <w:szCs w:val="21"/>
                <w:lang w:val="en-US" w:eastAsia="zh-CN" w:bidi="ar-SA"/>
              </w:rPr>
              <w:t>建筑施工场界环境噪声排放标准  单位：dB（A）</w:t>
            </w:r>
          </w:p>
          <w:tbl>
            <w:tblPr>
              <w:tblStyle w:val="38"/>
              <w:tblW w:w="831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45"/>
              <w:gridCol w:w="2267"/>
              <w:gridCol w:w="4500"/>
            </w:tblGrid>
            <w:tr w14:paraId="15D6F7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1545" w:type="dxa"/>
                  <w:noWrap w:val="0"/>
                  <w:vAlign w:val="center"/>
                </w:tcPr>
                <w:p w14:paraId="5C4644D6">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 w:val="21"/>
                      <w:szCs w:val="21"/>
                      <w:lang w:val="en-GB"/>
                    </w:rPr>
                  </w:pPr>
                  <w:r>
                    <w:rPr>
                      <w:rFonts w:hint="default" w:ascii="Times New Roman" w:hAnsi="Times New Roman" w:eastAsia="宋体" w:cs="Times New Roman"/>
                      <w:sz w:val="21"/>
                      <w:szCs w:val="21"/>
                      <w:lang w:val="en-GB"/>
                    </w:rPr>
                    <w:t>类别</w:t>
                  </w:r>
                </w:p>
              </w:tc>
              <w:tc>
                <w:tcPr>
                  <w:tcW w:w="2267" w:type="dxa"/>
                  <w:noWrap w:val="0"/>
                  <w:vAlign w:val="center"/>
                </w:tcPr>
                <w:p w14:paraId="26BB8256">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GB"/>
                    </w:rPr>
                    <w:t>噪声限值</w:t>
                  </w:r>
                </w:p>
              </w:tc>
              <w:tc>
                <w:tcPr>
                  <w:tcW w:w="4500" w:type="dxa"/>
                  <w:noWrap w:val="0"/>
                  <w:vAlign w:val="center"/>
                </w:tcPr>
                <w:p w14:paraId="4E42C707">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 w:val="21"/>
                      <w:szCs w:val="21"/>
                      <w:lang w:val="en-GB"/>
                    </w:rPr>
                  </w:pPr>
                  <w:r>
                    <w:rPr>
                      <w:rFonts w:hint="default" w:ascii="Times New Roman" w:hAnsi="Times New Roman" w:eastAsia="宋体" w:cs="Times New Roman"/>
                      <w:sz w:val="21"/>
                      <w:szCs w:val="21"/>
                      <w:lang w:val="en-GB"/>
                    </w:rPr>
                    <w:t>标准来源</w:t>
                  </w:r>
                </w:p>
              </w:tc>
            </w:tr>
            <w:tr w14:paraId="58DD62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1545" w:type="dxa"/>
                  <w:noWrap w:val="0"/>
                  <w:vAlign w:val="center"/>
                </w:tcPr>
                <w:p w14:paraId="78DED96A">
                  <w:pPr>
                    <w:pStyle w:val="13"/>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施工期噪声</w:t>
                  </w:r>
                </w:p>
              </w:tc>
              <w:tc>
                <w:tcPr>
                  <w:tcW w:w="2267" w:type="dxa"/>
                  <w:noWrap w:val="0"/>
                  <w:vAlign w:val="center"/>
                </w:tcPr>
                <w:p w14:paraId="4F904DAE">
                  <w:pPr>
                    <w:pStyle w:val="13"/>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昼间：70</w:t>
                  </w:r>
                </w:p>
                <w:p w14:paraId="17D051E3">
                  <w:pPr>
                    <w:pStyle w:val="13"/>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夜间</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55</w:t>
                  </w:r>
                </w:p>
              </w:tc>
              <w:tc>
                <w:tcPr>
                  <w:tcW w:w="4500" w:type="dxa"/>
                  <w:noWrap w:val="0"/>
                  <w:vAlign w:val="center"/>
                </w:tcPr>
                <w:p w14:paraId="0AA70364">
                  <w:pPr>
                    <w:pStyle w:val="13"/>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《建筑施工噪声排放标准》（GB12523-20</w:t>
                  </w:r>
                  <w:r>
                    <w:rPr>
                      <w:rFonts w:hint="eastAsia" w:ascii="Times New Roman" w:hAnsi="Times New Roman" w:eastAsia="宋体" w:cs="Times New Roman"/>
                      <w:sz w:val="21"/>
                      <w:szCs w:val="21"/>
                      <w:lang w:val="en-US" w:eastAsia="zh-CN"/>
                    </w:rPr>
                    <w:t>25</w:t>
                  </w:r>
                  <w:r>
                    <w:rPr>
                      <w:rFonts w:hint="default" w:ascii="Times New Roman" w:hAnsi="Times New Roman" w:eastAsia="宋体" w:cs="Times New Roman"/>
                      <w:sz w:val="21"/>
                      <w:szCs w:val="21"/>
                    </w:rPr>
                    <w:t>）表1中排放限值标准</w:t>
                  </w:r>
                </w:p>
              </w:tc>
            </w:tr>
          </w:tbl>
          <w:p w14:paraId="3FB84F2B">
            <w:pPr>
              <w:keepNext w:val="0"/>
              <w:keepLines w:val="0"/>
              <w:pageBreakBefore w:val="0"/>
              <w:widowControl w:val="0"/>
              <w:numPr>
                <w:ilvl w:val="0"/>
                <w:numId w:val="0"/>
              </w:numPr>
              <w:suppressLineNumbers w:val="0"/>
              <w:tabs>
                <w:tab w:val="left" w:pos="6599"/>
              </w:tabs>
              <w:kinsoku/>
              <w:wordWrap/>
              <w:overflowPunct/>
              <w:topLinePunct w:val="0"/>
              <w:autoSpaceDE/>
              <w:autoSpaceDN/>
              <w:bidi w:val="0"/>
              <w:adjustRightInd/>
              <w:snapToGrid/>
              <w:spacing w:before="157" w:beforeLines="50" w:beforeAutospacing="0" w:after="0" w:afterAutospacing="0" w:line="360" w:lineRule="auto"/>
              <w:ind w:left="0" w:right="0" w:firstLine="480" w:firstLineChars="200"/>
              <w:textAlignment w:val="auto"/>
              <w:rPr>
                <w:rFonts w:hint="default" w:ascii="Times New Roman" w:hAnsi="Times New Roman" w:eastAsia="宋体" w:cs="Times New Roman"/>
                <w:snapToGrid w:val="0"/>
                <w:kern w:val="0"/>
                <w:sz w:val="24"/>
                <w:lang w:eastAsia="zh-CN"/>
              </w:rPr>
            </w:pPr>
            <w:r>
              <w:rPr>
                <w:rFonts w:hint="eastAsia" w:cs="Times New Roman"/>
                <w:sz w:val="24"/>
                <w:lang w:val="en-US" w:eastAsia="zh-CN"/>
              </w:rPr>
              <w:t>3、</w:t>
            </w:r>
            <w:r>
              <w:rPr>
                <w:rFonts w:hint="default" w:ascii="Times New Roman" w:hAnsi="Times New Roman" w:eastAsia="宋体" w:cs="Times New Roman"/>
                <w:sz w:val="24"/>
                <w:lang w:val="en-US" w:eastAsia="zh-CN"/>
              </w:rPr>
              <w:t>项目施工期一般固体废物处置</w:t>
            </w:r>
            <w:r>
              <w:rPr>
                <w:rFonts w:hint="default" w:ascii="Times New Roman" w:hAnsi="Times New Roman" w:eastAsia="宋体" w:cs="Times New Roman"/>
                <w:snapToGrid w:val="0"/>
                <w:kern w:val="0"/>
                <w:sz w:val="24"/>
                <w:lang w:val="en-US" w:eastAsia="zh-CN"/>
              </w:rPr>
              <w:t>参照</w:t>
            </w:r>
            <w:r>
              <w:rPr>
                <w:rFonts w:hint="default" w:ascii="Times New Roman" w:hAnsi="Times New Roman" w:eastAsia="宋体" w:cs="Times New Roman"/>
                <w:snapToGrid w:val="0"/>
                <w:kern w:val="0"/>
                <w:sz w:val="24"/>
              </w:rPr>
              <w:t>执行《一般工业固体废物贮存和填埋污染控制标准》（GB 18599-2020）要求</w:t>
            </w:r>
            <w:r>
              <w:rPr>
                <w:rFonts w:hint="default" w:ascii="Times New Roman" w:hAnsi="Times New Roman" w:eastAsia="宋体" w:cs="Times New Roman"/>
                <w:snapToGrid w:val="0"/>
                <w:kern w:val="0"/>
                <w:sz w:val="24"/>
                <w:lang w:eastAsia="zh-CN"/>
              </w:rPr>
              <w:t>。</w:t>
            </w:r>
          </w:p>
          <w:p w14:paraId="42C5E110">
            <w:pPr>
              <w:pStyle w:val="3"/>
              <w:keepLines w:val="0"/>
              <w:pageBreakBefore w:val="0"/>
              <w:widowControl w:val="0"/>
              <w:suppressLineNumbers w:val="0"/>
              <w:tabs>
                <w:tab w:val="left" w:pos="360"/>
              </w:tabs>
              <w:kinsoku/>
              <w:wordWrap/>
              <w:topLinePunct w:val="0"/>
              <w:autoSpaceDE/>
              <w:autoSpaceDN/>
              <w:bidi w:val="0"/>
              <w:snapToGrid w:val="0"/>
              <w:spacing w:before="0" w:beforeAutospacing="0" w:after="0" w:afterAutospacing="0" w:line="360" w:lineRule="auto"/>
              <w:ind w:right="0"/>
              <w:textAlignment w:val="auto"/>
              <w:rPr>
                <w:rFonts w:hint="default" w:ascii="Times New Roman" w:hAnsi="Times New Roman" w:eastAsia="宋体" w:cs="Times New Roman"/>
                <w:sz w:val="24"/>
                <w:lang w:eastAsia="zh-CN"/>
              </w:rPr>
            </w:pPr>
            <w:r>
              <w:rPr>
                <w:rFonts w:hint="default" w:ascii="Times New Roman" w:hAnsi="Times New Roman" w:eastAsia="宋体" w:cs="Times New Roman"/>
                <w:sz w:val="24"/>
                <w:lang w:eastAsia="zh-CN"/>
              </w:rPr>
              <w:t>运营期：</w:t>
            </w:r>
          </w:p>
          <w:p w14:paraId="7AB2A5BE">
            <w:pPr>
              <w:keepNext w:val="0"/>
              <w:keepLines w:val="0"/>
              <w:widowControl/>
              <w:suppressLineNumbers w:val="0"/>
              <w:spacing w:before="0" w:beforeAutospacing="0" w:after="0" w:afterAutospacing="0" w:line="440" w:lineRule="exact"/>
              <w:ind w:left="0" w:right="0" w:firstLine="482" w:firstLineChars="200"/>
              <w:rPr>
                <w:rFonts w:hint="default" w:ascii="Times New Roman" w:hAnsi="Times New Roman" w:eastAsia="宋体" w:cs="Times New Roman"/>
                <w:b/>
                <w:bCs/>
                <w:kern w:val="0"/>
                <w:sz w:val="24"/>
                <w:szCs w:val="20"/>
              </w:rPr>
            </w:pPr>
            <w:r>
              <w:rPr>
                <w:rFonts w:hint="default" w:ascii="Times New Roman" w:hAnsi="Times New Roman" w:eastAsia="宋体" w:cs="Times New Roman"/>
                <w:b/>
                <w:bCs/>
                <w:kern w:val="0"/>
                <w:sz w:val="24"/>
                <w:szCs w:val="20"/>
                <w:lang w:val="en-US" w:eastAsia="zh-CN"/>
              </w:rPr>
              <w:t>1、</w:t>
            </w:r>
            <w:r>
              <w:rPr>
                <w:rFonts w:hint="default" w:ascii="Times New Roman" w:hAnsi="Times New Roman" w:eastAsia="宋体" w:cs="Times New Roman"/>
                <w:b/>
                <w:bCs/>
                <w:kern w:val="0"/>
                <w:sz w:val="24"/>
                <w:szCs w:val="20"/>
              </w:rPr>
              <w:t>废气</w:t>
            </w:r>
          </w:p>
          <w:p w14:paraId="3AD8D951">
            <w:pPr>
              <w:keepNext w:val="0"/>
              <w:keepLines w:val="0"/>
              <w:widowControl/>
              <w:suppressLineNumbers w:val="0"/>
              <w:spacing w:before="0" w:beforeAutospacing="0" w:after="0" w:afterAutospacing="0" w:line="460" w:lineRule="exact"/>
              <w:ind w:left="0" w:right="0" w:firstLine="480" w:firstLineChars="200"/>
              <w:rPr>
                <w:rFonts w:hint="eastAsia" w:ascii="Times New Roman" w:hAnsi="Times New Roman" w:eastAsia="宋体" w:cs="Times New Roman"/>
                <w:color w:val="auto"/>
                <w:sz w:val="24"/>
                <w:szCs w:val="24"/>
                <w:highlight w:val="none"/>
                <w:lang w:eastAsia="zh-CN"/>
              </w:rPr>
            </w:pPr>
            <w:r>
              <w:rPr>
                <w:rFonts w:hint="default" w:ascii="Times New Roman" w:hAnsi="Times New Roman" w:eastAsia="宋体" w:cs="Times New Roman"/>
                <w:sz w:val="24"/>
                <w:szCs w:val="22"/>
                <w:lang w:eastAsia="zh-CN"/>
              </w:rPr>
              <w:t>有组织废气：</w:t>
            </w:r>
            <w:r>
              <w:rPr>
                <w:rFonts w:hint="default" w:ascii="Times New Roman" w:hAnsi="Times New Roman" w:eastAsia="宋体" w:cs="Times New Roman"/>
                <w:color w:val="auto"/>
                <w:sz w:val="24"/>
                <w:szCs w:val="24"/>
                <w:highlight w:val="none"/>
              </w:rPr>
              <w:t>有组织废气中非甲烷总烃排放执行《合成树脂工业污染物排放标准》（GB31572-2015</w:t>
            </w:r>
            <w:r>
              <w:rPr>
                <w:rFonts w:hint="default" w:ascii="Times New Roman" w:hAnsi="Times New Roman" w:eastAsia="宋体" w:cs="Times New Roman"/>
                <w:color w:val="auto"/>
                <w:sz w:val="24"/>
                <w:szCs w:val="24"/>
                <w:lang w:val="en-US" w:eastAsia="zh-CN"/>
              </w:rPr>
              <w:t>，含2024修改单</w:t>
            </w:r>
            <w:r>
              <w:rPr>
                <w:rFonts w:hint="default" w:ascii="Times New Roman" w:hAnsi="Times New Roman" w:eastAsia="宋体" w:cs="Times New Roman"/>
                <w:color w:val="auto"/>
                <w:sz w:val="24"/>
                <w:szCs w:val="24"/>
                <w:highlight w:val="none"/>
              </w:rPr>
              <w:t>）表5大气污染物特别排放限值</w:t>
            </w:r>
            <w:r>
              <w:rPr>
                <w:rFonts w:hint="eastAsia"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《工业企业挥发性有机物排放控制标准》（DB13/2322-20</w:t>
            </w:r>
            <w:r>
              <w:rPr>
                <w:rFonts w:hint="eastAsia" w:cs="Times New Roman"/>
                <w:color w:val="auto"/>
                <w:sz w:val="24"/>
                <w:szCs w:val="24"/>
                <w:highlight w:val="none"/>
                <w:lang w:val="en-US" w:eastAsia="zh-CN"/>
              </w:rPr>
              <w:t>25</w:t>
            </w:r>
            <w:r>
              <w:rPr>
                <w:rFonts w:hint="default" w:ascii="Times New Roman" w:hAnsi="Times New Roman" w:eastAsia="宋体" w:cs="Times New Roman"/>
                <w:color w:val="auto"/>
                <w:sz w:val="24"/>
                <w:szCs w:val="24"/>
                <w:highlight w:val="none"/>
              </w:rPr>
              <w:t>）表1中</w:t>
            </w:r>
            <w:r>
              <w:rPr>
                <w:rFonts w:hint="eastAsia" w:cs="Times New Roman"/>
                <w:color w:val="auto"/>
                <w:sz w:val="24"/>
                <w:szCs w:val="24"/>
                <w:lang w:val="en-US" w:eastAsia="zh-CN"/>
              </w:rPr>
              <w:t>塑料制品制造行业</w:t>
            </w:r>
            <w:r>
              <w:rPr>
                <w:rFonts w:hint="default" w:ascii="Times New Roman" w:hAnsi="Times New Roman" w:eastAsia="宋体" w:cs="Times New Roman"/>
                <w:color w:val="auto"/>
                <w:sz w:val="24"/>
                <w:szCs w:val="24"/>
              </w:rPr>
              <w:t>排放限值要求</w:t>
            </w:r>
            <w:r>
              <w:rPr>
                <w:rFonts w:hint="eastAsia" w:cs="Times New Roman"/>
                <w:color w:val="auto"/>
                <w:sz w:val="24"/>
                <w:szCs w:val="24"/>
                <w:lang w:eastAsia="zh-CN"/>
              </w:rPr>
              <w:t>、《印刷工业挥发性有机物排放标准》（</w:t>
            </w:r>
            <w:r>
              <w:rPr>
                <w:rFonts w:hint="eastAsia" w:cs="Times New Roman"/>
                <w:color w:val="auto"/>
                <w:sz w:val="24"/>
                <w:szCs w:val="24"/>
                <w:lang w:val="en-US" w:eastAsia="zh-CN"/>
              </w:rPr>
              <w:t>DB13/6188-2025）表1中排放限值要求</w:t>
            </w:r>
            <w:r>
              <w:rPr>
                <w:rFonts w:hint="default" w:ascii="Times New Roman" w:hAnsi="Times New Roman" w:eastAsia="宋体"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lang w:eastAsia="zh-CN"/>
              </w:rPr>
              <w:t>二苯基甲烷二异氰酸酯（</w:t>
            </w:r>
            <w:r>
              <w:rPr>
                <w:rFonts w:hint="eastAsia" w:ascii="Times New Roman" w:hAnsi="Times New Roman" w:eastAsia="宋体" w:cs="Times New Roman"/>
                <w:color w:val="auto"/>
                <w:sz w:val="24"/>
                <w:szCs w:val="24"/>
                <w:highlight w:val="none"/>
                <w:lang w:val="en-US" w:eastAsia="zh-CN"/>
              </w:rPr>
              <w:t>MDI）</w:t>
            </w:r>
            <w:r>
              <w:rPr>
                <w:rFonts w:hint="default" w:ascii="Times New Roman" w:hAnsi="Times New Roman" w:eastAsia="宋体" w:cs="Times New Roman"/>
                <w:color w:val="auto"/>
                <w:sz w:val="24"/>
                <w:szCs w:val="24"/>
                <w:highlight w:val="none"/>
              </w:rPr>
              <w:t>执行《合成树脂工业污染物排放标准》（GB31572-2015</w:t>
            </w:r>
            <w:r>
              <w:rPr>
                <w:rFonts w:hint="default" w:ascii="Times New Roman" w:hAnsi="Times New Roman" w:eastAsia="宋体" w:cs="Times New Roman"/>
                <w:color w:val="auto"/>
                <w:sz w:val="24"/>
                <w:szCs w:val="24"/>
                <w:lang w:val="en-US" w:eastAsia="zh-CN"/>
              </w:rPr>
              <w:t>，含2024修改单</w:t>
            </w:r>
            <w:r>
              <w:rPr>
                <w:rFonts w:hint="default" w:ascii="Times New Roman" w:hAnsi="Times New Roman" w:eastAsia="宋体" w:cs="Times New Roman"/>
                <w:color w:val="auto"/>
                <w:sz w:val="24"/>
                <w:szCs w:val="24"/>
                <w:highlight w:val="none"/>
              </w:rPr>
              <w:t>）表5大气污染物特别排放限值</w:t>
            </w:r>
            <w:r>
              <w:rPr>
                <w:rFonts w:hint="eastAsia"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有组织臭气浓度执行《恶臭污染物排放标准》（GB 14554-93）表2中标准。</w:t>
            </w:r>
          </w:p>
          <w:p w14:paraId="07A31CEA">
            <w:pPr>
              <w:keepNext w:val="0"/>
              <w:keepLines w:val="0"/>
              <w:widowControl/>
              <w:suppressLineNumbers w:val="0"/>
              <w:spacing w:before="0" w:beforeAutospacing="0" w:after="0" w:afterAutospacing="0" w:line="460" w:lineRule="exact"/>
              <w:ind w:left="0" w:right="0" w:firstLine="480" w:firstLineChars="200"/>
              <w:rPr>
                <w:rFonts w:hint="eastAsia" w:ascii="Times New Roman" w:hAnsi="Times New Roman" w:eastAsia="宋体" w:cs="Times New Roman"/>
                <w:color w:val="auto"/>
                <w:sz w:val="24"/>
                <w:szCs w:val="24"/>
                <w:highlight w:val="none"/>
                <w:lang w:eastAsia="zh-CN"/>
              </w:rPr>
            </w:pPr>
            <w:r>
              <w:rPr>
                <w:rFonts w:hint="default" w:ascii="Times New Roman" w:hAnsi="Times New Roman" w:eastAsia="宋体" w:cs="Times New Roman"/>
                <w:sz w:val="24"/>
                <w:szCs w:val="22"/>
                <w:highlight w:val="none"/>
                <w:lang w:eastAsia="zh-CN"/>
              </w:rPr>
              <w:t>无组织废气：非甲烷总烃厂界无组织执行</w:t>
            </w:r>
            <w:r>
              <w:rPr>
                <w:rFonts w:hint="default" w:ascii="Times New Roman" w:hAnsi="Times New Roman" w:eastAsia="宋体" w:cs="Times New Roman"/>
                <w:color w:val="auto"/>
                <w:sz w:val="24"/>
                <w:szCs w:val="24"/>
                <w:highlight w:val="none"/>
              </w:rPr>
              <w:t>《合成树脂工业污染物排放标准》（GB31572-2015</w:t>
            </w:r>
            <w:r>
              <w:rPr>
                <w:rFonts w:hint="default" w:ascii="Times New Roman" w:hAnsi="Times New Roman" w:eastAsia="宋体" w:cs="Times New Roman"/>
                <w:color w:val="auto"/>
                <w:sz w:val="24"/>
                <w:szCs w:val="24"/>
                <w:lang w:val="en-US" w:eastAsia="zh-CN"/>
              </w:rPr>
              <w:t>，含2024修改单</w:t>
            </w:r>
            <w:r>
              <w:rPr>
                <w:rFonts w:hint="default" w:ascii="Times New Roman" w:hAnsi="Times New Roman" w:eastAsia="宋体" w:cs="Times New Roman"/>
                <w:color w:val="auto"/>
                <w:sz w:val="24"/>
                <w:szCs w:val="24"/>
                <w:highlight w:val="none"/>
              </w:rPr>
              <w:t>）表</w:t>
            </w:r>
            <w:r>
              <w:rPr>
                <w:rFonts w:hint="eastAsia" w:cs="Times New Roman"/>
                <w:color w:val="auto"/>
                <w:sz w:val="24"/>
                <w:szCs w:val="24"/>
                <w:highlight w:val="none"/>
                <w:lang w:val="en-US" w:eastAsia="zh-CN"/>
              </w:rPr>
              <w:t>9</w:t>
            </w:r>
            <w:r>
              <w:rPr>
                <w:rFonts w:hint="eastAsia" w:cs="Times New Roman"/>
                <w:color w:val="auto"/>
                <w:sz w:val="24"/>
                <w:szCs w:val="24"/>
                <w:highlight w:val="none"/>
                <w:lang w:eastAsia="zh-CN"/>
              </w:rPr>
              <w:t>企业边界大气污染物浓度限值</w:t>
            </w:r>
            <w:r>
              <w:rPr>
                <w:rFonts w:hint="default" w:ascii="Times New Roman" w:hAnsi="Times New Roman" w:eastAsia="宋体" w:cs="Times New Roman"/>
                <w:sz w:val="24"/>
                <w:szCs w:val="22"/>
                <w:highlight w:val="none"/>
                <w:lang w:eastAsia="zh-CN"/>
              </w:rPr>
              <w:t>；厂区内无组织排放执行</w:t>
            </w:r>
            <w:r>
              <w:rPr>
                <w:rFonts w:hint="default" w:ascii="Times New Roman" w:hAnsi="Times New Roman" w:eastAsia="宋体" w:cs="Times New Roman"/>
                <w:color w:val="auto"/>
                <w:sz w:val="24"/>
                <w:szCs w:val="24"/>
                <w:highlight w:val="none"/>
              </w:rPr>
              <w:t>《工业企业挥发性有机物排放控制标准》（DB13/2322-20</w:t>
            </w:r>
            <w:r>
              <w:rPr>
                <w:rFonts w:hint="eastAsia" w:cs="Times New Roman"/>
                <w:color w:val="auto"/>
                <w:sz w:val="24"/>
                <w:szCs w:val="24"/>
                <w:highlight w:val="none"/>
                <w:lang w:val="en-US" w:eastAsia="zh-CN"/>
              </w:rPr>
              <w:t>25</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sz w:val="24"/>
                <w:szCs w:val="22"/>
                <w:highlight w:val="none"/>
                <w:lang w:eastAsia="zh-CN"/>
              </w:rPr>
              <w:t>表</w:t>
            </w:r>
            <w:r>
              <w:rPr>
                <w:rFonts w:hint="eastAsia" w:cs="Times New Roman"/>
                <w:sz w:val="24"/>
                <w:szCs w:val="22"/>
                <w:highlight w:val="none"/>
                <w:lang w:val="en-US" w:eastAsia="zh-CN"/>
              </w:rPr>
              <w:t>2</w:t>
            </w:r>
            <w:r>
              <w:rPr>
                <w:rFonts w:hint="default" w:ascii="Times New Roman" w:hAnsi="Times New Roman" w:eastAsia="宋体" w:cs="Times New Roman"/>
                <w:sz w:val="24"/>
                <w:szCs w:val="22"/>
                <w:highlight w:val="none"/>
                <w:lang w:eastAsia="zh-CN"/>
              </w:rPr>
              <w:t>厂区内</w:t>
            </w:r>
            <w:r>
              <w:rPr>
                <w:rFonts w:hint="eastAsia" w:cs="Times New Roman"/>
                <w:sz w:val="24"/>
                <w:szCs w:val="22"/>
                <w:highlight w:val="none"/>
                <w:lang w:eastAsia="zh-CN"/>
              </w:rPr>
              <w:t>挥发性有机物</w:t>
            </w:r>
            <w:r>
              <w:rPr>
                <w:rFonts w:hint="default" w:ascii="Times New Roman" w:hAnsi="Times New Roman" w:eastAsia="宋体" w:cs="Times New Roman"/>
                <w:sz w:val="24"/>
                <w:szCs w:val="22"/>
                <w:highlight w:val="none"/>
                <w:lang w:eastAsia="zh-CN"/>
              </w:rPr>
              <w:t>无组织排放限值</w:t>
            </w:r>
            <w:r>
              <w:rPr>
                <w:rFonts w:hint="eastAsia" w:cs="Times New Roman"/>
                <w:sz w:val="24"/>
                <w:szCs w:val="22"/>
                <w:highlight w:val="none"/>
                <w:lang w:eastAsia="zh-CN"/>
              </w:rPr>
              <w:t>、</w:t>
            </w:r>
            <w:r>
              <w:rPr>
                <w:rFonts w:hint="eastAsia" w:cs="Times New Roman"/>
                <w:color w:val="auto"/>
                <w:sz w:val="24"/>
                <w:szCs w:val="24"/>
                <w:lang w:eastAsia="zh-CN"/>
              </w:rPr>
              <w:t>《印刷工业挥发性有机物排放标准》（</w:t>
            </w:r>
            <w:r>
              <w:rPr>
                <w:rFonts w:hint="eastAsia" w:cs="Times New Roman"/>
                <w:color w:val="auto"/>
                <w:sz w:val="24"/>
                <w:szCs w:val="24"/>
                <w:lang w:val="en-US" w:eastAsia="zh-CN"/>
              </w:rPr>
              <w:t>DB13/6188-2025）</w:t>
            </w:r>
            <w:r>
              <w:rPr>
                <w:rFonts w:hint="default" w:ascii="Times New Roman" w:hAnsi="Times New Roman" w:eastAsia="宋体" w:cs="Times New Roman"/>
                <w:sz w:val="24"/>
                <w:szCs w:val="22"/>
                <w:highlight w:val="none"/>
                <w:lang w:eastAsia="zh-CN"/>
              </w:rPr>
              <w:t>表</w:t>
            </w:r>
            <w:r>
              <w:rPr>
                <w:rFonts w:hint="eastAsia" w:cs="Times New Roman"/>
                <w:sz w:val="24"/>
                <w:szCs w:val="22"/>
                <w:highlight w:val="none"/>
                <w:lang w:val="en-US" w:eastAsia="zh-CN"/>
              </w:rPr>
              <w:t>2</w:t>
            </w:r>
            <w:r>
              <w:rPr>
                <w:rFonts w:hint="default" w:ascii="Times New Roman" w:hAnsi="Times New Roman" w:eastAsia="宋体" w:cs="Times New Roman"/>
                <w:sz w:val="24"/>
                <w:szCs w:val="22"/>
                <w:highlight w:val="none"/>
                <w:lang w:eastAsia="zh-CN"/>
              </w:rPr>
              <w:t>厂区内</w:t>
            </w:r>
            <w:r>
              <w:rPr>
                <w:rFonts w:hint="eastAsia" w:cs="Times New Roman"/>
                <w:sz w:val="24"/>
                <w:szCs w:val="22"/>
                <w:highlight w:val="none"/>
                <w:lang w:eastAsia="zh-CN"/>
              </w:rPr>
              <w:t>挥发性有机物</w:t>
            </w:r>
            <w:r>
              <w:rPr>
                <w:rFonts w:hint="default" w:ascii="Times New Roman" w:hAnsi="Times New Roman" w:eastAsia="宋体" w:cs="Times New Roman"/>
                <w:sz w:val="24"/>
                <w:szCs w:val="22"/>
                <w:highlight w:val="none"/>
                <w:lang w:eastAsia="zh-CN"/>
              </w:rPr>
              <w:t>无组织排放限值</w:t>
            </w:r>
            <w:r>
              <w:rPr>
                <w:rFonts w:hint="eastAsia" w:ascii="Times New Roman" w:hAnsi="Times New Roman" w:eastAsia="宋体" w:cs="Times New Roman"/>
                <w:color w:val="auto"/>
                <w:sz w:val="24"/>
                <w:szCs w:val="24"/>
                <w:highlight w:val="none"/>
                <w:lang w:eastAsia="zh-CN"/>
              </w:rPr>
              <w:t>。臭气浓度无组织排放执行《恶臭污染物排放标准》（GB14554-93）表1中二级新扩改建标准要求。</w:t>
            </w:r>
          </w:p>
          <w:p w14:paraId="45DA0DEF">
            <w:pPr>
              <w:keepNext w:val="0"/>
              <w:keepLines w:val="0"/>
              <w:widowControl/>
              <w:numPr>
                <w:ilvl w:val="0"/>
                <w:numId w:val="0"/>
              </w:numPr>
              <w:suppressLineNumbers w:val="0"/>
              <w:spacing w:before="0" w:beforeAutospacing="0" w:after="0" w:afterAutospacing="0" w:line="460" w:lineRule="exact"/>
              <w:ind w:left="0" w:leftChars="0" w:right="0" w:firstLine="482" w:firstLineChars="200"/>
              <w:rPr>
                <w:rFonts w:hint="default" w:ascii="Times New Roman" w:hAnsi="Times New Roman" w:eastAsia="宋体" w:cs="Times New Roman"/>
                <w:b/>
                <w:bCs/>
                <w:sz w:val="24"/>
                <w:szCs w:val="22"/>
                <w:lang w:eastAsia="zh-CN"/>
              </w:rPr>
            </w:pPr>
            <w:r>
              <w:rPr>
                <w:rFonts w:hint="eastAsia" w:ascii="Times New Roman" w:hAnsi="Times New Roman" w:eastAsia="宋体" w:cs="Times New Roman"/>
                <w:b/>
                <w:bCs/>
                <w:sz w:val="24"/>
                <w:szCs w:val="22"/>
                <w:lang w:val="en-US" w:eastAsia="zh-CN"/>
              </w:rPr>
              <w:t>2、</w:t>
            </w:r>
            <w:r>
              <w:rPr>
                <w:rFonts w:hint="default" w:ascii="Times New Roman" w:hAnsi="Times New Roman" w:eastAsia="宋体" w:cs="Times New Roman"/>
                <w:b/>
                <w:bCs/>
                <w:sz w:val="24"/>
                <w:szCs w:val="22"/>
                <w:lang w:eastAsia="zh-CN"/>
              </w:rPr>
              <w:t>噪声</w:t>
            </w:r>
          </w:p>
          <w:p w14:paraId="369784D8">
            <w:pPr>
              <w:keepNext w:val="0"/>
              <w:keepLines w:val="0"/>
              <w:widowControl/>
              <w:numPr>
                <w:ilvl w:val="0"/>
                <w:numId w:val="0"/>
              </w:numPr>
              <w:suppressLineNumbers w:val="0"/>
              <w:spacing w:before="0" w:beforeAutospacing="0" w:after="0" w:afterAutospacing="0" w:line="460" w:lineRule="exact"/>
              <w:ind w:left="0" w:leftChars="0" w:right="0" w:firstLine="480" w:firstLineChars="200"/>
              <w:rPr>
                <w:rFonts w:hint="default" w:ascii="Times New Roman" w:hAnsi="Times New Roman" w:eastAsia="宋体" w:cs="Times New Roman"/>
                <w:sz w:val="24"/>
                <w:szCs w:val="22"/>
                <w:lang w:eastAsia="zh-CN"/>
              </w:rPr>
            </w:pPr>
            <w:r>
              <w:rPr>
                <w:rFonts w:hint="default" w:ascii="Times New Roman" w:hAnsi="Times New Roman" w:eastAsia="宋体" w:cs="Times New Roman"/>
                <w:sz w:val="24"/>
                <w:szCs w:val="22"/>
                <w:lang w:eastAsia="zh-CN"/>
              </w:rPr>
              <w:t>营运期厂界噪声执行《工业企业厂界环境噪声排放标准》（GB12348-2008）</w:t>
            </w:r>
            <w:r>
              <w:rPr>
                <w:rFonts w:hint="eastAsia" w:ascii="Times New Roman" w:hAnsi="Times New Roman" w:eastAsia="宋体" w:cs="Times New Roman"/>
                <w:sz w:val="24"/>
                <w:szCs w:val="22"/>
                <w:lang w:eastAsia="zh-CN"/>
              </w:rPr>
              <w:t>表</w:t>
            </w:r>
            <w:r>
              <w:rPr>
                <w:rFonts w:hint="eastAsia" w:ascii="Times New Roman" w:hAnsi="Times New Roman" w:eastAsia="宋体" w:cs="Times New Roman"/>
                <w:sz w:val="24"/>
                <w:szCs w:val="22"/>
                <w:lang w:val="en-US" w:eastAsia="zh-CN"/>
              </w:rPr>
              <w:t>1中的3</w:t>
            </w:r>
            <w:r>
              <w:rPr>
                <w:rFonts w:hint="default" w:ascii="Times New Roman" w:hAnsi="Times New Roman" w:eastAsia="宋体" w:cs="Times New Roman"/>
                <w:sz w:val="24"/>
                <w:szCs w:val="22"/>
                <w:lang w:eastAsia="zh-CN"/>
              </w:rPr>
              <w:t>类标准。</w:t>
            </w:r>
          </w:p>
          <w:p w14:paraId="121F9B88">
            <w:pPr>
              <w:keepNext w:val="0"/>
              <w:keepLines w:val="0"/>
              <w:widowControl/>
              <w:numPr>
                <w:ilvl w:val="0"/>
                <w:numId w:val="0"/>
              </w:numPr>
              <w:suppressLineNumbers w:val="0"/>
              <w:spacing w:before="0" w:beforeAutospacing="0" w:after="0" w:afterAutospacing="0" w:line="460" w:lineRule="exact"/>
              <w:ind w:left="0" w:leftChars="0" w:right="0" w:firstLine="482" w:firstLineChars="200"/>
              <w:rPr>
                <w:rFonts w:hint="default" w:ascii="Times New Roman" w:hAnsi="Times New Roman" w:eastAsia="宋体" w:cs="Times New Roman"/>
                <w:b/>
                <w:bCs/>
                <w:sz w:val="24"/>
                <w:szCs w:val="22"/>
                <w:lang w:eastAsia="zh-CN"/>
              </w:rPr>
            </w:pPr>
            <w:r>
              <w:rPr>
                <w:rFonts w:hint="eastAsia" w:ascii="Times New Roman" w:hAnsi="Times New Roman" w:eastAsia="宋体" w:cs="Times New Roman"/>
                <w:b/>
                <w:bCs/>
                <w:sz w:val="24"/>
                <w:szCs w:val="22"/>
                <w:lang w:val="en-US" w:eastAsia="zh-CN"/>
              </w:rPr>
              <w:t>3</w:t>
            </w:r>
            <w:r>
              <w:rPr>
                <w:rFonts w:hint="default" w:ascii="Times New Roman" w:hAnsi="Times New Roman" w:eastAsia="宋体" w:cs="Times New Roman"/>
                <w:b/>
                <w:bCs/>
                <w:sz w:val="24"/>
                <w:szCs w:val="22"/>
                <w:lang w:val="en-US" w:eastAsia="zh-CN"/>
              </w:rPr>
              <w:t>、</w:t>
            </w:r>
            <w:r>
              <w:rPr>
                <w:rFonts w:hint="default" w:ascii="Times New Roman" w:hAnsi="Times New Roman" w:eastAsia="宋体" w:cs="Times New Roman"/>
                <w:b/>
                <w:bCs/>
                <w:sz w:val="24"/>
                <w:szCs w:val="22"/>
                <w:lang w:eastAsia="zh-CN"/>
              </w:rPr>
              <w:t>固体废物</w:t>
            </w:r>
          </w:p>
          <w:p w14:paraId="2CBB94DC">
            <w:pPr>
              <w:keepNext w:val="0"/>
              <w:keepLines w:val="0"/>
              <w:widowControl/>
              <w:suppressLineNumbers w:val="0"/>
              <w:spacing w:before="0" w:beforeAutospacing="0" w:after="0" w:afterAutospacing="0" w:line="460" w:lineRule="exact"/>
              <w:ind w:left="0" w:right="0" w:firstLine="480" w:firstLineChars="200"/>
              <w:rPr>
                <w:rFonts w:hint="default" w:ascii="Times New Roman" w:hAnsi="Times New Roman" w:eastAsia="宋体" w:cs="Times New Roman"/>
                <w:sz w:val="24"/>
                <w:szCs w:val="22"/>
                <w:lang w:eastAsia="zh-CN"/>
              </w:rPr>
            </w:pPr>
            <w:r>
              <w:rPr>
                <w:rFonts w:hint="default" w:ascii="Times New Roman" w:hAnsi="Times New Roman" w:eastAsia="宋体" w:cs="Times New Roman"/>
                <w:sz w:val="24"/>
                <w:szCs w:val="22"/>
                <w:lang w:eastAsia="zh-CN"/>
              </w:rPr>
              <w:t>一般固体废物执行《一般工业固体废物贮存和填埋污染控制标准》（GB18599-2020）中相关规定；危险废物执行《危险废物贮存污染控制标准》（GB18597-2023）中相关规定。</w:t>
            </w:r>
          </w:p>
          <w:p w14:paraId="135EAF9F">
            <w:pPr>
              <w:keepNext w:val="0"/>
              <w:keepLines w:val="0"/>
              <w:suppressLineNumbers w:val="0"/>
              <w:spacing w:before="0" w:beforeAutospacing="0" w:after="0" w:afterAutospacing="0" w:line="240" w:lineRule="auto"/>
              <w:ind w:left="0" w:right="0" w:firstLine="422" w:firstLineChars="200"/>
              <w:jc w:val="center"/>
              <w:rPr>
                <w:rFonts w:hint="default" w:ascii="Times New Roman" w:hAnsi="Times New Roman" w:eastAsia="宋体" w:cs="Times New Roman"/>
                <w:b/>
                <w:bCs/>
                <w:color w:val="000000"/>
                <w:kern w:val="0"/>
                <w:sz w:val="21"/>
                <w:szCs w:val="21"/>
                <w:lang w:val="en-US" w:eastAsia="zh-CN" w:bidi="ar-SA"/>
              </w:rPr>
            </w:pPr>
            <w:r>
              <w:rPr>
                <w:rFonts w:hint="default" w:ascii="Times New Roman" w:hAnsi="Times New Roman" w:eastAsia="宋体" w:cs="Times New Roman"/>
                <w:b/>
                <w:bCs/>
                <w:color w:val="000000"/>
                <w:kern w:val="0"/>
                <w:sz w:val="21"/>
                <w:szCs w:val="21"/>
                <w:lang w:val="en-US" w:eastAsia="zh-CN" w:bidi="ar-SA"/>
              </w:rPr>
              <w:t>运营期污染物执行标准</w:t>
            </w:r>
          </w:p>
          <w:tbl>
            <w:tblPr>
              <w:tblStyle w:val="38"/>
              <w:tblW w:w="84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85" w:type="dxa"/>
                <w:bottom w:w="0" w:type="dxa"/>
                <w:right w:w="85" w:type="dxa"/>
              </w:tblCellMar>
            </w:tblPr>
            <w:tblGrid>
              <w:gridCol w:w="850"/>
              <w:gridCol w:w="1255"/>
              <w:gridCol w:w="1644"/>
              <w:gridCol w:w="1645"/>
              <w:gridCol w:w="3025"/>
            </w:tblGrid>
            <w:tr w14:paraId="09BEAD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340" w:hRule="atLeast"/>
                <w:jc w:val="center"/>
              </w:trPr>
              <w:tc>
                <w:tcPr>
                  <w:tcW w:w="850" w:type="dxa"/>
                  <w:noWrap w:val="0"/>
                  <w:vAlign w:val="center"/>
                </w:tcPr>
                <w:p w14:paraId="1AF3F778">
                  <w:pPr>
                    <w:pStyle w:val="93"/>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污染源</w:t>
                  </w:r>
                </w:p>
              </w:tc>
              <w:tc>
                <w:tcPr>
                  <w:tcW w:w="1255" w:type="dxa"/>
                  <w:noWrap w:val="0"/>
                  <w:vAlign w:val="center"/>
                </w:tcPr>
                <w:p w14:paraId="319C016B">
                  <w:pPr>
                    <w:pStyle w:val="93"/>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污染物名称</w:t>
                  </w:r>
                </w:p>
              </w:tc>
              <w:tc>
                <w:tcPr>
                  <w:tcW w:w="1644" w:type="dxa"/>
                  <w:noWrap w:val="0"/>
                  <w:vAlign w:val="center"/>
                </w:tcPr>
                <w:p w14:paraId="5BBE62FC">
                  <w:pPr>
                    <w:pStyle w:val="93"/>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技术指标</w:t>
                  </w:r>
                </w:p>
              </w:tc>
              <w:tc>
                <w:tcPr>
                  <w:tcW w:w="1645" w:type="dxa"/>
                  <w:noWrap w:val="0"/>
                  <w:vAlign w:val="center"/>
                </w:tcPr>
                <w:p w14:paraId="223D1CC7">
                  <w:pPr>
                    <w:pStyle w:val="93"/>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执行</w:t>
                  </w:r>
                  <w:r>
                    <w:rPr>
                      <w:rFonts w:hint="eastAsia" w:ascii="Times New Roman" w:hAnsi="Times New Roman" w:eastAsia="宋体" w:cs="Times New Roman"/>
                      <w:color w:val="auto"/>
                      <w:sz w:val="21"/>
                      <w:szCs w:val="21"/>
                      <w:highlight w:val="none"/>
                      <w:lang w:val="en-US" w:eastAsia="zh-CN"/>
                    </w:rPr>
                    <w:t>指标</w:t>
                  </w:r>
                </w:p>
              </w:tc>
              <w:tc>
                <w:tcPr>
                  <w:tcW w:w="3025" w:type="dxa"/>
                  <w:noWrap w:val="0"/>
                  <w:vAlign w:val="center"/>
                </w:tcPr>
                <w:p w14:paraId="353127C8">
                  <w:pPr>
                    <w:pStyle w:val="93"/>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执行标准</w:t>
                  </w:r>
                </w:p>
              </w:tc>
            </w:tr>
            <w:tr w14:paraId="3F899D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340" w:hRule="atLeast"/>
                <w:jc w:val="center"/>
              </w:trPr>
              <w:tc>
                <w:tcPr>
                  <w:tcW w:w="850" w:type="dxa"/>
                  <w:vMerge w:val="restart"/>
                  <w:noWrap w:val="0"/>
                  <w:vAlign w:val="center"/>
                </w:tcPr>
                <w:p w14:paraId="1BFBF464">
                  <w:pPr>
                    <w:pStyle w:val="93"/>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有组织废气</w:t>
                  </w:r>
                </w:p>
              </w:tc>
              <w:tc>
                <w:tcPr>
                  <w:tcW w:w="1255" w:type="dxa"/>
                  <w:vMerge w:val="restart"/>
                  <w:noWrap w:val="0"/>
                  <w:vAlign w:val="center"/>
                </w:tcPr>
                <w:p w14:paraId="317C562D">
                  <w:pPr>
                    <w:pStyle w:val="93"/>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rPr>
                    <w:t>非甲烷总烃</w:t>
                  </w:r>
                </w:p>
              </w:tc>
              <w:tc>
                <w:tcPr>
                  <w:tcW w:w="1644" w:type="dxa"/>
                  <w:noWrap w:val="0"/>
                  <w:vAlign w:val="center"/>
                </w:tcPr>
                <w:p w14:paraId="4B867421">
                  <w:pPr>
                    <w:pStyle w:val="93"/>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cs="Times New Roman"/>
                      <w:color w:val="auto"/>
                      <w:sz w:val="21"/>
                      <w:szCs w:val="21"/>
                      <w:highlight w:val="none"/>
                      <w:lang w:val="en-US" w:eastAsia="zh-CN"/>
                    </w:rPr>
                    <w:t>60</w:t>
                  </w:r>
                  <w:r>
                    <w:rPr>
                      <w:rFonts w:hint="default" w:ascii="Times New Roman" w:hAnsi="Times New Roman" w:eastAsia="宋体" w:cs="Times New Roman"/>
                      <w:color w:val="auto"/>
                      <w:sz w:val="21"/>
                      <w:szCs w:val="21"/>
                      <w:highlight w:val="none"/>
                    </w:rPr>
                    <w:t>mg/m</w:t>
                  </w:r>
                  <w:r>
                    <w:rPr>
                      <w:rFonts w:hint="default" w:ascii="Times New Roman" w:hAnsi="Times New Roman" w:eastAsia="宋体" w:cs="Times New Roman"/>
                      <w:color w:val="auto"/>
                      <w:sz w:val="21"/>
                      <w:szCs w:val="21"/>
                      <w:highlight w:val="none"/>
                      <w:vertAlign w:val="superscript"/>
                    </w:rPr>
                    <w:t>3</w:t>
                  </w:r>
                </w:p>
              </w:tc>
              <w:tc>
                <w:tcPr>
                  <w:tcW w:w="1645" w:type="dxa"/>
                  <w:vMerge w:val="restart"/>
                  <w:noWrap w:val="0"/>
                  <w:vAlign w:val="center"/>
                </w:tcPr>
                <w:p w14:paraId="72160E68">
                  <w:pPr>
                    <w:pStyle w:val="93"/>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color w:val="auto"/>
                      <w:sz w:val="21"/>
                      <w:szCs w:val="21"/>
                      <w:highlight w:val="none"/>
                      <w:vertAlign w:val="superscript"/>
                      <w:lang w:val="en-US" w:eastAsia="zh-CN"/>
                    </w:rPr>
                  </w:pPr>
                  <w:r>
                    <w:rPr>
                      <w:rFonts w:hint="eastAsia" w:ascii="Times New Roman" w:cs="Times New Roman"/>
                      <w:color w:val="auto"/>
                      <w:sz w:val="21"/>
                      <w:szCs w:val="21"/>
                      <w:highlight w:val="none"/>
                      <w:lang w:val="en-US" w:eastAsia="zh-CN"/>
                    </w:rPr>
                    <w:t>30</w:t>
                  </w:r>
                  <w:r>
                    <w:rPr>
                      <w:rFonts w:hint="default" w:ascii="Times New Roman" w:hAnsi="Times New Roman" w:eastAsia="宋体" w:cs="Times New Roman"/>
                      <w:color w:val="auto"/>
                      <w:sz w:val="21"/>
                      <w:szCs w:val="21"/>
                      <w:highlight w:val="none"/>
                    </w:rPr>
                    <w:t>mg/m</w:t>
                  </w:r>
                  <w:r>
                    <w:rPr>
                      <w:rFonts w:hint="default" w:ascii="Times New Roman" w:hAnsi="Times New Roman" w:eastAsia="宋体" w:cs="Times New Roman"/>
                      <w:color w:val="auto"/>
                      <w:sz w:val="21"/>
                      <w:szCs w:val="21"/>
                      <w:highlight w:val="none"/>
                      <w:vertAlign w:val="superscript"/>
                    </w:rPr>
                    <w:t>3</w:t>
                  </w:r>
                </w:p>
              </w:tc>
              <w:tc>
                <w:tcPr>
                  <w:tcW w:w="3025" w:type="dxa"/>
                  <w:noWrap w:val="0"/>
                  <w:vAlign w:val="center"/>
                </w:tcPr>
                <w:p w14:paraId="0F76743D">
                  <w:pPr>
                    <w:pStyle w:val="93"/>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rPr>
                    <w:t>《合成树脂工业污染物排放标准》（GB31572-2015</w:t>
                  </w:r>
                  <w:r>
                    <w:rPr>
                      <w:rFonts w:hint="default" w:ascii="Times New Roman" w:hAnsi="Times New Roman" w:eastAsia="宋体" w:cs="Times New Roman"/>
                      <w:color w:val="auto"/>
                      <w:sz w:val="21"/>
                      <w:szCs w:val="21"/>
                      <w:lang w:val="en-US" w:eastAsia="zh-CN"/>
                    </w:rPr>
                    <w:t>，含2024修改单</w:t>
                  </w:r>
                  <w:r>
                    <w:rPr>
                      <w:rFonts w:hint="default" w:ascii="Times New Roman" w:hAnsi="Times New Roman" w:eastAsia="宋体" w:cs="Times New Roman"/>
                      <w:color w:val="auto"/>
                      <w:sz w:val="21"/>
                      <w:szCs w:val="21"/>
                      <w:highlight w:val="none"/>
                    </w:rPr>
                    <w:t>）表5大气污染物特别排放限值</w:t>
                  </w:r>
                </w:p>
              </w:tc>
            </w:tr>
            <w:tr w14:paraId="5EC0E3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340" w:hRule="atLeast"/>
                <w:jc w:val="center"/>
              </w:trPr>
              <w:tc>
                <w:tcPr>
                  <w:tcW w:w="850" w:type="dxa"/>
                  <w:vMerge w:val="continue"/>
                  <w:noWrap w:val="0"/>
                  <w:vAlign w:val="center"/>
                </w:tcPr>
                <w:p w14:paraId="69D2A67A">
                  <w:pPr>
                    <w:pStyle w:val="93"/>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highlight w:val="none"/>
                      <w:lang w:val="en-US" w:eastAsia="zh-CN"/>
                    </w:rPr>
                  </w:pPr>
                </w:p>
              </w:tc>
              <w:tc>
                <w:tcPr>
                  <w:tcW w:w="1255" w:type="dxa"/>
                  <w:vMerge w:val="continue"/>
                  <w:noWrap w:val="0"/>
                  <w:vAlign w:val="center"/>
                </w:tcPr>
                <w:p w14:paraId="52CBECB5">
                  <w:pPr>
                    <w:pStyle w:val="93"/>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1"/>
                      <w:highlight w:val="none"/>
                    </w:rPr>
                  </w:pPr>
                </w:p>
              </w:tc>
              <w:tc>
                <w:tcPr>
                  <w:tcW w:w="1644" w:type="dxa"/>
                  <w:noWrap w:val="0"/>
                  <w:vAlign w:val="center"/>
                </w:tcPr>
                <w:p w14:paraId="38E7CEFE">
                  <w:pPr>
                    <w:pStyle w:val="93"/>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color w:val="auto"/>
                      <w:sz w:val="21"/>
                      <w:szCs w:val="21"/>
                      <w:highlight w:val="none"/>
                      <w:vertAlign w:val="superscript"/>
                    </w:rPr>
                  </w:pPr>
                  <w:r>
                    <w:rPr>
                      <w:rFonts w:hint="eastAsia" w:ascii="Times New Roman" w:cs="Times New Roman"/>
                      <w:color w:val="auto"/>
                      <w:sz w:val="21"/>
                      <w:szCs w:val="21"/>
                      <w:highlight w:val="none"/>
                      <w:lang w:val="en-US" w:eastAsia="zh-CN"/>
                    </w:rPr>
                    <w:t>30</w:t>
                  </w:r>
                  <w:r>
                    <w:rPr>
                      <w:rFonts w:hint="default" w:ascii="Times New Roman" w:hAnsi="Times New Roman" w:eastAsia="宋体" w:cs="Times New Roman"/>
                      <w:color w:val="auto"/>
                      <w:sz w:val="21"/>
                      <w:szCs w:val="21"/>
                      <w:highlight w:val="none"/>
                    </w:rPr>
                    <w:t>mg/m</w:t>
                  </w:r>
                  <w:r>
                    <w:rPr>
                      <w:rFonts w:hint="default" w:ascii="Times New Roman" w:hAnsi="Times New Roman" w:eastAsia="宋体" w:cs="Times New Roman"/>
                      <w:color w:val="auto"/>
                      <w:sz w:val="21"/>
                      <w:szCs w:val="21"/>
                      <w:highlight w:val="none"/>
                      <w:vertAlign w:val="superscript"/>
                    </w:rPr>
                    <w:t>3</w:t>
                  </w:r>
                </w:p>
                <w:p w14:paraId="46A76A26">
                  <w:pPr>
                    <w:pStyle w:val="93"/>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color w:val="auto"/>
                      <w:sz w:val="21"/>
                      <w:szCs w:val="21"/>
                      <w:highlight w:val="none"/>
                    </w:rPr>
                  </w:pPr>
                  <w:r>
                    <w:rPr>
                      <w:rFonts w:hint="eastAsia" w:ascii="Times New Roman" w:cs="Times New Roman"/>
                      <w:color w:val="auto"/>
                      <w:sz w:val="21"/>
                      <w:szCs w:val="21"/>
                      <w:highlight w:val="none"/>
                      <w:vertAlign w:val="superscript"/>
                      <w:lang w:val="en-US" w:eastAsia="zh-CN"/>
                    </w:rPr>
                    <w:t>a</w:t>
                  </w:r>
                  <w:r>
                    <w:rPr>
                      <w:rFonts w:hint="default" w:ascii="Times New Roman" w:hAnsi="Times New Roman" w:eastAsia="宋体" w:cs="Times New Roman"/>
                      <w:color w:val="auto"/>
                      <w:sz w:val="21"/>
                      <w:szCs w:val="21"/>
                      <w:highlight w:val="none"/>
                    </w:rPr>
                    <w:t>去除效率：</w:t>
                  </w:r>
                  <w:r>
                    <w:rPr>
                      <w:rFonts w:hint="eastAsia" w:ascii="Times New Roman" w:cs="Times New Roman"/>
                      <w:color w:val="auto"/>
                      <w:sz w:val="21"/>
                      <w:szCs w:val="21"/>
                      <w:highlight w:val="none"/>
                      <w:lang w:val="en-US" w:eastAsia="zh-CN"/>
                    </w:rPr>
                    <w:t>8</w:t>
                  </w:r>
                  <w:r>
                    <w:rPr>
                      <w:rFonts w:hint="default" w:ascii="Times New Roman" w:hAnsi="Times New Roman" w:eastAsia="宋体" w:cs="Times New Roman"/>
                      <w:color w:val="auto"/>
                      <w:sz w:val="21"/>
                      <w:szCs w:val="21"/>
                      <w:highlight w:val="none"/>
                    </w:rPr>
                    <w:t>0%</w:t>
                  </w:r>
                </w:p>
              </w:tc>
              <w:tc>
                <w:tcPr>
                  <w:tcW w:w="1645" w:type="dxa"/>
                  <w:vMerge w:val="continue"/>
                  <w:noWrap w:val="0"/>
                  <w:vAlign w:val="center"/>
                </w:tcPr>
                <w:p w14:paraId="7B9AB940">
                  <w:pPr>
                    <w:pStyle w:val="93"/>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textAlignment w:val="auto"/>
                    <w:rPr>
                      <w:rFonts w:hint="eastAsia" w:ascii="Times New Roman" w:cs="Times New Roman"/>
                      <w:color w:val="auto"/>
                      <w:sz w:val="21"/>
                      <w:szCs w:val="21"/>
                      <w:highlight w:val="none"/>
                      <w:vertAlign w:val="superscript"/>
                      <w:lang w:val="en-US" w:eastAsia="zh-CN"/>
                    </w:rPr>
                  </w:pPr>
                </w:p>
              </w:tc>
              <w:tc>
                <w:tcPr>
                  <w:tcW w:w="3025" w:type="dxa"/>
                  <w:noWrap w:val="0"/>
                  <w:vAlign w:val="center"/>
                </w:tcPr>
                <w:p w14:paraId="6C8773CF">
                  <w:pPr>
                    <w:pStyle w:val="93"/>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《工业企业挥发性有机物排放控制标准》（DB13</w:t>
                  </w:r>
                  <w:r>
                    <w:rPr>
                      <w:rFonts w:hint="default" w:ascii="Times New Roman" w:hAnsi="Times New Roman" w:eastAsia="宋体"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rPr>
                    <w:t>2322-20</w:t>
                  </w:r>
                  <w:r>
                    <w:rPr>
                      <w:rFonts w:hint="eastAsia" w:ascii="Times New Roman" w:cs="Times New Roman"/>
                      <w:color w:val="auto"/>
                      <w:sz w:val="21"/>
                      <w:szCs w:val="21"/>
                      <w:highlight w:val="none"/>
                      <w:lang w:val="en-US" w:eastAsia="zh-CN"/>
                    </w:rPr>
                    <w:t>25</w:t>
                  </w:r>
                  <w:r>
                    <w:rPr>
                      <w:rFonts w:hint="default" w:ascii="Times New Roman" w:hAnsi="Times New Roman" w:eastAsia="宋体" w:cs="Times New Roman"/>
                      <w:color w:val="auto"/>
                      <w:sz w:val="21"/>
                      <w:szCs w:val="21"/>
                      <w:highlight w:val="none"/>
                    </w:rPr>
                    <w:t>）表1</w:t>
                  </w:r>
                  <w:r>
                    <w:rPr>
                      <w:rFonts w:hint="eastAsia" w:ascii="Times New Roman" w:cs="Times New Roman"/>
                      <w:color w:val="auto"/>
                      <w:sz w:val="21"/>
                      <w:szCs w:val="21"/>
                      <w:lang w:val="en-US" w:eastAsia="zh-CN"/>
                    </w:rPr>
                    <w:t>塑料制品制造行业</w:t>
                  </w:r>
                  <w:r>
                    <w:rPr>
                      <w:rFonts w:hint="default" w:ascii="Times New Roman" w:hAnsi="Times New Roman" w:eastAsia="宋体" w:cs="Times New Roman"/>
                      <w:color w:val="auto"/>
                      <w:sz w:val="21"/>
                      <w:szCs w:val="21"/>
                    </w:rPr>
                    <w:t>排放限值</w:t>
                  </w:r>
                  <w:r>
                    <w:rPr>
                      <w:rFonts w:hint="eastAsia" w:ascii="Times New Roman" w:hAnsi="Times New Roman" w:eastAsia="宋体" w:cs="Times New Roman"/>
                      <w:color w:val="auto"/>
                      <w:sz w:val="21"/>
                      <w:szCs w:val="21"/>
                      <w:lang w:eastAsia="zh-CN"/>
                    </w:rPr>
                    <w:t>及</w:t>
                  </w:r>
                  <w:r>
                    <w:rPr>
                      <w:rFonts w:hint="default" w:ascii="Times New Roman" w:hAnsi="Times New Roman" w:eastAsia="宋体" w:cs="Times New Roman"/>
                      <w:color w:val="auto"/>
                      <w:sz w:val="21"/>
                      <w:szCs w:val="21"/>
                    </w:rPr>
                    <w:t>去除效率的要求</w:t>
                  </w:r>
                </w:p>
              </w:tc>
            </w:tr>
            <w:tr w14:paraId="369D5F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340" w:hRule="atLeast"/>
                <w:jc w:val="center"/>
              </w:trPr>
              <w:tc>
                <w:tcPr>
                  <w:tcW w:w="850" w:type="dxa"/>
                  <w:vMerge w:val="continue"/>
                  <w:noWrap w:val="0"/>
                  <w:vAlign w:val="center"/>
                </w:tcPr>
                <w:p w14:paraId="14BC1C6C">
                  <w:pPr>
                    <w:pStyle w:val="93"/>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highlight w:val="none"/>
                      <w:lang w:val="en-US" w:eastAsia="zh-CN"/>
                    </w:rPr>
                  </w:pPr>
                </w:p>
              </w:tc>
              <w:tc>
                <w:tcPr>
                  <w:tcW w:w="1255" w:type="dxa"/>
                  <w:vMerge w:val="continue"/>
                  <w:noWrap w:val="0"/>
                  <w:vAlign w:val="center"/>
                </w:tcPr>
                <w:p w14:paraId="654D65DB">
                  <w:pPr>
                    <w:pStyle w:val="93"/>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1"/>
                      <w:highlight w:val="none"/>
                    </w:rPr>
                  </w:pPr>
                </w:p>
              </w:tc>
              <w:tc>
                <w:tcPr>
                  <w:tcW w:w="1644" w:type="dxa"/>
                  <w:noWrap w:val="0"/>
                  <w:vAlign w:val="center"/>
                </w:tcPr>
                <w:p w14:paraId="0D0AEB6C">
                  <w:pPr>
                    <w:pStyle w:val="93"/>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color w:val="auto"/>
                      <w:sz w:val="21"/>
                      <w:szCs w:val="21"/>
                      <w:highlight w:val="none"/>
                      <w:vertAlign w:val="superscript"/>
                    </w:rPr>
                  </w:pPr>
                  <w:r>
                    <w:rPr>
                      <w:rFonts w:hint="eastAsia" w:ascii="Times New Roman" w:cs="Times New Roman"/>
                      <w:color w:val="auto"/>
                      <w:sz w:val="21"/>
                      <w:szCs w:val="21"/>
                      <w:highlight w:val="none"/>
                      <w:lang w:val="en-US" w:eastAsia="zh-CN"/>
                    </w:rPr>
                    <w:t>50</w:t>
                  </w:r>
                  <w:r>
                    <w:rPr>
                      <w:rFonts w:hint="default" w:ascii="Times New Roman" w:hAnsi="Times New Roman" w:eastAsia="宋体" w:cs="Times New Roman"/>
                      <w:color w:val="auto"/>
                      <w:sz w:val="21"/>
                      <w:szCs w:val="21"/>
                      <w:highlight w:val="none"/>
                    </w:rPr>
                    <w:t>mg/m</w:t>
                  </w:r>
                  <w:r>
                    <w:rPr>
                      <w:rFonts w:hint="default" w:ascii="Times New Roman" w:hAnsi="Times New Roman" w:eastAsia="宋体" w:cs="Times New Roman"/>
                      <w:color w:val="auto"/>
                      <w:sz w:val="21"/>
                      <w:szCs w:val="21"/>
                      <w:highlight w:val="none"/>
                      <w:vertAlign w:val="superscript"/>
                    </w:rPr>
                    <w:t>3</w:t>
                  </w:r>
                </w:p>
                <w:p w14:paraId="710FCAC3">
                  <w:pPr>
                    <w:pStyle w:val="93"/>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textAlignment w:val="auto"/>
                    <w:rPr>
                      <w:rFonts w:hint="eastAsia" w:ascii="Times New Roman" w:cs="Times New Roman"/>
                      <w:color w:val="auto"/>
                      <w:sz w:val="21"/>
                      <w:szCs w:val="21"/>
                      <w:highlight w:val="none"/>
                      <w:lang w:val="en-US" w:eastAsia="zh-CN"/>
                    </w:rPr>
                  </w:pPr>
                  <w:r>
                    <w:rPr>
                      <w:rFonts w:hint="eastAsia" w:ascii="Times New Roman" w:cs="Times New Roman"/>
                      <w:color w:val="auto"/>
                      <w:sz w:val="21"/>
                      <w:szCs w:val="21"/>
                      <w:highlight w:val="none"/>
                      <w:vertAlign w:val="superscript"/>
                      <w:lang w:val="en-US" w:eastAsia="zh-CN"/>
                    </w:rPr>
                    <w:t>a</w:t>
                  </w:r>
                  <w:r>
                    <w:rPr>
                      <w:rFonts w:hint="default" w:ascii="Times New Roman" w:hAnsi="Times New Roman" w:eastAsia="宋体" w:cs="Times New Roman"/>
                      <w:color w:val="auto"/>
                      <w:sz w:val="21"/>
                      <w:szCs w:val="21"/>
                      <w:highlight w:val="none"/>
                    </w:rPr>
                    <w:t>去除效率：</w:t>
                  </w:r>
                  <w:r>
                    <w:rPr>
                      <w:rFonts w:hint="eastAsia" w:ascii="Times New Roman" w:cs="Times New Roman"/>
                      <w:color w:val="auto"/>
                      <w:sz w:val="21"/>
                      <w:szCs w:val="21"/>
                      <w:highlight w:val="none"/>
                      <w:lang w:val="en-US" w:eastAsia="zh-CN"/>
                    </w:rPr>
                    <w:t>8</w:t>
                  </w:r>
                  <w:r>
                    <w:rPr>
                      <w:rFonts w:hint="default" w:ascii="Times New Roman" w:hAnsi="Times New Roman" w:eastAsia="宋体" w:cs="Times New Roman"/>
                      <w:color w:val="auto"/>
                      <w:sz w:val="21"/>
                      <w:szCs w:val="21"/>
                      <w:highlight w:val="none"/>
                    </w:rPr>
                    <w:t>0%</w:t>
                  </w:r>
                </w:p>
              </w:tc>
              <w:tc>
                <w:tcPr>
                  <w:tcW w:w="1645" w:type="dxa"/>
                  <w:vMerge w:val="continue"/>
                  <w:noWrap w:val="0"/>
                  <w:vAlign w:val="center"/>
                </w:tcPr>
                <w:p w14:paraId="7D6CBD86">
                  <w:pPr>
                    <w:pStyle w:val="93"/>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textAlignment w:val="auto"/>
                    <w:rPr>
                      <w:rFonts w:hint="eastAsia" w:ascii="Times New Roman" w:cs="Times New Roman"/>
                      <w:color w:val="auto"/>
                      <w:sz w:val="21"/>
                      <w:szCs w:val="21"/>
                      <w:highlight w:val="none"/>
                      <w:vertAlign w:val="superscript"/>
                      <w:lang w:val="en-US" w:eastAsia="zh-CN"/>
                    </w:rPr>
                  </w:pPr>
                </w:p>
              </w:tc>
              <w:tc>
                <w:tcPr>
                  <w:tcW w:w="3025" w:type="dxa"/>
                  <w:noWrap w:val="0"/>
                  <w:vAlign w:val="center"/>
                </w:tcPr>
                <w:p w14:paraId="514E7586">
                  <w:pPr>
                    <w:pStyle w:val="93"/>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eastAsia="zh-CN"/>
                    </w:rPr>
                    <w:t>《印刷工业挥发性有机物排放标准》（</w:t>
                  </w:r>
                  <w:r>
                    <w:rPr>
                      <w:rFonts w:hint="default" w:ascii="Times New Roman" w:hAnsi="Times New Roman" w:eastAsia="宋体" w:cs="Times New Roman"/>
                      <w:color w:val="auto"/>
                      <w:sz w:val="21"/>
                      <w:szCs w:val="21"/>
                      <w:highlight w:val="none"/>
                      <w:lang w:val="en-US" w:eastAsia="zh-CN"/>
                    </w:rPr>
                    <w:t>DB13/6188-2025）表1中排放限值和去除效率要求</w:t>
                  </w:r>
                </w:p>
              </w:tc>
            </w:tr>
            <w:tr w14:paraId="137CAB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699" w:hRule="atLeast"/>
                <w:jc w:val="center"/>
              </w:trPr>
              <w:tc>
                <w:tcPr>
                  <w:tcW w:w="850" w:type="dxa"/>
                  <w:vMerge w:val="continue"/>
                  <w:noWrap w:val="0"/>
                  <w:vAlign w:val="center"/>
                </w:tcPr>
                <w:p w14:paraId="2FC680FE">
                  <w:pPr>
                    <w:pStyle w:val="93"/>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highlight w:val="none"/>
                      <w:lang w:val="en-US" w:eastAsia="zh-CN"/>
                    </w:rPr>
                  </w:pPr>
                </w:p>
              </w:tc>
              <w:tc>
                <w:tcPr>
                  <w:tcW w:w="1255" w:type="dxa"/>
                  <w:noWrap w:val="0"/>
                  <w:vAlign w:val="center"/>
                </w:tcPr>
                <w:p w14:paraId="0B53CACD">
                  <w:pPr>
                    <w:pStyle w:val="93"/>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二苯基甲烷二异氰酸酯（MDI）</w:t>
                  </w:r>
                </w:p>
              </w:tc>
              <w:tc>
                <w:tcPr>
                  <w:tcW w:w="1644" w:type="dxa"/>
                  <w:noWrap w:val="0"/>
                  <w:vAlign w:val="center"/>
                </w:tcPr>
                <w:p w14:paraId="1D3A1B4B">
                  <w:pPr>
                    <w:pStyle w:val="93"/>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color w:val="FF0000"/>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w:t>
                  </w:r>
                  <w:r>
                    <w:rPr>
                      <w:rFonts w:hint="default" w:ascii="Times New Roman" w:hAnsi="Times New Roman" w:eastAsia="宋体" w:cs="Times New Roman"/>
                      <w:color w:val="auto"/>
                      <w:sz w:val="21"/>
                      <w:szCs w:val="21"/>
                      <w:highlight w:val="none"/>
                    </w:rPr>
                    <w:t>mg/m</w:t>
                  </w:r>
                  <w:r>
                    <w:rPr>
                      <w:rFonts w:hint="default" w:ascii="Times New Roman" w:hAnsi="Times New Roman" w:eastAsia="宋体" w:cs="Times New Roman"/>
                      <w:color w:val="auto"/>
                      <w:sz w:val="21"/>
                      <w:szCs w:val="21"/>
                      <w:highlight w:val="none"/>
                      <w:vertAlign w:val="superscript"/>
                    </w:rPr>
                    <w:t>3</w:t>
                  </w:r>
                </w:p>
              </w:tc>
              <w:tc>
                <w:tcPr>
                  <w:tcW w:w="1645" w:type="dxa"/>
                  <w:noWrap w:val="0"/>
                  <w:vAlign w:val="center"/>
                </w:tcPr>
                <w:p w14:paraId="6FA8F0E8">
                  <w:pPr>
                    <w:pStyle w:val="93"/>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color w:val="FF0000"/>
                      <w:kern w:val="2"/>
                      <w:sz w:val="21"/>
                      <w:szCs w:val="21"/>
                      <w:highlight w:val="none"/>
                      <w:lang w:val="en-US" w:eastAsia="zh-CN" w:bidi="ar-SA"/>
                    </w:rPr>
                  </w:pPr>
                  <w:r>
                    <w:rPr>
                      <w:rFonts w:hint="eastAsia" w:ascii="Times New Roman" w:cs="Times New Roman"/>
                      <w:b/>
                      <w:bCs/>
                      <w:color w:val="auto"/>
                      <w:spacing w:val="0"/>
                      <w:position w:val="0"/>
                      <w:sz w:val="21"/>
                      <w:szCs w:val="21"/>
                      <w:highlight w:val="none"/>
                      <w:vertAlign w:val="superscript"/>
                      <w:lang w:val="en-US" w:eastAsia="zh-CN"/>
                    </w:rPr>
                    <w:t>b</w:t>
                  </w:r>
                  <w:r>
                    <w:rPr>
                      <w:rFonts w:hint="eastAsia" w:ascii="Times New Roman" w:hAnsi="Times New Roman" w:eastAsia="宋体" w:cs="Times New Roman"/>
                      <w:color w:val="auto"/>
                      <w:sz w:val="21"/>
                      <w:szCs w:val="21"/>
                      <w:highlight w:val="none"/>
                      <w:lang w:val="en-US" w:eastAsia="zh-CN"/>
                    </w:rPr>
                    <w:t>1</w:t>
                  </w:r>
                  <w:r>
                    <w:rPr>
                      <w:rFonts w:hint="default" w:ascii="Times New Roman" w:hAnsi="Times New Roman" w:eastAsia="宋体" w:cs="Times New Roman"/>
                      <w:color w:val="auto"/>
                      <w:sz w:val="21"/>
                      <w:szCs w:val="21"/>
                      <w:highlight w:val="none"/>
                    </w:rPr>
                    <w:t>mg/m</w:t>
                  </w:r>
                  <w:r>
                    <w:rPr>
                      <w:rFonts w:hint="default" w:ascii="Times New Roman" w:hAnsi="Times New Roman" w:eastAsia="宋体" w:cs="Times New Roman"/>
                      <w:color w:val="auto"/>
                      <w:sz w:val="21"/>
                      <w:szCs w:val="21"/>
                      <w:highlight w:val="none"/>
                      <w:vertAlign w:val="superscript"/>
                    </w:rPr>
                    <w:t>3</w:t>
                  </w:r>
                </w:p>
              </w:tc>
              <w:tc>
                <w:tcPr>
                  <w:tcW w:w="3025" w:type="dxa"/>
                  <w:noWrap w:val="0"/>
                  <w:vAlign w:val="center"/>
                </w:tcPr>
                <w:p w14:paraId="0817F9F7">
                  <w:pPr>
                    <w:pStyle w:val="93"/>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color w:val="FF0000"/>
                      <w:sz w:val="21"/>
                      <w:szCs w:val="21"/>
                      <w:highlight w:val="none"/>
                    </w:rPr>
                  </w:pPr>
                  <w:r>
                    <w:rPr>
                      <w:rFonts w:hint="default" w:ascii="Times New Roman" w:hAnsi="Times New Roman" w:eastAsia="宋体" w:cs="Times New Roman"/>
                      <w:color w:val="auto"/>
                      <w:sz w:val="21"/>
                      <w:szCs w:val="21"/>
                      <w:highlight w:val="none"/>
                    </w:rPr>
                    <w:t>《合成树脂工业污染物排放标准》（GB31572-2015</w:t>
                  </w:r>
                  <w:r>
                    <w:rPr>
                      <w:rFonts w:hint="default" w:ascii="Times New Roman" w:hAnsi="Times New Roman" w:eastAsia="宋体" w:cs="Times New Roman"/>
                      <w:color w:val="auto"/>
                      <w:sz w:val="21"/>
                      <w:szCs w:val="21"/>
                      <w:lang w:val="en-US" w:eastAsia="zh-CN"/>
                    </w:rPr>
                    <w:t>，含2024修改单</w:t>
                  </w:r>
                  <w:r>
                    <w:rPr>
                      <w:rFonts w:hint="default" w:ascii="Times New Roman" w:hAnsi="Times New Roman" w:eastAsia="宋体" w:cs="Times New Roman"/>
                      <w:color w:val="auto"/>
                      <w:sz w:val="21"/>
                      <w:szCs w:val="21"/>
                      <w:highlight w:val="none"/>
                    </w:rPr>
                    <w:t>）表5大气污染物特别排放限值</w:t>
                  </w:r>
                </w:p>
              </w:tc>
            </w:tr>
            <w:tr w14:paraId="506DBD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699" w:hRule="atLeast"/>
                <w:jc w:val="center"/>
              </w:trPr>
              <w:tc>
                <w:tcPr>
                  <w:tcW w:w="850" w:type="dxa"/>
                  <w:vMerge w:val="continue"/>
                  <w:noWrap w:val="0"/>
                  <w:vAlign w:val="center"/>
                </w:tcPr>
                <w:p w14:paraId="62135AFC">
                  <w:pPr>
                    <w:pStyle w:val="93"/>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highlight w:val="none"/>
                      <w:lang w:val="en-US" w:eastAsia="zh-CN"/>
                    </w:rPr>
                  </w:pPr>
                </w:p>
              </w:tc>
              <w:tc>
                <w:tcPr>
                  <w:tcW w:w="1255" w:type="dxa"/>
                  <w:shd w:val="clear" w:color="auto" w:fill="auto"/>
                  <w:noWrap w:val="0"/>
                  <w:vAlign w:val="center"/>
                </w:tcPr>
                <w:p w14:paraId="4CE934E8">
                  <w:pPr>
                    <w:pStyle w:val="93"/>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臭气浓度</w:t>
                  </w:r>
                </w:p>
              </w:tc>
              <w:tc>
                <w:tcPr>
                  <w:tcW w:w="1644" w:type="dxa"/>
                  <w:shd w:val="clear" w:color="auto" w:fill="auto"/>
                  <w:noWrap w:val="0"/>
                  <w:vAlign w:val="center"/>
                </w:tcPr>
                <w:p w14:paraId="501F32EC">
                  <w:pPr>
                    <w:pStyle w:val="93"/>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textAlignment w:val="auto"/>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cs="Times New Roman"/>
                      <w:color w:val="auto"/>
                      <w:sz w:val="21"/>
                      <w:szCs w:val="21"/>
                      <w:highlight w:val="none"/>
                      <w:lang w:val="en-US" w:eastAsia="zh-CN"/>
                    </w:rPr>
                    <w:t>2</w:t>
                  </w:r>
                  <w:r>
                    <w:rPr>
                      <w:rFonts w:hint="default" w:ascii="Times New Roman" w:hAnsi="Times New Roman" w:eastAsia="宋体" w:cs="Times New Roman"/>
                      <w:color w:val="auto"/>
                      <w:sz w:val="21"/>
                      <w:szCs w:val="21"/>
                      <w:highlight w:val="none"/>
                      <w:lang w:val="en-US" w:eastAsia="zh-CN"/>
                    </w:rPr>
                    <w:t>000（无量纲）</w:t>
                  </w:r>
                  <w:r>
                    <w:rPr>
                      <w:rFonts w:hint="eastAsia" w:ascii="Times New Roman" w:cs="Times New Roman"/>
                      <w:color w:val="auto"/>
                      <w:sz w:val="21"/>
                      <w:szCs w:val="21"/>
                      <w:highlight w:val="none"/>
                      <w:lang w:val="en-US" w:eastAsia="zh-CN"/>
                    </w:rPr>
                    <w:t>1</w:t>
                  </w:r>
                  <w:r>
                    <w:rPr>
                      <w:rFonts w:hint="eastAsia" w:ascii="Times New Roman" w:hAnsi="Times New Roman" w:eastAsia="宋体" w:cs="Times New Roman"/>
                      <w:color w:val="auto"/>
                      <w:sz w:val="21"/>
                      <w:szCs w:val="21"/>
                      <w:highlight w:val="none"/>
                      <w:lang w:val="en-US" w:eastAsia="zh-CN"/>
                    </w:rPr>
                    <w:t>5m排气筒</w:t>
                  </w:r>
                </w:p>
              </w:tc>
              <w:tc>
                <w:tcPr>
                  <w:tcW w:w="1645" w:type="dxa"/>
                  <w:shd w:val="clear" w:color="auto" w:fill="auto"/>
                  <w:noWrap w:val="0"/>
                  <w:vAlign w:val="center"/>
                </w:tcPr>
                <w:p w14:paraId="432EBAAC">
                  <w:pPr>
                    <w:pStyle w:val="93"/>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textAlignment w:val="auto"/>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cs="Times New Roman"/>
                      <w:color w:val="auto"/>
                      <w:sz w:val="21"/>
                      <w:szCs w:val="21"/>
                      <w:highlight w:val="none"/>
                      <w:lang w:val="en-US" w:eastAsia="zh-CN"/>
                    </w:rPr>
                    <w:t>2</w:t>
                  </w:r>
                  <w:r>
                    <w:rPr>
                      <w:rFonts w:hint="default" w:ascii="Times New Roman" w:hAnsi="Times New Roman" w:eastAsia="宋体" w:cs="Times New Roman"/>
                      <w:color w:val="auto"/>
                      <w:sz w:val="21"/>
                      <w:szCs w:val="21"/>
                      <w:highlight w:val="none"/>
                      <w:lang w:val="en-US" w:eastAsia="zh-CN"/>
                    </w:rPr>
                    <w:t>000（无量纲）</w:t>
                  </w:r>
                  <w:r>
                    <w:rPr>
                      <w:rFonts w:hint="eastAsia" w:ascii="Times New Roman" w:cs="Times New Roman"/>
                      <w:color w:val="auto"/>
                      <w:sz w:val="21"/>
                      <w:szCs w:val="21"/>
                      <w:highlight w:val="none"/>
                      <w:lang w:val="en-US" w:eastAsia="zh-CN"/>
                    </w:rPr>
                    <w:t>1</w:t>
                  </w:r>
                  <w:r>
                    <w:rPr>
                      <w:rFonts w:hint="eastAsia" w:ascii="Times New Roman" w:hAnsi="Times New Roman" w:eastAsia="宋体" w:cs="Times New Roman"/>
                      <w:color w:val="auto"/>
                      <w:sz w:val="21"/>
                      <w:szCs w:val="21"/>
                      <w:highlight w:val="none"/>
                      <w:lang w:val="en-US" w:eastAsia="zh-CN"/>
                    </w:rPr>
                    <w:t>5m排气筒</w:t>
                  </w:r>
                </w:p>
              </w:tc>
              <w:tc>
                <w:tcPr>
                  <w:tcW w:w="3025" w:type="dxa"/>
                  <w:shd w:val="clear" w:color="auto" w:fill="auto"/>
                  <w:noWrap w:val="0"/>
                  <w:vAlign w:val="center"/>
                </w:tcPr>
                <w:p w14:paraId="74CE871F">
                  <w:pPr>
                    <w:pStyle w:val="93"/>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rPr>
                    <w:t>《恶臭污染物排放标准》（GB 14554-93）表2中标准</w:t>
                  </w:r>
                </w:p>
              </w:tc>
            </w:tr>
            <w:tr w14:paraId="05DED3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1040" w:hRule="atLeast"/>
                <w:jc w:val="center"/>
              </w:trPr>
              <w:tc>
                <w:tcPr>
                  <w:tcW w:w="850" w:type="dxa"/>
                  <w:vMerge w:val="restart"/>
                  <w:noWrap w:val="0"/>
                  <w:vAlign w:val="center"/>
                </w:tcPr>
                <w:p w14:paraId="5B93B519">
                  <w:pPr>
                    <w:pStyle w:val="93"/>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无组织废气</w:t>
                  </w:r>
                </w:p>
              </w:tc>
              <w:tc>
                <w:tcPr>
                  <w:tcW w:w="1255" w:type="dxa"/>
                  <w:vMerge w:val="restart"/>
                  <w:noWrap w:val="0"/>
                  <w:vAlign w:val="center"/>
                </w:tcPr>
                <w:p w14:paraId="397350BA">
                  <w:pPr>
                    <w:pStyle w:val="93"/>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非甲烷总烃</w:t>
                  </w:r>
                </w:p>
              </w:tc>
              <w:tc>
                <w:tcPr>
                  <w:tcW w:w="1644" w:type="dxa"/>
                  <w:noWrap w:val="0"/>
                  <w:vAlign w:val="center"/>
                </w:tcPr>
                <w:p w14:paraId="10D45614">
                  <w:pPr>
                    <w:pStyle w:val="93"/>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rPr>
                    <w:t>厂界排放浓度限值</w:t>
                  </w:r>
                  <w:r>
                    <w:rPr>
                      <w:rFonts w:hint="eastAsia" w:ascii="Times New Roman" w:cs="Times New Roman"/>
                      <w:color w:val="auto"/>
                      <w:sz w:val="21"/>
                      <w:szCs w:val="21"/>
                      <w:highlight w:val="none"/>
                      <w:lang w:val="en-US" w:eastAsia="zh-CN"/>
                    </w:rPr>
                    <w:t>4</w:t>
                  </w:r>
                  <w:r>
                    <w:rPr>
                      <w:rFonts w:hint="default" w:ascii="Times New Roman" w:hAnsi="Times New Roman" w:eastAsia="宋体" w:cs="Times New Roman"/>
                      <w:color w:val="auto"/>
                      <w:sz w:val="21"/>
                      <w:szCs w:val="21"/>
                      <w:highlight w:val="none"/>
                    </w:rPr>
                    <w:t>.0</w:t>
                  </w:r>
                  <w:r>
                    <w:rPr>
                      <w:rFonts w:hint="default" w:ascii="Times New Roman" w:hAnsi="Times New Roman" w:eastAsia="宋体" w:cs="Times New Roman"/>
                      <w:color w:val="auto"/>
                      <w:sz w:val="21"/>
                      <w:szCs w:val="21"/>
                      <w:highlight w:val="none"/>
                      <w:lang w:val="en-US" w:eastAsia="zh-CN"/>
                    </w:rPr>
                    <w:t xml:space="preserve"> </w:t>
                  </w:r>
                  <w:r>
                    <w:rPr>
                      <w:rFonts w:hint="default" w:ascii="Times New Roman" w:hAnsi="Times New Roman" w:eastAsia="宋体" w:cs="Times New Roman"/>
                      <w:color w:val="auto"/>
                      <w:sz w:val="21"/>
                      <w:szCs w:val="21"/>
                      <w:highlight w:val="none"/>
                    </w:rPr>
                    <w:t>mg/m</w:t>
                  </w:r>
                  <w:r>
                    <w:rPr>
                      <w:rFonts w:hint="default" w:ascii="Times New Roman" w:hAnsi="Times New Roman" w:eastAsia="宋体" w:cs="Times New Roman"/>
                      <w:color w:val="auto"/>
                      <w:sz w:val="21"/>
                      <w:szCs w:val="21"/>
                      <w:highlight w:val="none"/>
                      <w:vertAlign w:val="superscript"/>
                    </w:rPr>
                    <w:t>3</w:t>
                  </w:r>
                </w:p>
              </w:tc>
              <w:tc>
                <w:tcPr>
                  <w:tcW w:w="1645" w:type="dxa"/>
                  <w:noWrap w:val="0"/>
                  <w:vAlign w:val="center"/>
                </w:tcPr>
                <w:p w14:paraId="64AA180D">
                  <w:pPr>
                    <w:pStyle w:val="93"/>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cs="Times New Roman"/>
                      <w:color w:val="auto"/>
                      <w:sz w:val="21"/>
                      <w:szCs w:val="21"/>
                      <w:highlight w:val="none"/>
                      <w:lang w:val="en-US" w:eastAsia="zh-CN"/>
                    </w:rPr>
                    <w:t>4</w:t>
                  </w:r>
                  <w:r>
                    <w:rPr>
                      <w:rFonts w:hint="default" w:ascii="Times New Roman" w:hAnsi="Times New Roman" w:eastAsia="宋体" w:cs="Times New Roman"/>
                      <w:color w:val="auto"/>
                      <w:sz w:val="21"/>
                      <w:szCs w:val="21"/>
                      <w:highlight w:val="none"/>
                    </w:rPr>
                    <w:t>.0</w:t>
                  </w:r>
                  <w:r>
                    <w:rPr>
                      <w:rFonts w:hint="default" w:ascii="Times New Roman" w:hAnsi="Times New Roman" w:eastAsia="宋体" w:cs="Times New Roman"/>
                      <w:color w:val="auto"/>
                      <w:sz w:val="21"/>
                      <w:szCs w:val="21"/>
                      <w:highlight w:val="none"/>
                      <w:lang w:val="en-US" w:eastAsia="zh-CN"/>
                    </w:rPr>
                    <w:t xml:space="preserve"> </w:t>
                  </w:r>
                  <w:r>
                    <w:rPr>
                      <w:rFonts w:hint="default" w:ascii="Times New Roman" w:hAnsi="Times New Roman" w:eastAsia="宋体" w:cs="Times New Roman"/>
                      <w:color w:val="auto"/>
                      <w:sz w:val="21"/>
                      <w:szCs w:val="21"/>
                      <w:highlight w:val="none"/>
                    </w:rPr>
                    <w:t>mg/m</w:t>
                  </w:r>
                  <w:r>
                    <w:rPr>
                      <w:rFonts w:hint="default" w:ascii="Times New Roman" w:hAnsi="Times New Roman" w:eastAsia="宋体" w:cs="Times New Roman"/>
                      <w:color w:val="auto"/>
                      <w:sz w:val="21"/>
                      <w:szCs w:val="21"/>
                      <w:highlight w:val="none"/>
                      <w:vertAlign w:val="superscript"/>
                    </w:rPr>
                    <w:t>3</w:t>
                  </w:r>
                </w:p>
              </w:tc>
              <w:tc>
                <w:tcPr>
                  <w:tcW w:w="3025" w:type="dxa"/>
                  <w:noWrap w:val="0"/>
                  <w:vAlign w:val="center"/>
                </w:tcPr>
                <w:p w14:paraId="11AAC7D2">
                  <w:pPr>
                    <w:pStyle w:val="93"/>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《合成树脂工业污染物排放标准》（GB31572-2015，含2024修改单）表9企业边界大气污染物浓度限值</w:t>
                  </w:r>
                </w:p>
              </w:tc>
            </w:tr>
            <w:tr w14:paraId="2999A6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1460" w:hRule="atLeast"/>
                <w:jc w:val="center"/>
              </w:trPr>
              <w:tc>
                <w:tcPr>
                  <w:tcW w:w="850" w:type="dxa"/>
                  <w:vMerge w:val="continue"/>
                  <w:noWrap w:val="0"/>
                  <w:vAlign w:val="center"/>
                </w:tcPr>
                <w:p w14:paraId="72080742">
                  <w:pPr>
                    <w:pStyle w:val="93"/>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highlight w:val="none"/>
                    </w:rPr>
                  </w:pPr>
                </w:p>
              </w:tc>
              <w:tc>
                <w:tcPr>
                  <w:tcW w:w="1255" w:type="dxa"/>
                  <w:vMerge w:val="continue"/>
                  <w:noWrap w:val="0"/>
                  <w:vAlign w:val="center"/>
                </w:tcPr>
                <w:p w14:paraId="26A4A68A">
                  <w:pPr>
                    <w:pStyle w:val="93"/>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highlight w:val="none"/>
                    </w:rPr>
                  </w:pPr>
                </w:p>
              </w:tc>
              <w:tc>
                <w:tcPr>
                  <w:tcW w:w="1644" w:type="dxa"/>
                  <w:noWrap w:val="0"/>
                  <w:vAlign w:val="center"/>
                </w:tcPr>
                <w:p w14:paraId="434442C4">
                  <w:pPr>
                    <w:pStyle w:val="93"/>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cs="Times New Roman"/>
                      <w:color w:val="auto"/>
                      <w:sz w:val="21"/>
                      <w:szCs w:val="21"/>
                      <w:highlight w:val="none"/>
                      <w:lang w:eastAsia="zh-CN"/>
                    </w:rPr>
                    <w:t>厂房外</w:t>
                  </w:r>
                  <w:r>
                    <w:rPr>
                      <w:rFonts w:hint="default" w:ascii="Times New Roman" w:hAnsi="Times New Roman" w:eastAsia="宋体" w:cs="Times New Roman"/>
                      <w:color w:val="auto"/>
                      <w:sz w:val="21"/>
                      <w:szCs w:val="21"/>
                      <w:highlight w:val="none"/>
                    </w:rPr>
                    <w:t>监控点处1h平均浓度值</w:t>
                  </w:r>
                  <w:r>
                    <w:rPr>
                      <w:rFonts w:hint="eastAsia" w:ascii="Times New Roman" w:cs="Times New Roman"/>
                      <w:color w:val="auto"/>
                      <w:sz w:val="21"/>
                      <w:szCs w:val="21"/>
                      <w:highlight w:val="none"/>
                      <w:lang w:val="en-US" w:eastAsia="zh-CN"/>
                    </w:rPr>
                    <w:t>2.0</w:t>
                  </w:r>
                  <w:r>
                    <w:rPr>
                      <w:rFonts w:hint="default" w:ascii="Times New Roman" w:hAnsi="Times New Roman" w:eastAsia="宋体" w:cs="Times New Roman"/>
                      <w:color w:val="auto"/>
                      <w:sz w:val="21"/>
                      <w:szCs w:val="21"/>
                      <w:highlight w:val="none"/>
                    </w:rPr>
                    <w:t>mg/m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rPr>
                    <w:t>；任意一次浓度值</w:t>
                  </w:r>
                  <w:r>
                    <w:rPr>
                      <w:rFonts w:hint="eastAsia" w:ascii="Times New Roman" w:cs="Times New Roman"/>
                      <w:color w:val="auto"/>
                      <w:sz w:val="21"/>
                      <w:szCs w:val="21"/>
                      <w:highlight w:val="none"/>
                      <w:lang w:val="en-US" w:eastAsia="zh-CN"/>
                    </w:rPr>
                    <w:t>10.0</w:t>
                  </w:r>
                  <w:r>
                    <w:rPr>
                      <w:rFonts w:hint="default" w:ascii="Times New Roman" w:hAnsi="Times New Roman" w:eastAsia="宋体" w:cs="Times New Roman"/>
                      <w:color w:val="auto"/>
                      <w:sz w:val="21"/>
                      <w:szCs w:val="21"/>
                      <w:highlight w:val="none"/>
                    </w:rPr>
                    <w:t>mg/m</w:t>
                  </w:r>
                  <w:r>
                    <w:rPr>
                      <w:rFonts w:hint="default" w:ascii="Times New Roman" w:hAnsi="Times New Roman" w:eastAsia="宋体" w:cs="Times New Roman"/>
                      <w:color w:val="auto"/>
                      <w:sz w:val="21"/>
                      <w:szCs w:val="21"/>
                      <w:highlight w:val="none"/>
                      <w:vertAlign w:val="superscript"/>
                    </w:rPr>
                    <w:t>3</w:t>
                  </w:r>
                </w:p>
              </w:tc>
              <w:tc>
                <w:tcPr>
                  <w:tcW w:w="1645" w:type="dxa"/>
                  <w:vMerge w:val="restart"/>
                  <w:noWrap w:val="0"/>
                  <w:vAlign w:val="center"/>
                </w:tcPr>
                <w:p w14:paraId="6C077526">
                  <w:pPr>
                    <w:pStyle w:val="93"/>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cs="Times New Roman"/>
                      <w:color w:val="auto"/>
                      <w:sz w:val="21"/>
                      <w:szCs w:val="21"/>
                      <w:highlight w:val="none"/>
                      <w:lang w:eastAsia="zh-CN"/>
                    </w:rPr>
                    <w:t>厂房外</w:t>
                  </w:r>
                  <w:r>
                    <w:rPr>
                      <w:rFonts w:hint="default" w:ascii="Times New Roman" w:hAnsi="Times New Roman" w:eastAsia="宋体" w:cs="Times New Roman"/>
                      <w:color w:val="auto"/>
                      <w:sz w:val="21"/>
                      <w:szCs w:val="21"/>
                      <w:highlight w:val="none"/>
                    </w:rPr>
                    <w:t>监控点处1h平均浓度值</w:t>
                  </w:r>
                  <w:r>
                    <w:rPr>
                      <w:rFonts w:hint="eastAsia" w:ascii="Times New Roman" w:cs="Times New Roman"/>
                      <w:color w:val="auto"/>
                      <w:sz w:val="21"/>
                      <w:szCs w:val="21"/>
                      <w:highlight w:val="none"/>
                      <w:lang w:val="en-US" w:eastAsia="zh-CN"/>
                    </w:rPr>
                    <w:t>2.0</w:t>
                  </w:r>
                  <w:r>
                    <w:rPr>
                      <w:rFonts w:hint="default" w:ascii="Times New Roman" w:hAnsi="Times New Roman" w:eastAsia="宋体" w:cs="Times New Roman"/>
                      <w:color w:val="auto"/>
                      <w:sz w:val="21"/>
                      <w:szCs w:val="21"/>
                      <w:highlight w:val="none"/>
                    </w:rPr>
                    <w:t>mg/m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rPr>
                    <w:t>；任意一次浓度值</w:t>
                  </w:r>
                  <w:r>
                    <w:rPr>
                      <w:rFonts w:hint="eastAsia" w:ascii="Times New Roman" w:cs="Times New Roman"/>
                      <w:color w:val="auto"/>
                      <w:sz w:val="21"/>
                      <w:szCs w:val="21"/>
                      <w:highlight w:val="none"/>
                      <w:lang w:val="en-US" w:eastAsia="zh-CN"/>
                    </w:rPr>
                    <w:t>10.0</w:t>
                  </w:r>
                  <w:r>
                    <w:rPr>
                      <w:rFonts w:hint="default" w:ascii="Times New Roman" w:hAnsi="Times New Roman" w:eastAsia="宋体" w:cs="Times New Roman"/>
                      <w:color w:val="auto"/>
                      <w:sz w:val="21"/>
                      <w:szCs w:val="21"/>
                      <w:highlight w:val="none"/>
                    </w:rPr>
                    <w:t>mg/m</w:t>
                  </w:r>
                  <w:r>
                    <w:rPr>
                      <w:rFonts w:hint="default" w:ascii="Times New Roman" w:hAnsi="Times New Roman" w:eastAsia="宋体" w:cs="Times New Roman"/>
                      <w:color w:val="auto"/>
                      <w:sz w:val="21"/>
                      <w:szCs w:val="21"/>
                      <w:highlight w:val="none"/>
                      <w:vertAlign w:val="superscript"/>
                    </w:rPr>
                    <w:t>3</w:t>
                  </w:r>
                </w:p>
              </w:tc>
              <w:tc>
                <w:tcPr>
                  <w:tcW w:w="3025" w:type="dxa"/>
                  <w:noWrap w:val="0"/>
                  <w:vAlign w:val="center"/>
                </w:tcPr>
                <w:p w14:paraId="52691920">
                  <w:pPr>
                    <w:pStyle w:val="93"/>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《工业企业挥发性有机物排放控制标准》（DB13/2322-2025）表2厂区内挥发性有机物无组织排放限值</w:t>
                  </w:r>
                </w:p>
              </w:tc>
            </w:tr>
            <w:tr w14:paraId="1DDF46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1460" w:hRule="atLeast"/>
                <w:jc w:val="center"/>
              </w:trPr>
              <w:tc>
                <w:tcPr>
                  <w:tcW w:w="850" w:type="dxa"/>
                  <w:vMerge w:val="continue"/>
                  <w:noWrap w:val="0"/>
                  <w:vAlign w:val="center"/>
                </w:tcPr>
                <w:p w14:paraId="11D49C7F">
                  <w:pPr>
                    <w:pStyle w:val="93"/>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highlight w:val="none"/>
                    </w:rPr>
                  </w:pPr>
                </w:p>
              </w:tc>
              <w:tc>
                <w:tcPr>
                  <w:tcW w:w="1255" w:type="dxa"/>
                  <w:vMerge w:val="continue"/>
                  <w:noWrap w:val="0"/>
                  <w:vAlign w:val="center"/>
                </w:tcPr>
                <w:p w14:paraId="281A74E5">
                  <w:pPr>
                    <w:pStyle w:val="93"/>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highlight w:val="none"/>
                    </w:rPr>
                  </w:pPr>
                </w:p>
              </w:tc>
              <w:tc>
                <w:tcPr>
                  <w:tcW w:w="1644" w:type="dxa"/>
                  <w:noWrap w:val="0"/>
                  <w:vAlign w:val="center"/>
                </w:tcPr>
                <w:p w14:paraId="14547664">
                  <w:pPr>
                    <w:pStyle w:val="93"/>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textAlignment w:val="auto"/>
                    <w:rPr>
                      <w:rFonts w:hint="eastAsia" w:ascii="Times New Roman" w:cs="Times New Roman"/>
                      <w:color w:val="auto"/>
                      <w:sz w:val="21"/>
                      <w:szCs w:val="21"/>
                      <w:highlight w:val="none"/>
                      <w:lang w:eastAsia="zh-CN"/>
                    </w:rPr>
                  </w:pPr>
                  <w:r>
                    <w:rPr>
                      <w:rFonts w:hint="eastAsia" w:ascii="Times New Roman" w:cs="Times New Roman"/>
                      <w:color w:val="auto"/>
                      <w:sz w:val="21"/>
                      <w:szCs w:val="21"/>
                      <w:highlight w:val="none"/>
                      <w:lang w:eastAsia="zh-CN"/>
                    </w:rPr>
                    <w:t>无组织排放监控点</w:t>
                  </w:r>
                  <w:r>
                    <w:rPr>
                      <w:rFonts w:hint="default" w:ascii="Times New Roman" w:hAnsi="Times New Roman" w:eastAsia="宋体" w:cs="Times New Roman"/>
                      <w:color w:val="auto"/>
                      <w:sz w:val="21"/>
                      <w:szCs w:val="21"/>
                      <w:highlight w:val="none"/>
                    </w:rPr>
                    <w:t>处1h平均浓度值</w:t>
                  </w:r>
                  <w:r>
                    <w:rPr>
                      <w:rFonts w:hint="eastAsia" w:ascii="Times New Roman" w:cs="Times New Roman"/>
                      <w:color w:val="auto"/>
                      <w:sz w:val="21"/>
                      <w:szCs w:val="21"/>
                      <w:highlight w:val="none"/>
                      <w:lang w:val="en-US" w:eastAsia="zh-CN"/>
                    </w:rPr>
                    <w:t>2.0</w:t>
                  </w:r>
                  <w:r>
                    <w:rPr>
                      <w:rFonts w:hint="default" w:ascii="Times New Roman" w:hAnsi="Times New Roman" w:eastAsia="宋体" w:cs="Times New Roman"/>
                      <w:color w:val="auto"/>
                      <w:sz w:val="21"/>
                      <w:szCs w:val="21"/>
                      <w:highlight w:val="none"/>
                    </w:rPr>
                    <w:t>mg/m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rPr>
                    <w:t>；任意一次浓度值</w:t>
                  </w:r>
                  <w:r>
                    <w:rPr>
                      <w:rFonts w:hint="eastAsia" w:ascii="Times New Roman" w:cs="Times New Roman"/>
                      <w:color w:val="auto"/>
                      <w:sz w:val="21"/>
                      <w:szCs w:val="21"/>
                      <w:highlight w:val="none"/>
                      <w:lang w:val="en-US" w:eastAsia="zh-CN"/>
                    </w:rPr>
                    <w:t>10.0</w:t>
                  </w:r>
                  <w:r>
                    <w:rPr>
                      <w:rFonts w:hint="default" w:ascii="Times New Roman" w:hAnsi="Times New Roman" w:eastAsia="宋体" w:cs="Times New Roman"/>
                      <w:color w:val="auto"/>
                      <w:sz w:val="21"/>
                      <w:szCs w:val="21"/>
                      <w:highlight w:val="none"/>
                    </w:rPr>
                    <w:t>mg/m</w:t>
                  </w:r>
                  <w:r>
                    <w:rPr>
                      <w:rFonts w:hint="default" w:ascii="Times New Roman" w:hAnsi="Times New Roman" w:eastAsia="宋体" w:cs="Times New Roman"/>
                      <w:color w:val="auto"/>
                      <w:sz w:val="21"/>
                      <w:szCs w:val="21"/>
                      <w:highlight w:val="none"/>
                      <w:vertAlign w:val="superscript"/>
                    </w:rPr>
                    <w:t>3</w:t>
                  </w:r>
                </w:p>
              </w:tc>
              <w:tc>
                <w:tcPr>
                  <w:tcW w:w="1645" w:type="dxa"/>
                  <w:vMerge w:val="continue"/>
                  <w:noWrap w:val="0"/>
                  <w:vAlign w:val="center"/>
                </w:tcPr>
                <w:p w14:paraId="6E64CF66">
                  <w:pPr>
                    <w:pStyle w:val="93"/>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textAlignment w:val="auto"/>
                    <w:rPr>
                      <w:rFonts w:hint="eastAsia" w:ascii="Times New Roman" w:cs="Times New Roman"/>
                      <w:color w:val="auto"/>
                      <w:sz w:val="21"/>
                      <w:szCs w:val="21"/>
                      <w:highlight w:val="none"/>
                      <w:lang w:eastAsia="zh-CN"/>
                    </w:rPr>
                  </w:pPr>
                </w:p>
              </w:tc>
              <w:tc>
                <w:tcPr>
                  <w:tcW w:w="3025" w:type="dxa"/>
                  <w:noWrap w:val="0"/>
                  <w:vAlign w:val="center"/>
                </w:tcPr>
                <w:p w14:paraId="7BCB4619">
                  <w:pPr>
                    <w:pStyle w:val="93"/>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《印刷工业挥发性有机物排放标准》（DB13/6188-2025）表2厂区内挥发性有机物无组织排放限值</w:t>
                  </w:r>
                </w:p>
              </w:tc>
            </w:tr>
            <w:tr w14:paraId="0C25D3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50" w:type="dxa"/>
                  <w:vMerge w:val="continue"/>
                  <w:noWrap w:val="0"/>
                  <w:vAlign w:val="center"/>
                </w:tcPr>
                <w:p w14:paraId="7F6DFE82">
                  <w:pPr>
                    <w:keepNext w:val="0"/>
                    <w:keepLines w:val="0"/>
                    <w:widowControl w:val="0"/>
                    <w:suppressLineNumbers w:val="0"/>
                    <w:spacing w:before="0" w:beforeAutospacing="0" w:after="0" w:afterAutospacing="0" w:line="340" w:lineRule="atLeast"/>
                    <w:ind w:left="0" w:right="0"/>
                    <w:jc w:val="center"/>
                    <w:rPr>
                      <w:rFonts w:hint="default" w:ascii="Times New Roman" w:hAnsi="Times New Roman" w:eastAsia="宋体" w:cs="Times New Roman"/>
                      <w:color w:val="auto"/>
                      <w:sz w:val="21"/>
                      <w:szCs w:val="21"/>
                    </w:rPr>
                  </w:pPr>
                </w:p>
              </w:tc>
              <w:tc>
                <w:tcPr>
                  <w:tcW w:w="1255" w:type="dxa"/>
                  <w:shd w:val="clear" w:color="auto" w:fill="auto"/>
                  <w:noWrap w:val="0"/>
                  <w:vAlign w:val="center"/>
                </w:tcPr>
                <w:p w14:paraId="4CE83925">
                  <w:pPr>
                    <w:pStyle w:val="93"/>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臭气浓度</w:t>
                  </w:r>
                </w:p>
              </w:tc>
              <w:tc>
                <w:tcPr>
                  <w:tcW w:w="1644" w:type="dxa"/>
                  <w:shd w:val="clear" w:color="auto" w:fill="auto"/>
                  <w:noWrap w:val="0"/>
                  <w:vAlign w:val="center"/>
                </w:tcPr>
                <w:p w14:paraId="7630FD02">
                  <w:pPr>
                    <w:pStyle w:val="93"/>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20（无量纲）</w:t>
                  </w:r>
                </w:p>
              </w:tc>
              <w:tc>
                <w:tcPr>
                  <w:tcW w:w="1645" w:type="dxa"/>
                  <w:shd w:val="clear" w:color="auto" w:fill="auto"/>
                  <w:noWrap w:val="0"/>
                  <w:vAlign w:val="center"/>
                </w:tcPr>
                <w:p w14:paraId="4F90FB4F">
                  <w:pPr>
                    <w:pStyle w:val="93"/>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20（无量纲）</w:t>
                  </w:r>
                </w:p>
              </w:tc>
              <w:tc>
                <w:tcPr>
                  <w:tcW w:w="3025" w:type="dxa"/>
                  <w:shd w:val="clear" w:color="auto" w:fill="auto"/>
                  <w:noWrap w:val="0"/>
                  <w:vAlign w:val="center"/>
                </w:tcPr>
                <w:p w14:paraId="3D46A9A8">
                  <w:pPr>
                    <w:pStyle w:val="93"/>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rPr>
                    <w:t>《恶臭污染物排放标准》（GB 14554-93）表1中</w:t>
                  </w:r>
                  <w:r>
                    <w:rPr>
                      <w:rFonts w:hint="default" w:ascii="Times New Roman" w:hAnsi="Times New Roman" w:eastAsia="宋体" w:cs="Times New Roman"/>
                      <w:color w:val="auto"/>
                      <w:sz w:val="21"/>
                      <w:szCs w:val="21"/>
                      <w:highlight w:val="none"/>
                      <w:lang w:val="en-US" w:eastAsia="zh-CN"/>
                    </w:rPr>
                    <w:t>二级新改扩建</w:t>
                  </w:r>
                  <w:r>
                    <w:rPr>
                      <w:rFonts w:hint="default" w:ascii="Times New Roman" w:hAnsi="Times New Roman" w:eastAsia="宋体" w:cs="Times New Roman"/>
                      <w:color w:val="auto"/>
                      <w:sz w:val="21"/>
                      <w:szCs w:val="21"/>
                      <w:highlight w:val="none"/>
                    </w:rPr>
                    <w:t>标准</w:t>
                  </w:r>
                </w:p>
              </w:tc>
            </w:tr>
            <w:tr w14:paraId="04CF06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50" w:type="dxa"/>
                  <w:noWrap w:val="0"/>
                  <w:vAlign w:val="center"/>
                </w:tcPr>
                <w:p w14:paraId="76713E18">
                  <w:pPr>
                    <w:keepNext w:val="0"/>
                    <w:keepLines w:val="0"/>
                    <w:widowControl w:val="0"/>
                    <w:suppressLineNumbers w:val="0"/>
                    <w:spacing w:before="0" w:beforeAutospacing="0" w:after="0" w:afterAutospacing="0" w:line="340" w:lineRule="atLeast"/>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噪声</w:t>
                  </w:r>
                </w:p>
              </w:tc>
              <w:tc>
                <w:tcPr>
                  <w:tcW w:w="1255" w:type="dxa"/>
                  <w:noWrap w:val="0"/>
                  <w:vAlign w:val="center"/>
                </w:tcPr>
                <w:p w14:paraId="3500B314">
                  <w:pPr>
                    <w:keepNext w:val="0"/>
                    <w:keepLines w:val="0"/>
                    <w:widowControl w:val="0"/>
                    <w:suppressLineNumbers w:val="0"/>
                    <w:spacing w:before="0" w:beforeAutospacing="0" w:after="0" w:afterAutospacing="0" w:line="340" w:lineRule="atLeast"/>
                    <w:ind w:left="0" w:right="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eastAsia="zh-CN"/>
                    </w:rPr>
                    <w:t>厂界</w:t>
                  </w:r>
                </w:p>
              </w:tc>
              <w:tc>
                <w:tcPr>
                  <w:tcW w:w="1644" w:type="dxa"/>
                  <w:noWrap w:val="0"/>
                  <w:vAlign w:val="center"/>
                </w:tcPr>
                <w:p w14:paraId="176FE34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昼间：</w:t>
                  </w:r>
                  <w:r>
                    <w:rPr>
                      <w:rFonts w:hint="eastAsia" w:ascii="Times New Roman" w:hAnsi="Times New Roman" w:eastAsia="宋体" w:cs="Times New Roman"/>
                      <w:color w:val="auto"/>
                      <w:sz w:val="21"/>
                      <w:szCs w:val="21"/>
                      <w:lang w:val="en-US" w:eastAsia="zh-CN"/>
                    </w:rPr>
                    <w:t>65</w:t>
                  </w:r>
                  <w:r>
                    <w:rPr>
                      <w:rFonts w:hint="default" w:ascii="Times New Roman" w:hAnsi="Times New Roman" w:eastAsia="宋体" w:cs="Times New Roman"/>
                      <w:color w:val="auto"/>
                      <w:sz w:val="21"/>
                      <w:szCs w:val="21"/>
                      <w:lang w:eastAsia="zh-CN"/>
                    </w:rPr>
                    <w:t>dB（A）</w:t>
                  </w:r>
                </w:p>
                <w:p w14:paraId="174F53F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eastAsia="zh-CN"/>
                    </w:rPr>
                    <w:t>夜间：</w:t>
                  </w:r>
                  <w:r>
                    <w:rPr>
                      <w:rFonts w:hint="eastAsia" w:ascii="Times New Roman" w:hAnsi="Times New Roman" w:eastAsia="宋体" w:cs="Times New Roman"/>
                      <w:color w:val="auto"/>
                      <w:sz w:val="21"/>
                      <w:szCs w:val="21"/>
                      <w:lang w:val="en-US" w:eastAsia="zh-CN"/>
                    </w:rPr>
                    <w:t>55</w:t>
                  </w:r>
                  <w:r>
                    <w:rPr>
                      <w:rFonts w:hint="default" w:ascii="Times New Roman" w:hAnsi="Times New Roman" w:eastAsia="宋体" w:cs="Times New Roman"/>
                      <w:color w:val="auto"/>
                      <w:sz w:val="21"/>
                      <w:szCs w:val="21"/>
                      <w:lang w:eastAsia="zh-CN"/>
                    </w:rPr>
                    <w:t>dB（A）</w:t>
                  </w:r>
                </w:p>
              </w:tc>
              <w:tc>
                <w:tcPr>
                  <w:tcW w:w="1645" w:type="dxa"/>
                  <w:noWrap w:val="0"/>
                  <w:vAlign w:val="center"/>
                </w:tcPr>
                <w:p w14:paraId="7964A6C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昼间：</w:t>
                  </w:r>
                  <w:r>
                    <w:rPr>
                      <w:rFonts w:hint="eastAsia" w:ascii="Times New Roman" w:hAnsi="Times New Roman" w:eastAsia="宋体" w:cs="Times New Roman"/>
                      <w:color w:val="auto"/>
                      <w:sz w:val="21"/>
                      <w:szCs w:val="21"/>
                      <w:lang w:val="en-US" w:eastAsia="zh-CN"/>
                    </w:rPr>
                    <w:t>65</w:t>
                  </w:r>
                  <w:r>
                    <w:rPr>
                      <w:rFonts w:hint="default" w:ascii="Times New Roman" w:hAnsi="Times New Roman" w:eastAsia="宋体" w:cs="Times New Roman"/>
                      <w:color w:val="auto"/>
                      <w:sz w:val="21"/>
                      <w:szCs w:val="21"/>
                      <w:lang w:eastAsia="zh-CN"/>
                    </w:rPr>
                    <w:t>dB（A）</w:t>
                  </w:r>
                </w:p>
                <w:p w14:paraId="3575AA8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夜间：</w:t>
                  </w:r>
                  <w:r>
                    <w:rPr>
                      <w:rFonts w:hint="eastAsia" w:ascii="Times New Roman" w:hAnsi="Times New Roman" w:eastAsia="宋体" w:cs="Times New Roman"/>
                      <w:color w:val="auto"/>
                      <w:sz w:val="21"/>
                      <w:szCs w:val="21"/>
                      <w:lang w:val="en-US" w:eastAsia="zh-CN"/>
                    </w:rPr>
                    <w:t>55</w:t>
                  </w:r>
                  <w:r>
                    <w:rPr>
                      <w:rFonts w:hint="default" w:ascii="Times New Roman" w:hAnsi="Times New Roman" w:eastAsia="宋体" w:cs="Times New Roman"/>
                      <w:color w:val="auto"/>
                      <w:sz w:val="21"/>
                      <w:szCs w:val="21"/>
                      <w:lang w:eastAsia="zh-CN"/>
                    </w:rPr>
                    <w:t>dB（A）</w:t>
                  </w:r>
                </w:p>
              </w:tc>
              <w:tc>
                <w:tcPr>
                  <w:tcW w:w="3025" w:type="dxa"/>
                  <w:noWrap w:val="0"/>
                  <w:vAlign w:val="center"/>
                </w:tcPr>
                <w:p w14:paraId="0268730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eastAsia="zh-CN"/>
                    </w:rPr>
                    <w:t>《工业企业厂界环境噪声排放标准》(GB12348-2008)</w:t>
                  </w:r>
                  <w:r>
                    <w:rPr>
                      <w:rFonts w:hint="eastAsia" w:ascii="Times New Roman" w:hAnsi="Times New Roman" w:eastAsia="宋体" w:cs="Times New Roman"/>
                      <w:color w:val="auto"/>
                      <w:sz w:val="21"/>
                      <w:szCs w:val="21"/>
                      <w:lang w:val="en-US" w:eastAsia="zh-CN"/>
                    </w:rPr>
                    <w:t>3</w:t>
                  </w:r>
                  <w:r>
                    <w:rPr>
                      <w:rFonts w:hint="default" w:ascii="Times New Roman" w:hAnsi="Times New Roman" w:eastAsia="宋体" w:cs="Times New Roman"/>
                      <w:color w:val="auto"/>
                      <w:sz w:val="21"/>
                      <w:szCs w:val="21"/>
                      <w:lang w:eastAsia="zh-CN"/>
                    </w:rPr>
                    <w:t>类标准限值</w:t>
                  </w:r>
                </w:p>
              </w:tc>
            </w:tr>
            <w:tr w14:paraId="06CB5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50" w:type="dxa"/>
                  <w:noWrap w:val="0"/>
                  <w:vAlign w:val="center"/>
                </w:tcPr>
                <w:p w14:paraId="72E0844B">
                  <w:pPr>
                    <w:keepNext w:val="0"/>
                    <w:keepLines w:val="0"/>
                    <w:pageBreakBefore w:val="0"/>
                    <w:widowControl w:val="0"/>
                    <w:suppressLineNumbers w:val="0"/>
                    <w:kinsoku/>
                    <w:wordWrap/>
                    <w:overflowPunct/>
                    <w:topLinePunct/>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snapToGrid w:val="0"/>
                      <w:color w:val="auto"/>
                      <w:sz w:val="21"/>
                      <w:szCs w:val="21"/>
                      <w:lang w:eastAsia="zh-CN"/>
                    </w:rPr>
                    <w:t>一般固体废物</w:t>
                  </w:r>
                </w:p>
              </w:tc>
              <w:tc>
                <w:tcPr>
                  <w:tcW w:w="7569" w:type="dxa"/>
                  <w:gridSpan w:val="4"/>
                  <w:noWrap w:val="0"/>
                  <w:vAlign w:val="center"/>
                </w:tcPr>
                <w:p w14:paraId="58440E2A">
                  <w:pPr>
                    <w:keepNext w:val="0"/>
                    <w:keepLines w:val="0"/>
                    <w:pageBreakBefore w:val="0"/>
                    <w:widowControl w:val="0"/>
                    <w:suppressLineNumbers w:val="0"/>
                    <w:kinsoku/>
                    <w:wordWrap/>
                    <w:overflowPunct/>
                    <w:topLinePunct/>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bCs/>
                      <w:snapToGrid w:val="0"/>
                      <w:color w:val="auto"/>
                      <w:sz w:val="21"/>
                      <w:szCs w:val="21"/>
                      <w:lang w:eastAsia="zh-CN"/>
                    </w:rPr>
                    <w:t>《一般工业固体废物贮存和填埋污染控制标准》（GB 18599-2020）</w:t>
                  </w:r>
                  <w:r>
                    <w:rPr>
                      <w:rFonts w:hint="default" w:ascii="Times New Roman" w:hAnsi="Times New Roman" w:eastAsia="宋体" w:cs="Times New Roman"/>
                      <w:color w:val="auto"/>
                      <w:sz w:val="21"/>
                      <w:szCs w:val="21"/>
                      <w:lang w:eastAsia="zh-CN"/>
                    </w:rPr>
                    <w:t>中</w:t>
                  </w:r>
                  <w:r>
                    <w:rPr>
                      <w:rFonts w:hint="default" w:ascii="Times New Roman" w:hAnsi="Times New Roman" w:eastAsia="宋体" w:cs="Times New Roman"/>
                      <w:bCs/>
                      <w:snapToGrid w:val="0"/>
                      <w:color w:val="auto"/>
                      <w:sz w:val="21"/>
                      <w:szCs w:val="21"/>
                      <w:lang w:eastAsia="zh-CN"/>
                    </w:rPr>
                    <w:t>相关规定</w:t>
                  </w:r>
                </w:p>
              </w:tc>
            </w:tr>
            <w:tr w14:paraId="09C1E6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50" w:type="dxa"/>
                  <w:noWrap w:val="0"/>
                  <w:vAlign w:val="center"/>
                </w:tcPr>
                <w:p w14:paraId="0E20CD37">
                  <w:pPr>
                    <w:keepNext w:val="0"/>
                    <w:keepLines w:val="0"/>
                    <w:pageBreakBefore w:val="0"/>
                    <w:widowControl w:val="0"/>
                    <w:suppressLineNumbers w:val="0"/>
                    <w:kinsoku/>
                    <w:wordWrap/>
                    <w:overflowPunct/>
                    <w:topLinePunct/>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snapToGrid w:val="0"/>
                      <w:color w:val="auto"/>
                      <w:sz w:val="21"/>
                      <w:szCs w:val="21"/>
                      <w:lang w:eastAsia="zh-CN"/>
                    </w:rPr>
                    <w:t>危险废物</w:t>
                  </w:r>
                </w:p>
              </w:tc>
              <w:tc>
                <w:tcPr>
                  <w:tcW w:w="7569" w:type="dxa"/>
                  <w:gridSpan w:val="4"/>
                  <w:noWrap w:val="0"/>
                  <w:vAlign w:val="center"/>
                </w:tcPr>
                <w:p w14:paraId="1E1CBAD4">
                  <w:pPr>
                    <w:keepNext w:val="0"/>
                    <w:keepLines w:val="0"/>
                    <w:pageBreakBefore w:val="0"/>
                    <w:widowControl w:val="0"/>
                    <w:suppressLineNumbers w:val="0"/>
                    <w:kinsoku/>
                    <w:wordWrap/>
                    <w:overflowPunct/>
                    <w:topLinePunct/>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《危险废物贮存污染控制标准》（GB18597-2023）中相关规定</w:t>
                  </w:r>
                </w:p>
              </w:tc>
            </w:tr>
          </w:tbl>
          <w:p w14:paraId="01F4FF82">
            <w:pPr>
              <w:pStyle w:val="18"/>
              <w:keepNext w:val="0"/>
              <w:keepLines w:val="0"/>
              <w:suppressLineNumbers w:val="0"/>
              <w:spacing w:before="0" w:beforeAutospacing="0" w:after="0" w:afterAutospacing="0"/>
              <w:ind w:left="632" w:right="0" w:hanging="542" w:hangingChars="300"/>
              <w:rPr>
                <w:rFonts w:hint="default" w:ascii="Times New Roman" w:hAnsi="Times New Roman" w:eastAsia="宋体" w:cs="Times New Roman"/>
                <w:b/>
                <w:bCs/>
                <w:color w:val="auto"/>
                <w:spacing w:val="0"/>
                <w:position w:val="0"/>
                <w:sz w:val="18"/>
                <w:szCs w:val="18"/>
                <w:highlight w:val="none"/>
                <w:lang w:val="en-US" w:eastAsia="zh-CN"/>
              </w:rPr>
            </w:pPr>
            <w:r>
              <w:rPr>
                <w:rFonts w:hint="eastAsia" w:cs="Times New Roman"/>
                <w:b/>
                <w:bCs/>
                <w:color w:val="auto"/>
                <w:spacing w:val="0"/>
                <w:position w:val="0"/>
                <w:sz w:val="18"/>
                <w:szCs w:val="18"/>
                <w:highlight w:val="none"/>
                <w:lang w:val="en-US" w:eastAsia="zh-CN"/>
              </w:rPr>
              <w:t>注：a</w:t>
            </w:r>
            <w:r>
              <w:rPr>
                <w:rFonts w:hint="default" w:ascii="Times New Roman" w:hAnsi="Times New Roman" w:eastAsia="宋体" w:cs="Times New Roman"/>
                <w:b/>
                <w:bCs/>
                <w:color w:val="auto"/>
                <w:kern w:val="0"/>
                <w:sz w:val="18"/>
                <w:szCs w:val="18"/>
                <w:highlight w:val="none"/>
                <w:lang w:val="en-US" w:eastAsia="zh-CN" w:bidi="ar"/>
              </w:rPr>
              <w:t>根据《工业企业挥发性有机物排放控制标准》(DB13/2322-2025)</w:t>
            </w:r>
            <w:r>
              <w:rPr>
                <w:rFonts w:hint="eastAsia" w:ascii="Times New Roman" w:hAnsi="Times New Roman" w:eastAsia="宋体" w:cs="Times New Roman"/>
                <w:b/>
                <w:bCs/>
                <w:color w:val="auto"/>
                <w:kern w:val="0"/>
                <w:sz w:val="18"/>
                <w:szCs w:val="18"/>
                <w:highlight w:val="none"/>
                <w:lang w:val="en-US" w:eastAsia="zh-CN" w:bidi="ar"/>
              </w:rPr>
              <w:t>、</w:t>
            </w:r>
            <w:r>
              <w:rPr>
                <w:rFonts w:hint="default" w:ascii="Times New Roman" w:hAnsi="Times New Roman" w:eastAsia="宋体" w:cs="Times New Roman"/>
                <w:b/>
                <w:bCs/>
                <w:color w:val="auto"/>
                <w:kern w:val="0"/>
                <w:sz w:val="18"/>
                <w:szCs w:val="18"/>
                <w:highlight w:val="none"/>
                <w:lang w:val="en-US" w:eastAsia="zh-CN" w:bidi="ar"/>
              </w:rPr>
              <w:t>《</w:t>
            </w:r>
            <w:r>
              <w:rPr>
                <w:rFonts w:hint="eastAsia" w:ascii="Times New Roman" w:hAnsi="Times New Roman" w:eastAsia="宋体" w:cs="Times New Roman"/>
                <w:b/>
                <w:bCs/>
                <w:color w:val="auto"/>
                <w:kern w:val="0"/>
                <w:sz w:val="18"/>
                <w:szCs w:val="18"/>
                <w:highlight w:val="none"/>
                <w:lang w:val="en-US" w:eastAsia="zh-CN" w:bidi="ar"/>
              </w:rPr>
              <w:t>印刷工业挥发性有机物排放标准》（DB13/6188-2025）中“</w:t>
            </w:r>
            <w:r>
              <w:rPr>
                <w:rFonts w:hint="eastAsia" w:ascii="Times New Roman" w:hAnsi="Times New Roman" w:eastAsia="宋体" w:cs="Times New Roman"/>
                <w:b/>
                <w:bCs/>
                <w:color w:val="auto"/>
                <w:spacing w:val="0"/>
                <w:position w:val="0"/>
                <w:sz w:val="18"/>
                <w:szCs w:val="18"/>
                <w:highlight w:val="none"/>
                <w:lang w:val="en-US" w:eastAsia="zh-CN"/>
              </w:rPr>
              <w:t>非甲烷总烃初始排放速率</w:t>
            </w:r>
            <w:r>
              <w:rPr>
                <w:rFonts w:hint="default" w:ascii="Times New Roman" w:hAnsi="Times New Roman" w:eastAsia="宋体" w:cs="Times New Roman"/>
                <w:b/>
                <w:bCs/>
                <w:color w:val="auto"/>
                <w:kern w:val="0"/>
                <w:sz w:val="18"/>
                <w:szCs w:val="18"/>
                <w:highlight w:val="none"/>
                <w:lang w:val="en-US" w:eastAsia="zh-CN" w:bidi="ar"/>
              </w:rPr>
              <w:t>≥</w:t>
            </w:r>
            <w:r>
              <w:rPr>
                <w:rFonts w:hint="eastAsia" w:ascii="Times New Roman" w:hAnsi="Times New Roman" w:eastAsia="宋体" w:cs="Times New Roman"/>
                <w:b/>
                <w:bCs/>
                <w:color w:val="auto"/>
                <w:spacing w:val="0"/>
                <w:position w:val="0"/>
                <w:sz w:val="18"/>
                <w:szCs w:val="18"/>
                <w:highlight w:val="none"/>
                <w:lang w:val="en-US" w:eastAsia="zh-CN"/>
              </w:rPr>
              <w:t>2kg/h时，非甲烷总烃处理效率不应低于80%。企业所使用的全部原辅材料符合国家有关低挥发性有机物含量产品规定的除外</w:t>
            </w:r>
            <w:r>
              <w:rPr>
                <w:rFonts w:hint="eastAsia" w:cs="Times New Roman"/>
                <w:b/>
                <w:bCs/>
                <w:color w:val="auto"/>
                <w:spacing w:val="0"/>
                <w:position w:val="0"/>
                <w:sz w:val="18"/>
                <w:szCs w:val="18"/>
                <w:highlight w:val="none"/>
                <w:lang w:val="en-US" w:eastAsia="zh-CN"/>
              </w:rPr>
              <w:t>”的要求</w:t>
            </w:r>
            <w:r>
              <w:rPr>
                <w:rFonts w:hint="eastAsia" w:ascii="Times New Roman" w:hAnsi="Times New Roman" w:eastAsia="宋体" w:cs="Times New Roman"/>
                <w:b/>
                <w:bCs/>
                <w:color w:val="auto"/>
                <w:spacing w:val="0"/>
                <w:position w:val="0"/>
                <w:sz w:val="18"/>
                <w:szCs w:val="18"/>
                <w:highlight w:val="none"/>
                <w:lang w:val="en-US" w:eastAsia="zh-CN"/>
              </w:rPr>
              <w:t>。</w:t>
            </w:r>
            <w:r>
              <w:rPr>
                <w:rFonts w:hint="eastAsia" w:cs="Times New Roman"/>
                <w:b/>
                <w:bCs/>
                <w:color w:val="auto"/>
                <w:spacing w:val="0"/>
                <w:position w:val="0"/>
                <w:sz w:val="18"/>
                <w:szCs w:val="18"/>
                <w:highlight w:val="none"/>
                <w:lang w:val="en-US" w:eastAsia="zh-CN"/>
              </w:rPr>
              <w:t>本项目非甲烷总烃初始排放速率</w:t>
            </w:r>
            <w:r>
              <w:rPr>
                <w:rFonts w:hint="default" w:ascii="Times New Roman" w:hAnsi="Times New Roman" w:eastAsia="宋体" w:cs="Times New Roman"/>
                <w:b/>
                <w:bCs/>
                <w:color w:val="auto"/>
                <w:spacing w:val="0"/>
                <w:position w:val="0"/>
                <w:sz w:val="18"/>
                <w:szCs w:val="18"/>
                <w:highlight w:val="none"/>
                <w:lang w:val="en-US" w:eastAsia="zh-CN"/>
              </w:rPr>
              <w:t>&lt;</w:t>
            </w:r>
            <w:r>
              <w:rPr>
                <w:rFonts w:hint="eastAsia" w:cs="Times New Roman"/>
                <w:b/>
                <w:bCs/>
                <w:color w:val="auto"/>
                <w:spacing w:val="0"/>
                <w:position w:val="0"/>
                <w:sz w:val="18"/>
                <w:szCs w:val="18"/>
                <w:highlight w:val="none"/>
                <w:lang w:val="en-US" w:eastAsia="zh-CN"/>
              </w:rPr>
              <w:t>2kg/h，故不执行非甲烷总烃处理效率要求。</w:t>
            </w:r>
          </w:p>
          <w:p w14:paraId="63DB46D0">
            <w:pPr>
              <w:pStyle w:val="18"/>
              <w:keepNext w:val="0"/>
              <w:keepLines w:val="0"/>
              <w:suppressLineNumbers w:val="0"/>
              <w:spacing w:before="0" w:beforeAutospacing="0" w:after="0" w:afterAutospacing="0"/>
              <w:ind w:left="0" w:right="0" w:firstLine="361" w:firstLineChars="200"/>
              <w:rPr>
                <w:rFonts w:hint="default" w:ascii="Times New Roman" w:hAnsi="Times New Roman" w:eastAsia="宋体" w:cs="Times New Roman"/>
                <w:sz w:val="18"/>
                <w:szCs w:val="18"/>
                <w:lang w:val="en-US" w:eastAsia="zh-CN"/>
              </w:rPr>
            </w:pPr>
            <w:r>
              <w:rPr>
                <w:rFonts w:hint="eastAsia" w:ascii="宋体" w:hAnsi="宋体" w:cs="宋体"/>
                <w:b/>
                <w:bCs/>
                <w:color w:val="auto"/>
                <w:kern w:val="0"/>
                <w:sz w:val="18"/>
                <w:szCs w:val="18"/>
                <w:highlight w:val="none"/>
                <w:lang w:val="en-US" w:eastAsia="zh-CN" w:bidi="ar"/>
              </w:rPr>
              <w:t>b</w:t>
            </w:r>
            <w:r>
              <w:rPr>
                <w:rFonts w:hint="eastAsia" w:ascii="宋体" w:hAnsi="宋体" w:eastAsia="宋体" w:cs="宋体"/>
                <w:b/>
                <w:bCs/>
                <w:color w:val="auto"/>
                <w:kern w:val="0"/>
                <w:sz w:val="18"/>
                <w:szCs w:val="18"/>
                <w:highlight w:val="none"/>
                <w:lang w:val="en-US" w:eastAsia="zh-CN" w:bidi="ar"/>
              </w:rPr>
              <w:t>待国家污染物监测方法标准发布后实施</w:t>
            </w:r>
            <w:r>
              <w:rPr>
                <w:rFonts w:hint="eastAsia" w:ascii="宋体" w:hAnsi="宋体" w:cs="宋体"/>
                <w:b/>
                <w:bCs/>
                <w:color w:val="auto"/>
                <w:kern w:val="0"/>
                <w:sz w:val="18"/>
                <w:szCs w:val="18"/>
                <w:highlight w:val="none"/>
                <w:lang w:val="en-US" w:eastAsia="zh-CN" w:bidi="ar"/>
              </w:rPr>
              <w:t>。</w:t>
            </w:r>
          </w:p>
          <w:p w14:paraId="31AD8232">
            <w:pPr>
              <w:keepNext w:val="0"/>
              <w:keepLines w:val="0"/>
              <w:suppressLineNumbers w:val="0"/>
              <w:adjustRightInd w:val="0"/>
              <w:snapToGrid w:val="0"/>
              <w:spacing w:before="0" w:beforeAutospacing="0" w:after="0" w:afterAutospacing="0" w:line="440" w:lineRule="exact"/>
              <w:ind w:left="0" w:right="0"/>
              <w:rPr>
                <w:rFonts w:hint="default" w:ascii="Times New Roman" w:hAnsi="Times New Roman" w:eastAsia="宋体" w:cs="Times New Roman"/>
                <w:sz w:val="24"/>
                <w:szCs w:val="22"/>
                <w:lang w:val="en-US" w:eastAsia="zh-CN"/>
              </w:rPr>
            </w:pPr>
          </w:p>
        </w:tc>
      </w:tr>
      <w:tr w14:paraId="2CA3E07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888" w:hRule="atLeast"/>
          <w:jc w:val="center"/>
        </w:trPr>
        <w:tc>
          <w:tcPr>
            <w:tcW w:w="357" w:type="dxa"/>
            <w:noWrap w:val="0"/>
            <w:vAlign w:val="center"/>
          </w:tcPr>
          <w:p w14:paraId="6860A9EA">
            <w:pPr>
              <w:keepNext w:val="0"/>
              <w:keepLines w:val="0"/>
              <w:suppressLineNumbers w:val="0"/>
              <w:adjustRightInd w:val="0"/>
              <w:snapToGrid w:val="0"/>
              <w:spacing w:before="0" w:beforeAutospacing="0" w:after="0" w:afterAutospacing="0" w:line="360" w:lineRule="auto"/>
              <w:ind w:left="0" w:right="0"/>
              <w:jc w:val="center"/>
              <w:rPr>
                <w:rFonts w:hint="default" w:ascii="Times New Roman" w:hAnsi="Times New Roman" w:cs="Times New Roman"/>
                <w:b/>
                <w:kern w:val="0"/>
                <w:sz w:val="24"/>
              </w:rPr>
            </w:pPr>
            <w:r>
              <w:rPr>
                <w:rFonts w:hint="default" w:ascii="Times New Roman" w:hAnsi="Times New Roman" w:cs="Times New Roman"/>
                <w:b/>
                <w:kern w:val="0"/>
                <w:sz w:val="24"/>
              </w:rPr>
              <w:t>总量</w:t>
            </w:r>
          </w:p>
          <w:p w14:paraId="3B021409">
            <w:pPr>
              <w:keepNext w:val="0"/>
              <w:keepLines w:val="0"/>
              <w:suppressLineNumbers w:val="0"/>
              <w:adjustRightInd w:val="0"/>
              <w:snapToGrid w:val="0"/>
              <w:spacing w:before="0" w:beforeAutospacing="0" w:after="0" w:afterAutospacing="0" w:line="360" w:lineRule="auto"/>
              <w:ind w:left="0" w:right="0"/>
              <w:jc w:val="center"/>
              <w:rPr>
                <w:rFonts w:hint="default" w:ascii="Times New Roman" w:hAnsi="Times New Roman" w:cs="Times New Roman"/>
                <w:b/>
                <w:kern w:val="0"/>
                <w:sz w:val="24"/>
              </w:rPr>
            </w:pPr>
            <w:r>
              <w:rPr>
                <w:rFonts w:hint="default" w:ascii="Times New Roman" w:hAnsi="Times New Roman" w:cs="Times New Roman"/>
                <w:b/>
                <w:kern w:val="0"/>
                <w:sz w:val="24"/>
              </w:rPr>
              <w:t>控制</w:t>
            </w:r>
          </w:p>
          <w:p w14:paraId="238ACEA1">
            <w:pPr>
              <w:keepNext w:val="0"/>
              <w:keepLines w:val="0"/>
              <w:suppressLineNumbers w:val="0"/>
              <w:adjustRightInd w:val="0"/>
              <w:snapToGrid w:val="0"/>
              <w:spacing w:before="0" w:beforeAutospacing="0" w:after="0" w:afterAutospacing="0" w:line="360" w:lineRule="auto"/>
              <w:ind w:left="0" w:right="0"/>
              <w:jc w:val="center"/>
              <w:rPr>
                <w:rFonts w:hint="default" w:ascii="Times New Roman" w:hAnsi="Times New Roman" w:cs="Times New Roman"/>
                <w:kern w:val="0"/>
                <w:szCs w:val="21"/>
              </w:rPr>
            </w:pPr>
            <w:r>
              <w:rPr>
                <w:rFonts w:hint="default" w:ascii="Times New Roman" w:hAnsi="Times New Roman" w:cs="Times New Roman"/>
                <w:b/>
                <w:kern w:val="0"/>
                <w:sz w:val="24"/>
              </w:rPr>
              <w:t>指标</w:t>
            </w:r>
          </w:p>
        </w:tc>
        <w:tc>
          <w:tcPr>
            <w:tcW w:w="8633" w:type="dxa"/>
            <w:noWrap w:val="0"/>
            <w:vAlign w:val="center"/>
          </w:tcPr>
          <w:p w14:paraId="43D8340F">
            <w:pPr>
              <w:keepNext w:val="0"/>
              <w:keepLines w:val="0"/>
              <w:pageBreakBefore w:val="0"/>
              <w:widowControl w:val="0"/>
              <w:numPr>
                <w:ilvl w:val="0"/>
                <w:numId w:val="0"/>
              </w:numPr>
              <w:suppressLineNumbers w:val="0"/>
              <w:tabs>
                <w:tab w:val="left" w:pos="6599"/>
              </w:tabs>
              <w:kinsoku/>
              <w:wordWrap/>
              <w:overflowPunct/>
              <w:topLinePunct w:val="0"/>
              <w:autoSpaceDE/>
              <w:autoSpaceDN/>
              <w:bidi w:val="0"/>
              <w:snapToGrid/>
              <w:spacing w:before="0" w:beforeAutospacing="0" w:after="0" w:afterAutospacing="0" w:line="360" w:lineRule="auto"/>
              <w:ind w:left="0" w:right="0"/>
              <w:textAlignment w:val="auto"/>
              <w:rPr>
                <w:rFonts w:hint="eastAsia" w:ascii="Times New Roman" w:hAnsi="Times New Roman" w:eastAsia="宋体" w:cs="Times New Roman"/>
                <w:b/>
                <w:bCs/>
                <w:color w:val="auto"/>
                <w:sz w:val="24"/>
                <w:szCs w:val="24"/>
                <w:lang w:val="en-US" w:eastAsia="zh-CN"/>
              </w:rPr>
            </w:pPr>
            <w:r>
              <w:rPr>
                <w:rFonts w:hint="eastAsia" w:ascii="Times New Roman" w:hAnsi="Times New Roman" w:eastAsia="宋体" w:cs="Times New Roman"/>
                <w:b/>
                <w:bCs/>
                <w:color w:val="auto"/>
                <w:sz w:val="24"/>
                <w:szCs w:val="24"/>
                <w:lang w:val="en-US" w:eastAsia="zh-CN"/>
              </w:rPr>
              <w:t>1、总量控制管理的依据</w:t>
            </w:r>
          </w:p>
          <w:p w14:paraId="1D54F125">
            <w:pPr>
              <w:keepNext w:val="0"/>
              <w:keepLines w:val="0"/>
              <w:pageBreakBefore w:val="0"/>
              <w:widowControl w:val="0"/>
              <w:numPr>
                <w:ilvl w:val="0"/>
                <w:numId w:val="0"/>
              </w:numPr>
              <w:suppressLineNumbers w:val="0"/>
              <w:tabs>
                <w:tab w:val="left" w:pos="6599"/>
              </w:tabs>
              <w:kinsoku/>
              <w:wordWrap/>
              <w:overflowPunct/>
              <w:topLinePunct w:val="0"/>
              <w:autoSpaceDE/>
              <w:autoSpaceDN/>
              <w:bidi w:val="0"/>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根据全国主要污染物排放总量控制规划，国家对COD、NH</w:t>
            </w:r>
            <w:r>
              <w:rPr>
                <w:rFonts w:hint="default" w:ascii="Times New Roman" w:hAnsi="Times New Roman" w:eastAsia="宋体" w:cs="Times New Roman"/>
                <w:color w:val="auto"/>
                <w:sz w:val="24"/>
                <w:szCs w:val="24"/>
                <w:vertAlign w:val="subscript"/>
              </w:rPr>
              <w:t>3</w:t>
            </w:r>
            <w:r>
              <w:rPr>
                <w:rFonts w:hint="default" w:ascii="Times New Roman" w:hAnsi="Times New Roman" w:eastAsia="宋体" w:cs="Times New Roman"/>
                <w:color w:val="auto"/>
                <w:sz w:val="24"/>
                <w:szCs w:val="24"/>
              </w:rPr>
              <w:t>-N、SO</w:t>
            </w:r>
            <w:r>
              <w:rPr>
                <w:rFonts w:hint="default" w:ascii="Times New Roman" w:hAnsi="Times New Roman" w:eastAsia="宋体" w:cs="Times New Roman"/>
                <w:color w:val="auto"/>
                <w:sz w:val="24"/>
                <w:szCs w:val="24"/>
                <w:vertAlign w:val="subscript"/>
              </w:rPr>
              <w:t>2</w:t>
            </w:r>
            <w:r>
              <w:rPr>
                <w:rFonts w:hint="default" w:ascii="Times New Roman" w:hAnsi="Times New Roman" w:eastAsia="宋体" w:cs="Times New Roman"/>
                <w:color w:val="auto"/>
                <w:sz w:val="24"/>
                <w:szCs w:val="24"/>
              </w:rPr>
              <w:t>、</w:t>
            </w:r>
            <w:bookmarkStart w:id="5" w:name="OLE_LINK71"/>
            <w:r>
              <w:rPr>
                <w:rFonts w:hint="default" w:ascii="Times New Roman" w:hAnsi="Times New Roman" w:eastAsia="宋体" w:cs="Times New Roman"/>
                <w:color w:val="auto"/>
                <w:sz w:val="24"/>
                <w:szCs w:val="24"/>
              </w:rPr>
              <w:t>NO</w:t>
            </w:r>
            <w:r>
              <w:rPr>
                <w:rFonts w:hint="default" w:ascii="Times New Roman" w:hAnsi="Times New Roman" w:eastAsia="宋体" w:cs="Times New Roman"/>
                <w:color w:val="auto"/>
                <w:sz w:val="24"/>
                <w:szCs w:val="24"/>
                <w:vertAlign w:val="subscript"/>
              </w:rPr>
              <w:t>X</w:t>
            </w:r>
            <w:bookmarkEnd w:id="5"/>
            <w:r>
              <w:rPr>
                <w:rFonts w:hint="eastAsia" w:ascii="Times New Roman" w:hAnsi="Times New Roman" w:cs="Times New Roman"/>
                <w:color w:val="auto"/>
                <w:sz w:val="24"/>
                <w:szCs w:val="24"/>
                <w:vertAlign w:val="baseline"/>
                <w:lang w:eastAsia="zh-CN"/>
              </w:rPr>
              <w:t>、</w:t>
            </w:r>
            <w:r>
              <w:rPr>
                <w:rFonts w:hint="eastAsia" w:ascii="Times New Roman" w:hAnsi="Times New Roman" w:cs="Times New Roman"/>
                <w:color w:val="auto"/>
                <w:sz w:val="24"/>
                <w:szCs w:val="24"/>
                <w:vertAlign w:val="baseline"/>
                <w:lang w:val="en-US" w:eastAsia="zh-CN"/>
              </w:rPr>
              <w:t>VOC</w:t>
            </w:r>
            <w:r>
              <w:rPr>
                <w:rFonts w:hint="eastAsia" w:ascii="Times New Roman" w:hAnsi="Times New Roman" w:cs="Times New Roman"/>
                <w:color w:val="auto"/>
                <w:sz w:val="24"/>
                <w:szCs w:val="24"/>
                <w:vertAlign w:val="subscript"/>
                <w:lang w:val="en-US" w:eastAsia="zh-CN"/>
              </w:rPr>
              <w:t>S</w:t>
            </w:r>
            <w:r>
              <w:rPr>
                <w:rFonts w:hint="eastAsia" w:ascii="Times New Roman" w:hAnsi="Times New Roman" w:cs="Times New Roman"/>
                <w:color w:val="auto"/>
                <w:sz w:val="24"/>
                <w:szCs w:val="24"/>
                <w:vertAlign w:val="baseline"/>
                <w:lang w:val="en-US" w:eastAsia="zh-CN"/>
              </w:rPr>
              <w:t>、颗粒物</w:t>
            </w:r>
            <w:r>
              <w:rPr>
                <w:rFonts w:hint="eastAsia" w:ascii="Times New Roman" w:hAnsi="Times New Roman" w:cs="Times New Roman"/>
                <w:color w:val="auto"/>
                <w:sz w:val="24"/>
                <w:szCs w:val="24"/>
                <w:lang w:val="en-US" w:eastAsia="zh-CN"/>
              </w:rPr>
              <w:t>等</w:t>
            </w:r>
            <w:r>
              <w:rPr>
                <w:rFonts w:hint="default" w:ascii="Times New Roman" w:hAnsi="Times New Roman" w:eastAsia="宋体" w:cs="Times New Roman"/>
                <w:color w:val="auto"/>
                <w:sz w:val="24"/>
                <w:szCs w:val="24"/>
              </w:rPr>
              <w:t>主要污染物实行排放总量控制计划管理。根据《关于印发＜建设项目主要污染物排放总量指标审核及管理暂行办法＞的通知》（环发[2014]197号）、《关于进一步改革和优化建设项目主要污染物排放总量核定工作的通知》（冀环总[2014]283号），《河北省生态环境厅办公室关于进一步做好建设项目新增水主要污染物排污权核定有关事宜的通知》（冀环办字函[2023]283号），项目建成后排放总量指标依照国家或地方污染物排放标准核定，建设项目间接排放水污染物的，新增水主要污染物排放总量指标按照建设项目排水量及所排入污水集中处理设施执行水污染物排放标准核算。</w:t>
            </w:r>
          </w:p>
          <w:p w14:paraId="5D1760D4">
            <w:pPr>
              <w:keepNext w:val="0"/>
              <w:keepLines w:val="0"/>
              <w:pageBreakBefore w:val="0"/>
              <w:widowControl w:val="0"/>
              <w:numPr>
                <w:ilvl w:val="0"/>
                <w:numId w:val="0"/>
              </w:numPr>
              <w:suppressLineNumbers w:val="0"/>
              <w:tabs>
                <w:tab w:val="left" w:pos="6599"/>
              </w:tabs>
              <w:kinsoku/>
              <w:wordWrap/>
              <w:overflowPunct/>
              <w:topLinePunct w:val="0"/>
              <w:autoSpaceDE/>
              <w:autoSpaceDN/>
              <w:bidi w:val="0"/>
              <w:snapToGrid/>
              <w:spacing w:before="0" w:beforeAutospacing="0" w:after="0" w:afterAutospacing="0" w:line="360" w:lineRule="auto"/>
              <w:ind w:left="0" w:right="0"/>
              <w:textAlignment w:val="auto"/>
              <w:rPr>
                <w:rFonts w:hint="eastAsia" w:ascii="Times New Roman" w:hAnsi="Times New Roman" w:eastAsia="宋体" w:cs="Times New Roman"/>
                <w:b/>
                <w:bCs/>
                <w:color w:val="auto"/>
                <w:sz w:val="24"/>
                <w:szCs w:val="24"/>
                <w:lang w:val="en-US" w:eastAsia="zh-CN"/>
              </w:rPr>
            </w:pPr>
            <w:r>
              <w:rPr>
                <w:rFonts w:hint="eastAsia" w:ascii="Times New Roman" w:hAnsi="Times New Roman" w:eastAsia="宋体" w:cs="Times New Roman"/>
                <w:b/>
                <w:bCs/>
                <w:color w:val="auto"/>
                <w:sz w:val="24"/>
                <w:szCs w:val="24"/>
                <w:lang w:val="en-US" w:eastAsia="zh-CN"/>
              </w:rPr>
              <w:t>2、技改项目总量控制指标</w:t>
            </w:r>
          </w:p>
          <w:p w14:paraId="4B92EC0B">
            <w:pPr>
              <w:keepNext w:val="0"/>
              <w:keepLines w:val="0"/>
              <w:widowControl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（1）废水污染物</w:t>
            </w:r>
          </w:p>
          <w:p w14:paraId="7A15C878">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kern w:val="0"/>
                <w:sz w:val="24"/>
                <w:szCs w:val="20"/>
              </w:rPr>
            </w:pPr>
            <w:r>
              <w:rPr>
                <w:rFonts w:hint="eastAsia" w:ascii="Times New Roman" w:hAnsi="Times New Roman" w:eastAsia="宋体" w:cs="Times New Roman"/>
                <w:kern w:val="2"/>
                <w:sz w:val="24"/>
                <w:szCs w:val="24"/>
                <w:lang w:val="en-US" w:eastAsia="zh-CN" w:bidi="ar-SA"/>
              </w:rPr>
              <w:t>技改项目</w:t>
            </w:r>
            <w:r>
              <w:rPr>
                <w:rFonts w:hint="eastAsia" w:cs="Times New Roman"/>
                <w:kern w:val="2"/>
                <w:sz w:val="24"/>
                <w:szCs w:val="24"/>
                <w:lang w:val="en-US" w:eastAsia="zh-CN" w:bidi="ar-SA"/>
              </w:rPr>
              <w:t>水性油墨配制用纯水全部挥发；</w:t>
            </w:r>
            <w:r>
              <w:rPr>
                <w:rFonts w:hint="eastAsia" w:ascii="Times New Roman" w:hAnsi="Times New Roman" w:eastAsia="宋体" w:cs="Times New Roman"/>
                <w:kern w:val="2"/>
                <w:sz w:val="24"/>
                <w:szCs w:val="24"/>
                <w:lang w:val="en-US" w:eastAsia="zh-CN" w:bidi="ar-SA"/>
              </w:rPr>
              <w:t>无新增劳动定员，无新增生活污水，不涉及COD、NH</w:t>
            </w:r>
            <w:r>
              <w:rPr>
                <w:rFonts w:hint="eastAsia" w:ascii="Times New Roman" w:hAnsi="Times New Roman" w:eastAsia="宋体" w:cs="Times New Roman"/>
                <w:kern w:val="2"/>
                <w:sz w:val="24"/>
                <w:szCs w:val="24"/>
                <w:vertAlign w:val="subscript"/>
                <w:lang w:val="en-US" w:eastAsia="zh-CN" w:bidi="ar-SA"/>
              </w:rPr>
              <w:t>3</w:t>
            </w:r>
            <w:r>
              <w:rPr>
                <w:rFonts w:hint="eastAsia" w:ascii="Times New Roman" w:hAnsi="Times New Roman" w:eastAsia="宋体" w:cs="Times New Roman"/>
                <w:kern w:val="2"/>
                <w:sz w:val="24"/>
                <w:szCs w:val="24"/>
                <w:lang w:val="en-US" w:eastAsia="zh-CN" w:bidi="ar-SA"/>
              </w:rPr>
              <w:t>-N的排放，</w:t>
            </w:r>
            <w:r>
              <w:rPr>
                <w:rFonts w:hint="eastAsia" w:ascii="宋体" w:hAnsi="宋体" w:cs="宋体"/>
                <w:color w:val="auto"/>
                <w:sz w:val="24"/>
                <w:szCs w:val="24"/>
                <w:highlight w:val="none"/>
                <w:lang w:val="en-US" w:eastAsia="zh-CN"/>
              </w:rPr>
              <w:t>故本项目废水污染总量控制指标为</w:t>
            </w:r>
            <w:r>
              <w:rPr>
                <w:rFonts w:hint="default" w:ascii="Times New Roman" w:hAnsi="Times New Roman" w:eastAsia="宋体" w:cs="Times New Roman"/>
                <w:color w:val="auto"/>
                <w:sz w:val="24"/>
                <w:szCs w:val="24"/>
                <w:highlight w:val="none"/>
              </w:rPr>
              <w:t>COD：0t/a，氨氮：0t/a</w:t>
            </w:r>
            <w:r>
              <w:rPr>
                <w:rFonts w:hint="eastAsia" w:ascii="Times New Roman" w:hAnsi="Times New Roman" w:eastAsia="宋体" w:cs="Times New Roman"/>
                <w:kern w:val="2"/>
                <w:sz w:val="24"/>
                <w:szCs w:val="24"/>
                <w:lang w:val="en-US" w:eastAsia="zh-CN" w:bidi="ar-SA"/>
              </w:rPr>
              <w:t>。</w:t>
            </w:r>
          </w:p>
          <w:p w14:paraId="2AA78DC2">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（2）废气污染物</w:t>
            </w:r>
          </w:p>
          <w:p w14:paraId="11A577B4">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kern w:val="2"/>
                <w:sz w:val="24"/>
                <w:szCs w:val="24"/>
                <w:highlight w:val="none"/>
                <w:lang w:val="en-US" w:eastAsia="zh-CN" w:bidi="ar-SA"/>
              </w:rPr>
            </w:pPr>
            <w:r>
              <w:rPr>
                <w:rFonts w:hint="eastAsia" w:ascii="Times New Roman" w:hAnsi="Times New Roman" w:eastAsia="宋体" w:cs="Times New Roman"/>
                <w:kern w:val="2"/>
                <w:sz w:val="24"/>
                <w:szCs w:val="24"/>
                <w:lang w:val="en-US" w:eastAsia="zh-CN" w:bidi="ar-SA"/>
              </w:rPr>
              <w:t>本项目生产用热采用电，不涉及</w:t>
            </w:r>
            <w:r>
              <w:rPr>
                <w:rFonts w:hint="default" w:ascii="Times New Roman" w:hAnsi="Times New Roman" w:cs="Times New Roman"/>
                <w:kern w:val="0"/>
                <w:sz w:val="24"/>
                <w:szCs w:val="20"/>
              </w:rPr>
              <w:t>SO</w:t>
            </w:r>
            <w:r>
              <w:rPr>
                <w:rFonts w:hint="default" w:ascii="Times New Roman" w:hAnsi="Times New Roman" w:cs="Times New Roman"/>
                <w:kern w:val="0"/>
                <w:sz w:val="24"/>
                <w:szCs w:val="20"/>
                <w:vertAlign w:val="subscript"/>
              </w:rPr>
              <w:t>2</w:t>
            </w:r>
            <w:r>
              <w:rPr>
                <w:rFonts w:hint="default" w:ascii="Times New Roman" w:hAnsi="Times New Roman" w:cs="Times New Roman"/>
                <w:kern w:val="0"/>
                <w:sz w:val="24"/>
                <w:szCs w:val="20"/>
              </w:rPr>
              <w:t>、NO</w:t>
            </w:r>
            <w:r>
              <w:rPr>
                <w:rFonts w:hint="default" w:ascii="Times New Roman" w:hAnsi="Times New Roman" w:cs="Times New Roman"/>
                <w:kern w:val="0"/>
                <w:sz w:val="24"/>
                <w:szCs w:val="20"/>
                <w:vertAlign w:val="subscript"/>
              </w:rPr>
              <w:t>X</w:t>
            </w:r>
            <w:r>
              <w:rPr>
                <w:rFonts w:hint="eastAsia" w:ascii="Times New Roman" w:hAnsi="Times New Roman" w:cs="Times New Roman"/>
                <w:kern w:val="0"/>
                <w:sz w:val="24"/>
                <w:szCs w:val="20"/>
                <w:lang w:val="en-US" w:eastAsia="zh-CN"/>
              </w:rPr>
              <w:t>排放，</w:t>
            </w:r>
            <w:r>
              <w:rPr>
                <w:rFonts w:hint="default" w:ascii="Times New Roman" w:hAnsi="Times New Roman" w:eastAsia="宋体" w:cs="Times New Roman"/>
                <w:kern w:val="2"/>
                <w:sz w:val="24"/>
                <w:szCs w:val="24"/>
                <w:lang w:val="en-US" w:eastAsia="zh-CN" w:bidi="ar-SA"/>
              </w:rPr>
              <w:t>特征污染物非甲烷总烃</w:t>
            </w:r>
            <w:r>
              <w:rPr>
                <w:rFonts w:hint="default" w:ascii="Times New Roman" w:hAnsi="Times New Roman" w:eastAsia="宋体" w:cs="Times New Roman"/>
                <w:bCs/>
                <w:kern w:val="2"/>
                <w:sz w:val="24"/>
                <w:szCs w:val="24"/>
                <w:lang w:val="en-US" w:eastAsia="zh-CN" w:bidi="ar-SA"/>
              </w:rPr>
              <w:t>核定量依照</w:t>
            </w:r>
            <w:r>
              <w:rPr>
                <w:rFonts w:hint="default" w:ascii="Times New Roman" w:hAnsi="Times New Roman" w:eastAsia="宋体" w:cs="Times New Roman"/>
                <w:color w:val="auto"/>
                <w:sz w:val="24"/>
                <w:szCs w:val="24"/>
                <w:highlight w:val="none"/>
              </w:rPr>
              <w:t>《合成树脂工业污染物排放标准》（GB31572-2015</w:t>
            </w:r>
            <w:r>
              <w:rPr>
                <w:rFonts w:hint="default" w:ascii="Times New Roman" w:hAnsi="Times New Roman" w:eastAsia="宋体" w:cs="Times New Roman"/>
                <w:color w:val="auto"/>
                <w:sz w:val="24"/>
                <w:szCs w:val="24"/>
                <w:lang w:val="en-US" w:eastAsia="zh-CN"/>
              </w:rPr>
              <w:t>，含2024修改单</w:t>
            </w:r>
            <w:r>
              <w:rPr>
                <w:rFonts w:hint="default" w:ascii="Times New Roman" w:hAnsi="Times New Roman" w:eastAsia="宋体" w:cs="Times New Roman"/>
                <w:color w:val="auto"/>
                <w:sz w:val="24"/>
                <w:szCs w:val="24"/>
                <w:highlight w:val="none"/>
              </w:rPr>
              <w:t>）表5大气污染物特别排放限值</w:t>
            </w:r>
            <w:r>
              <w:rPr>
                <w:rFonts w:hint="eastAsia" w:cs="Times New Roman"/>
                <w:color w:val="auto"/>
                <w:sz w:val="24"/>
                <w:szCs w:val="24"/>
                <w:highlight w:val="none"/>
                <w:lang w:eastAsia="zh-CN"/>
              </w:rPr>
              <w:t>、</w:t>
            </w:r>
            <w:r>
              <w:rPr>
                <w:rFonts w:hint="default" w:ascii="Times New Roman" w:hAnsi="Times New Roman" w:cs="Times New Roman"/>
                <w:color w:val="auto"/>
                <w:sz w:val="24"/>
                <w:szCs w:val="24"/>
                <w:highlight w:val="none"/>
              </w:rPr>
              <w:t>《工业企业挥发性有机物排放控制标准》（DB13</w:t>
            </w:r>
            <w:r>
              <w:rPr>
                <w:rFonts w:hint="eastAsia" w:ascii="Times New Roman" w:hAnsi="Times New Roman" w:cs="Times New Roman"/>
                <w:color w:val="auto"/>
                <w:sz w:val="24"/>
                <w:szCs w:val="24"/>
                <w:highlight w:val="none"/>
                <w:lang w:val="en-US" w:eastAsia="zh-CN"/>
              </w:rPr>
              <w:t>/</w:t>
            </w:r>
            <w:r>
              <w:rPr>
                <w:rFonts w:hint="default" w:ascii="Times New Roman" w:hAnsi="Times New Roman" w:cs="Times New Roman"/>
                <w:color w:val="auto"/>
                <w:sz w:val="24"/>
                <w:szCs w:val="24"/>
                <w:highlight w:val="none"/>
              </w:rPr>
              <w:t>2322-20</w:t>
            </w:r>
            <w:r>
              <w:rPr>
                <w:rFonts w:hint="eastAsia" w:cs="Times New Roman"/>
                <w:color w:val="auto"/>
                <w:sz w:val="24"/>
                <w:szCs w:val="24"/>
                <w:highlight w:val="none"/>
                <w:lang w:val="en-US" w:eastAsia="zh-CN"/>
              </w:rPr>
              <w:t>25</w:t>
            </w:r>
            <w:r>
              <w:rPr>
                <w:rFonts w:hint="default" w:ascii="Times New Roman" w:hAnsi="Times New Roman" w:cs="Times New Roman"/>
                <w:color w:val="auto"/>
                <w:sz w:val="24"/>
                <w:szCs w:val="24"/>
                <w:highlight w:val="none"/>
              </w:rPr>
              <w:t>）表1</w:t>
            </w:r>
            <w:r>
              <w:rPr>
                <w:rFonts w:hint="eastAsia" w:cs="Times New Roman"/>
                <w:color w:val="auto"/>
                <w:sz w:val="24"/>
                <w:szCs w:val="24"/>
                <w:lang w:val="en-US" w:eastAsia="zh-CN"/>
              </w:rPr>
              <w:t>塑料制品制造行业</w:t>
            </w:r>
            <w:r>
              <w:rPr>
                <w:rFonts w:hint="default" w:ascii="Times New Roman" w:hAnsi="Times New Roman" w:cs="Times New Roman"/>
                <w:color w:val="auto"/>
                <w:sz w:val="24"/>
                <w:szCs w:val="24"/>
              </w:rPr>
              <w:t>排放限值</w:t>
            </w:r>
            <w:r>
              <w:rPr>
                <w:rFonts w:hint="eastAsia" w:cs="Times New Roman"/>
                <w:color w:val="auto"/>
                <w:sz w:val="24"/>
                <w:szCs w:val="24"/>
                <w:lang w:eastAsia="zh-CN"/>
              </w:rPr>
              <w:t>、《印刷工业挥发性有机物排放标准》（</w:t>
            </w:r>
            <w:r>
              <w:rPr>
                <w:rFonts w:hint="eastAsia" w:cs="Times New Roman"/>
                <w:color w:val="auto"/>
                <w:sz w:val="24"/>
                <w:szCs w:val="24"/>
                <w:lang w:val="en-US" w:eastAsia="zh-CN"/>
              </w:rPr>
              <w:t>DB13/6188-2025）表1中排放限值</w:t>
            </w:r>
            <w:r>
              <w:rPr>
                <w:rFonts w:hint="default" w:ascii="Times New Roman" w:hAnsi="Times New Roman" w:eastAsia="宋体" w:cs="Times New Roman"/>
                <w:bCs/>
                <w:color w:val="auto"/>
                <w:kern w:val="2"/>
                <w:sz w:val="24"/>
                <w:szCs w:val="24"/>
                <w:lang w:val="en-US" w:eastAsia="zh-CN" w:bidi="ar-SA"/>
              </w:rPr>
              <w:t>进行核定</w:t>
            </w:r>
            <w:r>
              <w:rPr>
                <w:rFonts w:hint="eastAsia" w:ascii="Times New Roman" w:hAnsi="Times New Roman" w:eastAsia="宋体" w:cs="Times New Roman"/>
                <w:kern w:val="0"/>
                <w:sz w:val="24"/>
                <w:szCs w:val="24"/>
                <w:highlight w:val="none"/>
                <w:lang w:eastAsia="zh-CN" w:bidi="en-US"/>
              </w:rPr>
              <w:t>（</w:t>
            </w:r>
            <w:r>
              <w:rPr>
                <w:rFonts w:hint="eastAsia" w:ascii="Times New Roman" w:hAnsi="Times New Roman" w:eastAsia="宋体" w:cs="Times New Roman"/>
                <w:sz w:val="24"/>
                <w:szCs w:val="24"/>
                <w:highlight w:val="none"/>
                <w:vertAlign w:val="baseline"/>
                <w:lang w:val="en-US" w:eastAsia="zh-CN"/>
              </w:rPr>
              <w:t>非甲烷总烃：</w:t>
            </w:r>
            <w:r>
              <w:rPr>
                <w:rFonts w:hint="eastAsia" w:cs="Times New Roman"/>
                <w:sz w:val="24"/>
                <w:szCs w:val="24"/>
                <w:highlight w:val="none"/>
                <w:vertAlign w:val="baseline"/>
                <w:lang w:val="en-US" w:eastAsia="zh-CN"/>
              </w:rPr>
              <w:t>3</w:t>
            </w:r>
            <w:r>
              <w:rPr>
                <w:rFonts w:hint="default" w:ascii="Times New Roman" w:hAnsi="Times New Roman" w:eastAsia="宋体" w:cs="Times New Roman"/>
                <w:sz w:val="24"/>
                <w:highlight w:val="none"/>
              </w:rPr>
              <w:t>0mg/m</w:t>
            </w:r>
            <w:r>
              <w:rPr>
                <w:rFonts w:hint="default" w:ascii="Times New Roman" w:hAnsi="Times New Roman" w:eastAsia="宋体" w:cs="Times New Roman"/>
                <w:sz w:val="24"/>
                <w:highlight w:val="none"/>
                <w:vertAlign w:val="superscript"/>
              </w:rPr>
              <w:t>3</w:t>
            </w:r>
            <w:r>
              <w:rPr>
                <w:rFonts w:hint="eastAsia" w:ascii="Times New Roman" w:hAnsi="Times New Roman" w:eastAsia="宋体" w:cs="Times New Roman"/>
                <w:kern w:val="0"/>
                <w:sz w:val="24"/>
                <w:highlight w:val="none"/>
                <w:lang w:eastAsia="zh-CN" w:bidi="en-US"/>
              </w:rPr>
              <w:t>）</w:t>
            </w:r>
            <w:r>
              <w:rPr>
                <w:rFonts w:hint="eastAsia" w:cs="Times New Roman"/>
                <w:kern w:val="2"/>
                <w:sz w:val="24"/>
                <w:szCs w:val="24"/>
                <w:highlight w:val="none"/>
                <w:lang w:val="en-US" w:eastAsia="zh-CN" w:bidi="ar-SA"/>
              </w:rPr>
              <w:t>。</w:t>
            </w:r>
            <w:r>
              <w:rPr>
                <w:rFonts w:hint="default" w:ascii="Times New Roman" w:hAnsi="Times New Roman" w:cs="Times New Roman"/>
                <w:color w:val="auto"/>
                <w:sz w:val="24"/>
              </w:rPr>
              <w:t>根据</w:t>
            </w:r>
            <w:r>
              <w:rPr>
                <w:rFonts w:hint="eastAsia" w:ascii="Times New Roman" w:hAnsi="Times New Roman" w:cs="Times New Roman"/>
                <w:color w:val="auto"/>
                <w:sz w:val="24"/>
                <w:lang w:eastAsia="zh-CN"/>
              </w:rPr>
              <w:t>天津</w:t>
            </w:r>
            <w:r>
              <w:rPr>
                <w:rFonts w:hint="eastAsia" w:cs="Times New Roman"/>
                <w:color w:val="auto"/>
                <w:sz w:val="24"/>
                <w:lang w:eastAsia="zh-CN"/>
              </w:rPr>
              <w:t>东海检测技术</w:t>
            </w:r>
            <w:r>
              <w:rPr>
                <w:rFonts w:hint="eastAsia" w:ascii="Times New Roman" w:hAnsi="Times New Roman" w:cs="Times New Roman"/>
                <w:color w:val="auto"/>
                <w:sz w:val="24"/>
                <w:lang w:eastAsia="zh-CN"/>
              </w:rPr>
              <w:t>有限公司</w:t>
            </w:r>
            <w:r>
              <w:rPr>
                <w:rFonts w:hint="eastAsia" w:ascii="Times New Roman" w:hAnsi="Times New Roman" w:cs="Times New Roman"/>
                <w:color w:val="auto"/>
                <w:sz w:val="24"/>
                <w:lang w:val="en-US" w:eastAsia="zh-CN"/>
              </w:rPr>
              <w:t>202</w:t>
            </w:r>
            <w:r>
              <w:rPr>
                <w:rFonts w:hint="eastAsia" w:cs="Times New Roman"/>
                <w:color w:val="auto"/>
                <w:sz w:val="24"/>
                <w:lang w:val="en-US" w:eastAsia="zh-CN"/>
              </w:rPr>
              <w:t>5</w:t>
            </w:r>
            <w:r>
              <w:rPr>
                <w:rFonts w:hint="eastAsia" w:ascii="Times New Roman" w:hAnsi="Times New Roman" w:cs="Times New Roman"/>
                <w:color w:val="auto"/>
                <w:sz w:val="24"/>
                <w:lang w:val="en-US" w:eastAsia="zh-CN"/>
              </w:rPr>
              <w:t>年11月</w:t>
            </w:r>
            <w:r>
              <w:rPr>
                <w:rFonts w:hint="eastAsia" w:cs="Times New Roman"/>
                <w:color w:val="auto"/>
                <w:sz w:val="24"/>
                <w:lang w:val="en-US" w:eastAsia="zh-CN"/>
              </w:rPr>
              <w:t>12</w:t>
            </w:r>
            <w:r>
              <w:rPr>
                <w:rFonts w:hint="eastAsia" w:ascii="Times New Roman" w:hAnsi="Times New Roman" w:cs="Times New Roman"/>
                <w:color w:val="auto"/>
                <w:sz w:val="24"/>
                <w:lang w:val="en-US" w:eastAsia="zh-CN"/>
              </w:rPr>
              <w:t>日</w:t>
            </w:r>
            <w:r>
              <w:rPr>
                <w:rFonts w:hint="default" w:ascii="Times New Roman" w:hAnsi="Times New Roman" w:cs="Times New Roman"/>
                <w:color w:val="auto"/>
                <w:sz w:val="24"/>
              </w:rPr>
              <w:t>出具的检测报告（报告编号：</w:t>
            </w:r>
            <w:r>
              <w:rPr>
                <w:rFonts w:hint="eastAsia" w:ascii="Times New Roman" w:hAnsi="Times New Roman" w:cs="Times New Roman"/>
                <w:color w:val="auto"/>
                <w:sz w:val="24"/>
                <w:lang w:val="en-US" w:eastAsia="zh-CN"/>
              </w:rPr>
              <w:t>津</w:t>
            </w:r>
            <w:r>
              <w:rPr>
                <w:rFonts w:hint="eastAsia" w:cs="Times New Roman"/>
                <w:color w:val="auto"/>
                <w:sz w:val="24"/>
                <w:lang w:val="en-US" w:eastAsia="zh-CN"/>
              </w:rPr>
              <w:t>东海</w:t>
            </w:r>
            <w:r>
              <w:rPr>
                <w:rFonts w:hint="eastAsia" w:ascii="Times New Roman" w:hAnsi="Times New Roman" w:cs="Times New Roman"/>
                <w:color w:val="auto"/>
                <w:sz w:val="24"/>
                <w:lang w:val="en-US" w:eastAsia="zh-CN"/>
              </w:rPr>
              <w:t>检</w:t>
            </w:r>
            <w:r>
              <w:rPr>
                <w:rFonts w:hint="eastAsia" w:cs="Times New Roman"/>
                <w:color w:val="auto"/>
                <w:sz w:val="24"/>
                <w:lang w:val="en-US" w:eastAsia="zh-CN"/>
              </w:rPr>
              <w:t>251015S-06</w:t>
            </w:r>
            <w:r>
              <w:rPr>
                <w:rFonts w:hint="eastAsia" w:ascii="Times New Roman" w:hAnsi="Times New Roman" w:cs="Times New Roman"/>
                <w:color w:val="auto"/>
                <w:sz w:val="24"/>
                <w:lang w:val="en-US" w:eastAsia="zh-CN"/>
              </w:rPr>
              <w:t>号</w:t>
            </w:r>
            <w:r>
              <w:rPr>
                <w:rFonts w:hint="default" w:ascii="Times New Roman" w:hAnsi="Times New Roman" w:cs="Times New Roman"/>
                <w:color w:val="auto"/>
                <w:sz w:val="24"/>
              </w:rPr>
              <w:t>）</w:t>
            </w:r>
            <w:r>
              <w:rPr>
                <w:rFonts w:hint="eastAsia" w:ascii="Times New Roman" w:hAnsi="Times New Roman" w:cs="Times New Roman"/>
                <w:color w:val="auto"/>
                <w:spacing w:val="-1"/>
                <w:sz w:val="24"/>
                <w:lang w:val="en-US" w:eastAsia="zh-CN"/>
              </w:rPr>
              <w:t>，</w:t>
            </w:r>
            <w:r>
              <w:rPr>
                <w:rFonts w:hint="eastAsia" w:ascii="Times New Roman" w:hAnsi="Times New Roman" w:eastAsia="宋体" w:cs="Times New Roman"/>
                <w:kern w:val="2"/>
                <w:sz w:val="24"/>
                <w:szCs w:val="24"/>
                <w:highlight w:val="none"/>
                <w:lang w:val="en-US" w:eastAsia="zh-CN" w:bidi="ar-SA"/>
              </w:rPr>
              <w:t>现有吹膜、印刷、复合工序净化设施出口DA001风机风量为</w:t>
            </w:r>
            <w:r>
              <w:rPr>
                <w:rFonts w:hint="eastAsia" w:cs="Times New Roman"/>
                <w:kern w:val="2"/>
                <w:sz w:val="24"/>
                <w:szCs w:val="24"/>
                <w:highlight w:val="none"/>
                <w:lang w:val="en-US" w:eastAsia="zh-CN" w:bidi="ar-SA"/>
              </w:rPr>
              <w:t>30439</w:t>
            </w:r>
            <w:r>
              <w:rPr>
                <w:rFonts w:hint="default" w:ascii="Times New Roman" w:hAnsi="Times New Roman" w:eastAsia="宋体" w:cs="Times New Roman"/>
                <w:sz w:val="24"/>
                <w:highlight w:val="none"/>
              </w:rPr>
              <w:t>m</w:t>
            </w:r>
            <w:r>
              <w:rPr>
                <w:rFonts w:hint="default" w:ascii="Times New Roman" w:hAnsi="Times New Roman" w:eastAsia="宋体" w:cs="Times New Roman"/>
                <w:sz w:val="24"/>
                <w:highlight w:val="none"/>
                <w:vertAlign w:val="superscript"/>
              </w:rPr>
              <w:t>3</w:t>
            </w:r>
            <w:r>
              <w:rPr>
                <w:rFonts w:hint="default" w:ascii="Times New Roman" w:hAnsi="Times New Roman" w:eastAsia="宋体" w:cs="Times New Roman"/>
                <w:sz w:val="24"/>
                <w:highlight w:val="none"/>
              </w:rPr>
              <w:t>/h</w:t>
            </w:r>
            <w:r>
              <w:rPr>
                <w:rFonts w:hint="eastAsia" w:ascii="Times New Roman" w:hAnsi="Times New Roman" w:eastAsia="宋体" w:cs="Times New Roman"/>
                <w:sz w:val="24"/>
                <w:highlight w:val="none"/>
                <w:lang w:eastAsia="zh-CN"/>
              </w:rPr>
              <w:t>，印刷、复合、固化工序净化设施出口</w:t>
            </w:r>
            <w:r>
              <w:rPr>
                <w:rFonts w:hint="eastAsia" w:ascii="Times New Roman" w:hAnsi="Times New Roman" w:eastAsia="宋体" w:cs="Times New Roman"/>
                <w:sz w:val="24"/>
                <w:highlight w:val="none"/>
                <w:lang w:val="en-US" w:eastAsia="zh-CN"/>
              </w:rPr>
              <w:t>DA002风机风量为</w:t>
            </w:r>
            <w:r>
              <w:rPr>
                <w:rFonts w:hint="eastAsia" w:cs="Times New Roman"/>
                <w:sz w:val="24"/>
                <w:highlight w:val="none"/>
                <w:lang w:val="en-US" w:eastAsia="zh-CN"/>
              </w:rPr>
              <w:t>26115</w:t>
            </w:r>
            <w:r>
              <w:rPr>
                <w:rFonts w:hint="default" w:ascii="Times New Roman" w:hAnsi="Times New Roman" w:eastAsia="宋体" w:cs="Times New Roman"/>
                <w:sz w:val="24"/>
                <w:highlight w:val="none"/>
              </w:rPr>
              <w:t>m</w:t>
            </w:r>
            <w:r>
              <w:rPr>
                <w:rFonts w:hint="default" w:ascii="Times New Roman" w:hAnsi="Times New Roman" w:eastAsia="宋体" w:cs="Times New Roman"/>
                <w:sz w:val="24"/>
                <w:highlight w:val="none"/>
                <w:vertAlign w:val="superscript"/>
              </w:rPr>
              <w:t>3</w:t>
            </w:r>
            <w:r>
              <w:rPr>
                <w:rFonts w:hint="default" w:ascii="Times New Roman" w:hAnsi="Times New Roman" w:eastAsia="宋体" w:cs="Times New Roman"/>
                <w:sz w:val="24"/>
                <w:highlight w:val="none"/>
              </w:rPr>
              <w:t>/h</w:t>
            </w:r>
            <w:r>
              <w:rPr>
                <w:rFonts w:hint="eastAsia" w:cs="Times New Roman"/>
                <w:sz w:val="24"/>
                <w:highlight w:val="none"/>
                <w:lang w:eastAsia="zh-CN"/>
              </w:rPr>
              <w:t>。现有</w:t>
            </w:r>
            <w:r>
              <w:rPr>
                <w:rFonts w:hint="eastAsia" w:cs="Times New Roman"/>
                <w:sz w:val="24"/>
                <w:highlight w:val="none"/>
                <w:lang w:val="en-US" w:eastAsia="zh-CN"/>
              </w:rPr>
              <w:t>DA001、DA002风机设计风量均为50000</w:t>
            </w:r>
            <w:r>
              <w:rPr>
                <w:rFonts w:hint="default" w:ascii="Times New Roman" w:hAnsi="Times New Roman" w:eastAsia="宋体" w:cs="Times New Roman"/>
                <w:sz w:val="24"/>
                <w:highlight w:val="none"/>
              </w:rPr>
              <w:t>m</w:t>
            </w:r>
            <w:r>
              <w:rPr>
                <w:rFonts w:hint="default" w:ascii="Times New Roman" w:hAnsi="Times New Roman" w:eastAsia="宋体" w:cs="Times New Roman"/>
                <w:sz w:val="24"/>
                <w:highlight w:val="none"/>
                <w:vertAlign w:val="superscript"/>
              </w:rPr>
              <w:t>3</w:t>
            </w:r>
            <w:r>
              <w:rPr>
                <w:rFonts w:hint="default" w:ascii="Times New Roman" w:hAnsi="Times New Roman" w:eastAsia="宋体" w:cs="Times New Roman"/>
                <w:sz w:val="24"/>
                <w:highlight w:val="none"/>
              </w:rPr>
              <w:t>/h</w:t>
            </w:r>
            <w:r>
              <w:rPr>
                <w:rFonts w:hint="eastAsia" w:cs="Times New Roman"/>
                <w:sz w:val="24"/>
                <w:highlight w:val="none"/>
                <w:lang w:eastAsia="zh-CN"/>
              </w:rPr>
              <w:t>，</w:t>
            </w:r>
            <w:r>
              <w:rPr>
                <w:rFonts w:hint="eastAsia" w:ascii="Times New Roman" w:hAnsi="Times New Roman" w:eastAsia="宋体" w:cs="Times New Roman"/>
                <w:sz w:val="24"/>
                <w:highlight w:val="none"/>
                <w:lang w:eastAsia="zh-CN"/>
              </w:rPr>
              <w:t>本项目新增洁净车间印刷、复合、固化工序净化设施出口</w:t>
            </w:r>
            <w:r>
              <w:rPr>
                <w:rFonts w:hint="eastAsia" w:ascii="Times New Roman" w:hAnsi="Times New Roman" w:eastAsia="宋体" w:cs="Times New Roman"/>
                <w:sz w:val="24"/>
                <w:highlight w:val="none"/>
                <w:lang w:val="en-US" w:eastAsia="zh-CN"/>
              </w:rPr>
              <w:t>DA003</w:t>
            </w:r>
            <w:r>
              <w:rPr>
                <w:rFonts w:hint="eastAsia" w:cs="Times New Roman"/>
                <w:sz w:val="24"/>
                <w:highlight w:val="none"/>
                <w:lang w:val="en-US" w:eastAsia="zh-CN"/>
              </w:rPr>
              <w:t>设计</w:t>
            </w:r>
            <w:r>
              <w:rPr>
                <w:rFonts w:hint="eastAsia" w:ascii="Times New Roman" w:hAnsi="Times New Roman" w:eastAsia="宋体" w:cs="Times New Roman"/>
                <w:sz w:val="24"/>
                <w:highlight w:val="none"/>
                <w:lang w:val="en-US" w:eastAsia="zh-CN"/>
              </w:rPr>
              <w:t>风机风量为9000</w:t>
            </w:r>
            <w:r>
              <w:rPr>
                <w:rFonts w:hint="default" w:ascii="Times New Roman" w:hAnsi="Times New Roman" w:eastAsia="宋体" w:cs="Times New Roman"/>
                <w:sz w:val="24"/>
                <w:highlight w:val="none"/>
              </w:rPr>
              <w:t>m</w:t>
            </w:r>
            <w:r>
              <w:rPr>
                <w:rFonts w:hint="default" w:ascii="Times New Roman" w:hAnsi="Times New Roman" w:eastAsia="宋体" w:cs="Times New Roman"/>
                <w:sz w:val="24"/>
                <w:highlight w:val="none"/>
                <w:vertAlign w:val="superscript"/>
              </w:rPr>
              <w:t>3</w:t>
            </w:r>
            <w:r>
              <w:rPr>
                <w:rFonts w:hint="default" w:ascii="Times New Roman" w:hAnsi="Times New Roman" w:eastAsia="宋体" w:cs="Times New Roman"/>
                <w:sz w:val="24"/>
                <w:highlight w:val="none"/>
              </w:rPr>
              <w:t>/h</w:t>
            </w:r>
            <w:r>
              <w:rPr>
                <w:rFonts w:hint="eastAsia" w:ascii="Times New Roman" w:hAnsi="Times New Roman" w:eastAsia="宋体" w:cs="Times New Roman"/>
                <w:sz w:val="24"/>
                <w:highlight w:val="none"/>
                <w:lang w:eastAsia="zh-CN"/>
              </w:rPr>
              <w:t>，</w:t>
            </w:r>
            <w:r>
              <w:rPr>
                <w:rFonts w:hint="eastAsia" w:ascii="Times New Roman" w:hAnsi="Times New Roman" w:eastAsia="宋体" w:cs="Times New Roman"/>
                <w:sz w:val="24"/>
                <w:highlight w:val="none"/>
                <w:lang w:val="en-US" w:eastAsia="zh-CN"/>
              </w:rPr>
              <w:t>年工作均为7200小时，</w:t>
            </w:r>
            <w:r>
              <w:rPr>
                <w:rFonts w:hint="default" w:ascii="Times New Roman" w:hAnsi="Times New Roman" w:eastAsia="宋体" w:cs="Times New Roman"/>
                <w:kern w:val="2"/>
                <w:sz w:val="24"/>
                <w:szCs w:val="24"/>
                <w:highlight w:val="none"/>
                <w:lang w:val="en-US" w:eastAsia="zh-CN" w:bidi="ar-SA"/>
              </w:rPr>
              <w:t>排放量</w:t>
            </w:r>
            <w:r>
              <w:rPr>
                <w:rFonts w:hint="eastAsia" w:ascii="Times New Roman" w:hAnsi="Times New Roman" w:eastAsia="宋体" w:cs="Times New Roman"/>
                <w:kern w:val="2"/>
                <w:sz w:val="24"/>
                <w:szCs w:val="24"/>
                <w:highlight w:val="none"/>
                <w:lang w:val="en-US" w:eastAsia="zh-CN" w:bidi="ar-SA"/>
              </w:rPr>
              <w:t>计算</w:t>
            </w:r>
            <w:r>
              <w:rPr>
                <w:rFonts w:hint="default" w:ascii="Times New Roman" w:hAnsi="Times New Roman" w:eastAsia="宋体" w:cs="Times New Roman"/>
                <w:kern w:val="2"/>
                <w:sz w:val="24"/>
                <w:szCs w:val="24"/>
                <w:highlight w:val="none"/>
                <w:lang w:val="en-US" w:eastAsia="zh-CN" w:bidi="ar-SA"/>
              </w:rPr>
              <w:t>如下：</w:t>
            </w:r>
          </w:p>
          <w:p w14:paraId="2FFEED7E">
            <w:pPr>
              <w:keepNext w:val="0"/>
              <w:keepLines w:val="0"/>
              <w:widowControl/>
              <w:numPr>
                <w:ilvl w:val="0"/>
                <w:numId w:val="0"/>
              </w:numPr>
              <w:suppressLineNumbers w:val="0"/>
              <w:spacing w:before="0" w:beforeAutospacing="0" w:after="0" w:afterAutospacing="0" w:line="360" w:lineRule="auto"/>
              <w:ind w:left="0" w:right="0" w:firstLine="480" w:firstLineChars="200"/>
              <w:rPr>
                <w:rFonts w:hint="eastAsia" w:ascii="宋体" w:hAnsi="宋体" w:eastAsia="宋体" w:cs="Times New Roman"/>
                <w:color w:val="auto"/>
                <w:sz w:val="24"/>
                <w:szCs w:val="24"/>
              </w:rPr>
            </w:pPr>
            <w:r>
              <w:rPr>
                <w:rFonts w:hint="default" w:ascii="Calibri" w:hAnsi="Calibri" w:eastAsia="宋体" w:cs="Calibri"/>
                <w:color w:val="auto"/>
                <w:sz w:val="24"/>
                <w:szCs w:val="24"/>
              </w:rPr>
              <w:t>①</w:t>
            </w:r>
            <w:r>
              <w:rPr>
                <w:rFonts w:hint="eastAsia" w:ascii="宋体" w:hAnsi="宋体" w:eastAsia="宋体" w:cs="Times New Roman"/>
                <w:color w:val="auto"/>
                <w:sz w:val="24"/>
                <w:szCs w:val="24"/>
              </w:rPr>
              <w:t>按排放标准核算总量</w:t>
            </w:r>
          </w:p>
          <w:p w14:paraId="5D09ACD7">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cs="Times New Roman"/>
                <w:b/>
                <w:szCs w:val="21"/>
              </w:rPr>
            </w:pPr>
            <w:r>
              <w:rPr>
                <w:rFonts w:hint="default" w:ascii="宋体" w:hAnsi="宋体" w:eastAsia="宋体" w:cs="Times New Roman"/>
                <w:color w:val="auto"/>
                <w:sz w:val="24"/>
                <w:szCs w:val="24"/>
              </w:rPr>
              <w:t>本项目排气筒</w:t>
            </w:r>
            <w:r>
              <w:rPr>
                <w:rFonts w:hint="default" w:ascii="Times New Roman" w:hAnsi="Times New Roman" w:eastAsia="宋体" w:cs="Times New Roman"/>
                <w:color w:val="auto"/>
                <w:sz w:val="24"/>
                <w:szCs w:val="24"/>
              </w:rPr>
              <w:t>DA00</w:t>
            </w:r>
            <w:r>
              <w:rPr>
                <w:rFonts w:hint="eastAsia" w:ascii="Times New Roman" w:hAnsi="Times New Roman" w:eastAsia="宋体" w:cs="Times New Roman"/>
                <w:color w:val="auto"/>
                <w:sz w:val="24"/>
                <w:szCs w:val="24"/>
                <w:lang w:val="en-US" w:eastAsia="zh-CN"/>
              </w:rPr>
              <w:t>1、DA002、DA003</w:t>
            </w:r>
            <w:r>
              <w:rPr>
                <w:rFonts w:hint="default" w:ascii="宋体" w:hAnsi="宋体" w:eastAsia="宋体" w:cs="Times New Roman"/>
                <w:color w:val="auto"/>
                <w:sz w:val="24"/>
                <w:szCs w:val="24"/>
              </w:rPr>
              <w:t>涉及总量控制因子为非甲烷总烃，</w:t>
            </w:r>
            <w:r>
              <w:rPr>
                <w:rFonts w:hint="eastAsia" w:ascii="宋体" w:hAnsi="宋体" w:cs="Times New Roman"/>
                <w:color w:val="auto"/>
                <w:sz w:val="24"/>
                <w:szCs w:val="24"/>
                <w:lang w:eastAsia="zh-CN"/>
              </w:rPr>
              <w:t>因非甲烷总烃排放浓度限值改变，现重新核算</w:t>
            </w:r>
            <w:r>
              <w:rPr>
                <w:rFonts w:hint="default" w:ascii="Times New Roman" w:hAnsi="Times New Roman" w:cs="Times New Roman"/>
                <w:color w:val="auto"/>
                <w:sz w:val="24"/>
                <w:szCs w:val="24"/>
                <w:lang w:val="en-US" w:eastAsia="zh-CN"/>
              </w:rPr>
              <w:t>DA001、DA002</w:t>
            </w:r>
            <w:r>
              <w:rPr>
                <w:rFonts w:hint="eastAsia" w:ascii="宋体" w:hAnsi="宋体" w:cs="Times New Roman"/>
                <w:color w:val="auto"/>
                <w:sz w:val="24"/>
                <w:szCs w:val="24"/>
                <w:lang w:eastAsia="zh-CN"/>
              </w:rPr>
              <w:t>标准浓度总量指标，</w:t>
            </w:r>
            <w:r>
              <w:rPr>
                <w:rFonts w:hint="default" w:ascii="Times New Roman" w:hAnsi="Times New Roman" w:cs="Times New Roman"/>
                <w:color w:val="auto"/>
                <w:sz w:val="24"/>
                <w:szCs w:val="24"/>
                <w:lang w:val="en-US" w:eastAsia="zh-CN"/>
              </w:rPr>
              <w:t>DA001、DA002</w:t>
            </w:r>
            <w:r>
              <w:rPr>
                <w:rFonts w:hint="eastAsia" w:ascii="宋体" w:hAnsi="宋体" w:cs="Times New Roman"/>
                <w:color w:val="auto"/>
                <w:sz w:val="24"/>
                <w:szCs w:val="24"/>
                <w:lang w:val="en-US" w:eastAsia="zh-CN"/>
              </w:rPr>
              <w:t>、</w:t>
            </w:r>
            <w:r>
              <w:rPr>
                <w:rFonts w:hint="default" w:ascii="Times New Roman" w:hAnsi="Times New Roman" w:cs="Times New Roman"/>
                <w:color w:val="auto"/>
                <w:sz w:val="24"/>
                <w:szCs w:val="24"/>
                <w:lang w:val="en-US" w:eastAsia="zh-CN"/>
              </w:rPr>
              <w:t>DA003</w:t>
            </w:r>
            <w:r>
              <w:rPr>
                <w:rFonts w:hint="default" w:ascii="宋体" w:hAnsi="宋体" w:eastAsia="宋体" w:cs="Times New Roman"/>
                <w:color w:val="auto"/>
                <w:sz w:val="24"/>
                <w:szCs w:val="24"/>
              </w:rPr>
              <w:t>废气污染物总量计算见下表。</w:t>
            </w:r>
          </w:p>
          <w:p w14:paraId="676B7EC2">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Autospacing="0" w:line="240" w:lineRule="auto"/>
              <w:ind w:left="0" w:right="0" w:firstLine="422" w:firstLineChars="200"/>
              <w:jc w:val="center"/>
              <w:textAlignment w:val="auto"/>
              <w:rPr>
                <w:rFonts w:hint="eastAsia" w:ascii="Times New Roman" w:hAnsi="Times New Roman" w:eastAsia="宋体" w:cs="Times New Roman"/>
                <w:b/>
                <w:bCs/>
                <w:color w:val="000000"/>
                <w:kern w:val="0"/>
                <w:sz w:val="21"/>
                <w:szCs w:val="21"/>
                <w:lang w:val="en-US" w:eastAsia="zh-CN" w:bidi="ar-SA"/>
              </w:rPr>
            </w:pPr>
            <w:r>
              <w:rPr>
                <w:rFonts w:hint="eastAsia" w:ascii="Times New Roman" w:hAnsi="Times New Roman" w:eastAsia="宋体" w:cs="Times New Roman"/>
                <w:b/>
                <w:bCs/>
                <w:color w:val="000000"/>
                <w:kern w:val="0"/>
                <w:sz w:val="21"/>
                <w:szCs w:val="21"/>
                <w:lang w:val="en-US" w:eastAsia="zh-CN" w:bidi="ar-SA"/>
              </w:rPr>
              <w:t>项目废气污染物排放总量指标表（标准）</w:t>
            </w:r>
          </w:p>
          <w:tbl>
            <w:tblPr>
              <w:tblStyle w:val="39"/>
              <w:tblW w:w="83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10"/>
              <w:gridCol w:w="1548"/>
              <w:gridCol w:w="1329"/>
              <w:gridCol w:w="1329"/>
              <w:gridCol w:w="1329"/>
              <w:gridCol w:w="1674"/>
            </w:tblGrid>
            <w:tr w14:paraId="4B8C06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trPr>
              <w:tc>
                <w:tcPr>
                  <w:tcW w:w="2658" w:type="dxa"/>
                  <w:gridSpan w:val="2"/>
                  <w:noWrap w:val="0"/>
                  <w:vAlign w:val="center"/>
                </w:tcPr>
                <w:p w14:paraId="44D23554">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beforeAutospacing="0" w:after="157" w:afterLines="50" w:afterAutospacing="0" w:line="240" w:lineRule="auto"/>
                    <w:ind w:left="0" w:right="0"/>
                    <w:jc w:val="center"/>
                    <w:textAlignment w:val="auto"/>
                    <w:rPr>
                      <w:rFonts w:hint="eastAsia" w:ascii="Times New Roman" w:hAnsi="Times New Roman" w:eastAsia="宋体" w:cs="宋体"/>
                      <w:color w:val="auto"/>
                      <w:sz w:val="21"/>
                      <w:szCs w:val="21"/>
                      <w:vertAlign w:val="baseline"/>
                      <w:lang w:val="en-US" w:eastAsia="zh-CN"/>
                    </w:rPr>
                  </w:pPr>
                  <w:r>
                    <w:rPr>
                      <w:rFonts w:hint="eastAsia" w:ascii="Times New Roman" w:hAnsi="Times New Roman" w:eastAsia="宋体" w:cs="宋体"/>
                      <w:color w:val="auto"/>
                      <w:sz w:val="21"/>
                      <w:szCs w:val="21"/>
                      <w:vertAlign w:val="baseline"/>
                      <w:lang w:val="en-US" w:eastAsia="zh-CN"/>
                    </w:rPr>
                    <w:t>项目</w:t>
                  </w:r>
                </w:p>
              </w:tc>
              <w:tc>
                <w:tcPr>
                  <w:tcW w:w="1329" w:type="dxa"/>
                  <w:noWrap w:val="0"/>
                  <w:vAlign w:val="center"/>
                </w:tcPr>
                <w:p w14:paraId="162F3A1E">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beforeAutospacing="0" w:after="157" w:afterLines="50" w:afterAutospacing="0" w:line="240" w:lineRule="auto"/>
                    <w:ind w:left="0" w:right="0"/>
                    <w:jc w:val="center"/>
                    <w:textAlignment w:val="auto"/>
                    <w:rPr>
                      <w:rFonts w:hint="eastAsia" w:ascii="Times New Roman" w:hAnsi="Times New Roman" w:eastAsia="宋体" w:cs="宋体"/>
                      <w:color w:val="auto"/>
                      <w:sz w:val="21"/>
                      <w:szCs w:val="21"/>
                      <w:vertAlign w:val="baseline"/>
                      <w:lang w:val="en-US" w:eastAsia="zh-CN"/>
                    </w:rPr>
                  </w:pPr>
                  <w:r>
                    <w:rPr>
                      <w:rFonts w:hint="eastAsia" w:ascii="Times New Roman" w:hAnsi="Times New Roman" w:eastAsia="宋体" w:cs="宋体"/>
                      <w:color w:val="auto"/>
                      <w:sz w:val="21"/>
                      <w:szCs w:val="21"/>
                      <w:vertAlign w:val="baseline"/>
                      <w:lang w:val="en-US" w:eastAsia="zh-CN"/>
                    </w:rPr>
                    <w:t>排气筒</w:t>
                  </w:r>
                </w:p>
              </w:tc>
              <w:tc>
                <w:tcPr>
                  <w:tcW w:w="1329" w:type="dxa"/>
                  <w:noWrap w:val="0"/>
                  <w:vAlign w:val="center"/>
                </w:tcPr>
                <w:p w14:paraId="232C0AC8">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beforeAutospacing="0" w:after="157" w:afterLines="50" w:afterAutospacing="0" w:line="240" w:lineRule="auto"/>
                    <w:ind w:left="0" w:right="0"/>
                    <w:jc w:val="center"/>
                    <w:textAlignment w:val="auto"/>
                    <w:rPr>
                      <w:rFonts w:hint="eastAsia" w:ascii="Times New Roman" w:hAnsi="Times New Roman" w:eastAsia="宋体" w:cs="宋体"/>
                      <w:color w:val="auto"/>
                      <w:sz w:val="21"/>
                      <w:szCs w:val="21"/>
                      <w:vertAlign w:val="baseline"/>
                      <w:lang w:val="en-US" w:eastAsia="zh-CN"/>
                    </w:rPr>
                  </w:pPr>
                  <w:r>
                    <w:rPr>
                      <w:rFonts w:hint="eastAsia" w:ascii="Times New Roman" w:hAnsi="Times New Roman" w:eastAsia="宋体" w:cs="宋体"/>
                      <w:color w:val="auto"/>
                      <w:sz w:val="21"/>
                      <w:szCs w:val="21"/>
                      <w:vertAlign w:val="baseline"/>
                      <w:lang w:val="en-US" w:eastAsia="zh-CN"/>
                    </w:rPr>
                    <w:t>污染物排放浓度</w:t>
                  </w:r>
                  <w:r>
                    <w:rPr>
                      <w:rFonts w:hint="eastAsia" w:ascii="Times New Roman" w:hAnsi="Times New Roman" w:eastAsia="宋体" w:cs="宋体"/>
                      <w:color w:val="auto"/>
                      <w:kern w:val="0"/>
                      <w:sz w:val="21"/>
                      <w:szCs w:val="21"/>
                    </w:rPr>
                    <w:t>（</w:t>
                  </w:r>
                  <w:r>
                    <w:rPr>
                      <w:rFonts w:hint="default" w:ascii="Times New Roman" w:hAnsi="Times New Roman" w:eastAsia="宋体" w:cs="Times New Roman"/>
                      <w:color w:val="auto"/>
                      <w:kern w:val="0"/>
                      <w:sz w:val="21"/>
                      <w:szCs w:val="21"/>
                    </w:rPr>
                    <w:t>mg/m</w:t>
                  </w:r>
                  <w:r>
                    <w:rPr>
                      <w:rFonts w:hint="default" w:ascii="Times New Roman" w:hAnsi="Times New Roman" w:eastAsia="宋体" w:cs="Times New Roman"/>
                      <w:color w:val="auto"/>
                      <w:kern w:val="0"/>
                      <w:sz w:val="21"/>
                      <w:szCs w:val="21"/>
                      <w:vertAlign w:val="superscript"/>
                    </w:rPr>
                    <w:t>3</w:t>
                  </w:r>
                  <w:r>
                    <w:rPr>
                      <w:rFonts w:hint="eastAsia" w:ascii="Times New Roman" w:hAnsi="Times New Roman" w:eastAsia="宋体" w:cs="宋体"/>
                      <w:color w:val="auto"/>
                      <w:kern w:val="0"/>
                      <w:sz w:val="21"/>
                      <w:szCs w:val="21"/>
                    </w:rPr>
                    <w:t>）</w:t>
                  </w:r>
                </w:p>
              </w:tc>
              <w:tc>
                <w:tcPr>
                  <w:tcW w:w="1329" w:type="dxa"/>
                  <w:noWrap w:val="0"/>
                  <w:vAlign w:val="center"/>
                </w:tcPr>
                <w:p w14:paraId="2199EC12">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beforeAutospacing="0" w:after="157" w:afterLines="50" w:afterAutospacing="0" w:line="240" w:lineRule="auto"/>
                    <w:ind w:left="0" w:right="0"/>
                    <w:jc w:val="center"/>
                    <w:textAlignment w:val="auto"/>
                    <w:rPr>
                      <w:rFonts w:hint="eastAsia" w:ascii="Times New Roman" w:hAnsi="Times New Roman" w:eastAsia="宋体" w:cs="宋体"/>
                      <w:color w:val="auto"/>
                      <w:sz w:val="21"/>
                      <w:szCs w:val="21"/>
                      <w:vertAlign w:val="baseline"/>
                      <w:lang w:val="en-US" w:eastAsia="zh-CN"/>
                    </w:rPr>
                  </w:pPr>
                  <w:r>
                    <w:rPr>
                      <w:rFonts w:hint="eastAsia" w:ascii="Times New Roman" w:hAnsi="Times New Roman" w:eastAsia="宋体" w:cs="宋体"/>
                      <w:color w:val="auto"/>
                      <w:kern w:val="0"/>
                      <w:sz w:val="21"/>
                      <w:szCs w:val="21"/>
                    </w:rPr>
                    <w:t>废气量（万</w:t>
                  </w:r>
                  <w:r>
                    <w:rPr>
                      <w:rFonts w:hint="default" w:ascii="Times New Roman" w:hAnsi="Times New Roman" w:eastAsia="宋体" w:cs="Times New Roman"/>
                      <w:color w:val="auto"/>
                      <w:kern w:val="0"/>
                      <w:sz w:val="21"/>
                      <w:szCs w:val="21"/>
                    </w:rPr>
                    <w:t>m</w:t>
                  </w:r>
                  <w:r>
                    <w:rPr>
                      <w:rFonts w:hint="default" w:ascii="Times New Roman" w:hAnsi="Times New Roman" w:eastAsia="宋体" w:cs="Times New Roman"/>
                      <w:color w:val="auto"/>
                      <w:kern w:val="0"/>
                      <w:sz w:val="21"/>
                      <w:szCs w:val="21"/>
                      <w:vertAlign w:val="superscript"/>
                    </w:rPr>
                    <w:t>3</w:t>
                  </w:r>
                  <w:r>
                    <w:rPr>
                      <w:rFonts w:hint="default" w:ascii="Times New Roman" w:hAnsi="Times New Roman" w:eastAsia="宋体" w:cs="Times New Roman"/>
                      <w:color w:val="auto"/>
                      <w:kern w:val="0"/>
                      <w:sz w:val="21"/>
                      <w:szCs w:val="21"/>
                    </w:rPr>
                    <w:t>/a</w:t>
                  </w:r>
                  <w:r>
                    <w:rPr>
                      <w:rFonts w:hint="eastAsia" w:ascii="Times New Roman" w:hAnsi="Times New Roman" w:eastAsia="宋体" w:cs="宋体"/>
                      <w:color w:val="auto"/>
                      <w:kern w:val="0"/>
                      <w:sz w:val="21"/>
                      <w:szCs w:val="21"/>
                    </w:rPr>
                    <w:t>）</w:t>
                  </w:r>
                </w:p>
              </w:tc>
              <w:tc>
                <w:tcPr>
                  <w:tcW w:w="1674" w:type="dxa"/>
                  <w:noWrap w:val="0"/>
                  <w:vAlign w:val="center"/>
                </w:tcPr>
                <w:p w14:paraId="3A1AC9AB">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beforeAutospacing="0" w:after="157" w:afterLines="50" w:afterAutospacing="0" w:line="240" w:lineRule="auto"/>
                    <w:ind w:left="0" w:right="0"/>
                    <w:jc w:val="center"/>
                    <w:textAlignment w:val="auto"/>
                    <w:rPr>
                      <w:rFonts w:hint="eastAsia" w:ascii="Times New Roman" w:hAnsi="Times New Roman" w:eastAsia="宋体" w:cs="宋体"/>
                      <w:color w:val="auto"/>
                      <w:sz w:val="21"/>
                      <w:szCs w:val="21"/>
                      <w:vertAlign w:val="baseline"/>
                      <w:lang w:val="en-US" w:eastAsia="zh-CN"/>
                    </w:rPr>
                  </w:pPr>
                  <w:r>
                    <w:rPr>
                      <w:rFonts w:hint="eastAsia" w:ascii="Times New Roman" w:hAnsi="Times New Roman" w:eastAsia="宋体" w:cs="宋体"/>
                      <w:color w:val="auto"/>
                      <w:kern w:val="0"/>
                      <w:sz w:val="21"/>
                      <w:szCs w:val="21"/>
                    </w:rPr>
                    <w:t>总量控制指标（</w:t>
                  </w:r>
                  <w:r>
                    <w:rPr>
                      <w:rFonts w:hint="default" w:ascii="Times New Roman" w:hAnsi="Times New Roman" w:eastAsia="宋体" w:cs="Times New Roman"/>
                      <w:color w:val="auto"/>
                      <w:kern w:val="0"/>
                      <w:sz w:val="21"/>
                      <w:szCs w:val="21"/>
                    </w:rPr>
                    <w:t>t/a</w:t>
                  </w:r>
                  <w:r>
                    <w:rPr>
                      <w:rFonts w:hint="eastAsia" w:ascii="Times New Roman" w:hAnsi="Times New Roman" w:eastAsia="宋体" w:cs="宋体"/>
                      <w:color w:val="auto"/>
                      <w:kern w:val="0"/>
                      <w:sz w:val="21"/>
                      <w:szCs w:val="21"/>
                    </w:rPr>
                    <w:t>）</w:t>
                  </w:r>
                </w:p>
              </w:tc>
            </w:tr>
            <w:tr w14:paraId="50235D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110" w:type="dxa"/>
                  <w:vMerge w:val="restart"/>
                  <w:noWrap w:val="0"/>
                  <w:vAlign w:val="center"/>
                </w:tcPr>
                <w:p w14:paraId="30C03894">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beforeAutospacing="0" w:after="157" w:afterLines="50" w:afterAutospacing="0" w:line="240" w:lineRule="auto"/>
                    <w:ind w:left="0" w:right="0"/>
                    <w:jc w:val="center"/>
                    <w:textAlignment w:val="auto"/>
                    <w:rPr>
                      <w:rFonts w:hint="eastAsia" w:ascii="Times New Roman" w:hAnsi="Times New Roman" w:eastAsia="宋体" w:cs="宋体"/>
                      <w:color w:val="auto"/>
                      <w:sz w:val="21"/>
                      <w:szCs w:val="21"/>
                      <w:highlight w:val="none"/>
                      <w:vertAlign w:val="baseline"/>
                      <w:lang w:val="en-US" w:eastAsia="zh-CN"/>
                    </w:rPr>
                  </w:pPr>
                  <w:r>
                    <w:rPr>
                      <w:rFonts w:hint="eastAsia" w:ascii="Times New Roman" w:hAnsi="Times New Roman" w:eastAsia="宋体" w:cs="宋体"/>
                      <w:color w:val="auto"/>
                      <w:sz w:val="21"/>
                      <w:szCs w:val="21"/>
                      <w:highlight w:val="none"/>
                      <w:vertAlign w:val="baseline"/>
                      <w:lang w:val="en-US" w:eastAsia="zh-CN"/>
                    </w:rPr>
                    <w:t>总量控制因子</w:t>
                  </w:r>
                </w:p>
              </w:tc>
              <w:tc>
                <w:tcPr>
                  <w:tcW w:w="1548" w:type="dxa"/>
                  <w:shd w:val="clear" w:color="auto" w:fill="auto"/>
                  <w:noWrap w:val="0"/>
                  <w:vAlign w:val="center"/>
                </w:tcPr>
                <w:p w14:paraId="5A43D924">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beforeAutospacing="0" w:after="157" w:afterLines="50" w:afterAutospacing="0" w:line="240" w:lineRule="auto"/>
                    <w:ind w:left="0" w:leftChars="0" w:right="0" w:rightChars="0" w:firstLine="0" w:firstLineChars="0"/>
                    <w:jc w:val="center"/>
                    <w:textAlignment w:val="auto"/>
                    <w:rPr>
                      <w:rFonts w:hint="eastAsia" w:ascii="Times New Roman" w:hAnsi="Times New Roman" w:eastAsia="宋体" w:cs="宋体"/>
                      <w:color w:val="auto"/>
                      <w:kern w:val="2"/>
                      <w:sz w:val="21"/>
                      <w:szCs w:val="21"/>
                      <w:highlight w:val="none"/>
                      <w:vertAlign w:val="baseline"/>
                      <w:lang w:val="en-US" w:eastAsia="zh-CN" w:bidi="ar-SA"/>
                    </w:rPr>
                  </w:pPr>
                  <w:r>
                    <w:rPr>
                      <w:rFonts w:hint="eastAsia" w:ascii="Times New Roman" w:hAnsi="Times New Roman" w:eastAsia="宋体" w:cs="宋体"/>
                      <w:color w:val="auto"/>
                      <w:sz w:val="21"/>
                      <w:szCs w:val="21"/>
                      <w:highlight w:val="none"/>
                      <w:vertAlign w:val="baseline"/>
                      <w:lang w:val="en-US" w:eastAsia="zh-CN"/>
                    </w:rPr>
                    <w:t>非甲烷总烃</w:t>
                  </w:r>
                </w:p>
              </w:tc>
              <w:tc>
                <w:tcPr>
                  <w:tcW w:w="1329" w:type="dxa"/>
                  <w:shd w:val="clear" w:color="auto" w:fill="auto"/>
                  <w:noWrap w:val="0"/>
                  <w:vAlign w:val="center"/>
                </w:tcPr>
                <w:p w14:paraId="4824E4AA">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beforeAutospacing="0" w:after="157" w:afterLines="50" w:afterAutospacing="0" w:line="240" w:lineRule="auto"/>
                    <w:ind w:left="0" w:leftChars="0" w:right="0" w:rightChars="0" w:firstLine="0" w:firstLineChars="0"/>
                    <w:jc w:val="center"/>
                    <w:textAlignment w:val="auto"/>
                    <w:rPr>
                      <w:rFonts w:hint="eastAsia" w:ascii="Times New Roman" w:hAnsi="Times New Roman" w:eastAsia="宋体" w:cs="宋体"/>
                      <w:color w:val="auto"/>
                      <w:kern w:val="2"/>
                      <w:sz w:val="21"/>
                      <w:szCs w:val="21"/>
                      <w:highlight w:val="none"/>
                      <w:vertAlign w:val="baseline"/>
                      <w:lang w:val="en-US" w:eastAsia="zh-CN" w:bidi="ar-SA"/>
                    </w:rPr>
                  </w:pPr>
                  <w:r>
                    <w:rPr>
                      <w:rFonts w:hint="eastAsia" w:ascii="Times New Roman" w:hAnsi="Times New Roman" w:eastAsia="宋体" w:cs="宋体"/>
                      <w:color w:val="auto"/>
                      <w:kern w:val="0"/>
                      <w:sz w:val="21"/>
                      <w:szCs w:val="21"/>
                      <w:highlight w:val="none"/>
                    </w:rPr>
                    <w:t>DA00</w:t>
                  </w:r>
                  <w:r>
                    <w:rPr>
                      <w:rFonts w:hint="eastAsia" w:cs="宋体"/>
                      <w:color w:val="auto"/>
                      <w:kern w:val="0"/>
                      <w:sz w:val="21"/>
                      <w:szCs w:val="21"/>
                      <w:highlight w:val="none"/>
                      <w:lang w:val="en-US" w:eastAsia="zh-CN"/>
                    </w:rPr>
                    <w:t>1</w:t>
                  </w:r>
                </w:p>
              </w:tc>
              <w:tc>
                <w:tcPr>
                  <w:tcW w:w="1329" w:type="dxa"/>
                  <w:noWrap w:val="0"/>
                  <w:vAlign w:val="center"/>
                </w:tcPr>
                <w:p w14:paraId="2A34099E">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beforeAutospacing="0" w:after="157" w:afterLines="50" w:afterAutospacing="0" w:line="240" w:lineRule="auto"/>
                    <w:ind w:left="0" w:right="0"/>
                    <w:jc w:val="center"/>
                    <w:textAlignment w:val="auto"/>
                    <w:rPr>
                      <w:rFonts w:hint="default" w:cs="宋体"/>
                      <w:color w:val="auto"/>
                      <w:sz w:val="21"/>
                      <w:szCs w:val="21"/>
                      <w:highlight w:val="none"/>
                      <w:vertAlign w:val="baseline"/>
                      <w:lang w:val="en-US" w:eastAsia="zh-CN"/>
                    </w:rPr>
                  </w:pPr>
                  <w:r>
                    <w:rPr>
                      <w:rFonts w:hint="eastAsia" w:cs="宋体"/>
                      <w:color w:val="auto"/>
                      <w:sz w:val="21"/>
                      <w:szCs w:val="21"/>
                      <w:highlight w:val="none"/>
                      <w:vertAlign w:val="baseline"/>
                      <w:lang w:val="en-US" w:eastAsia="zh-CN"/>
                    </w:rPr>
                    <w:t>30</w:t>
                  </w:r>
                </w:p>
              </w:tc>
              <w:tc>
                <w:tcPr>
                  <w:tcW w:w="1329" w:type="dxa"/>
                  <w:noWrap w:val="0"/>
                  <w:vAlign w:val="center"/>
                </w:tcPr>
                <w:p w14:paraId="78515A54">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beforeAutospacing="0" w:after="157" w:afterLines="50" w:afterAutospacing="0" w:line="240" w:lineRule="auto"/>
                    <w:ind w:left="0" w:right="0"/>
                    <w:jc w:val="center"/>
                    <w:textAlignment w:val="auto"/>
                    <w:rPr>
                      <w:rFonts w:hint="default" w:ascii="Times New Roman" w:hAnsi="Times New Roman" w:eastAsia="宋体" w:cs="宋体"/>
                      <w:color w:val="auto"/>
                      <w:sz w:val="21"/>
                      <w:szCs w:val="21"/>
                      <w:highlight w:val="none"/>
                      <w:vertAlign w:val="baseline"/>
                      <w:lang w:val="en-US" w:eastAsia="zh-CN"/>
                    </w:rPr>
                  </w:pPr>
                  <w:r>
                    <w:rPr>
                      <w:rFonts w:hint="eastAsia" w:cs="宋体"/>
                      <w:color w:val="auto"/>
                      <w:sz w:val="21"/>
                      <w:szCs w:val="21"/>
                      <w:highlight w:val="none"/>
                      <w:vertAlign w:val="baseline"/>
                      <w:lang w:val="en-US" w:eastAsia="zh-CN"/>
                    </w:rPr>
                    <w:t>36000</w:t>
                  </w:r>
                </w:p>
              </w:tc>
              <w:tc>
                <w:tcPr>
                  <w:tcW w:w="1674" w:type="dxa"/>
                  <w:noWrap w:val="0"/>
                  <w:vAlign w:val="center"/>
                </w:tcPr>
                <w:p w14:paraId="73BEC4F5">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beforeAutospacing="0" w:after="157" w:afterLines="50" w:afterAutospacing="0" w:line="240" w:lineRule="auto"/>
                    <w:ind w:left="0" w:right="0"/>
                    <w:jc w:val="center"/>
                    <w:textAlignment w:val="auto"/>
                    <w:rPr>
                      <w:rFonts w:hint="default" w:cs="宋体"/>
                      <w:color w:val="auto"/>
                      <w:sz w:val="21"/>
                      <w:szCs w:val="21"/>
                      <w:highlight w:val="none"/>
                      <w:vertAlign w:val="baseline"/>
                      <w:lang w:val="en-US" w:eastAsia="zh-CN"/>
                    </w:rPr>
                  </w:pPr>
                  <w:r>
                    <w:rPr>
                      <w:rFonts w:hint="eastAsia" w:cs="宋体"/>
                      <w:color w:val="auto"/>
                      <w:sz w:val="21"/>
                      <w:szCs w:val="21"/>
                      <w:highlight w:val="none"/>
                      <w:vertAlign w:val="baseline"/>
                      <w:lang w:val="en-US" w:eastAsia="zh-CN"/>
                    </w:rPr>
                    <w:t>10.8</w:t>
                  </w:r>
                </w:p>
              </w:tc>
            </w:tr>
            <w:tr w14:paraId="036FA5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110" w:type="dxa"/>
                  <w:vMerge w:val="continue"/>
                  <w:noWrap w:val="0"/>
                  <w:vAlign w:val="center"/>
                </w:tcPr>
                <w:p w14:paraId="551A5730">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beforeAutospacing="0" w:after="157" w:afterLines="50" w:afterAutospacing="0" w:line="240" w:lineRule="auto"/>
                    <w:ind w:left="0" w:right="0"/>
                    <w:jc w:val="center"/>
                    <w:textAlignment w:val="auto"/>
                    <w:rPr>
                      <w:rFonts w:hint="eastAsia" w:ascii="Times New Roman" w:hAnsi="Times New Roman" w:eastAsia="宋体" w:cs="宋体"/>
                      <w:color w:val="auto"/>
                      <w:sz w:val="21"/>
                      <w:szCs w:val="21"/>
                      <w:highlight w:val="none"/>
                      <w:vertAlign w:val="baseline"/>
                      <w:lang w:val="en-US" w:eastAsia="zh-CN"/>
                    </w:rPr>
                  </w:pPr>
                </w:p>
              </w:tc>
              <w:tc>
                <w:tcPr>
                  <w:tcW w:w="1548" w:type="dxa"/>
                  <w:shd w:val="clear" w:color="auto" w:fill="auto"/>
                  <w:noWrap w:val="0"/>
                  <w:vAlign w:val="center"/>
                </w:tcPr>
                <w:p w14:paraId="42C44D12">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beforeAutospacing="0" w:after="157" w:afterLines="50" w:afterAutospacing="0" w:line="240" w:lineRule="auto"/>
                    <w:ind w:left="0" w:leftChars="0" w:right="0" w:rightChars="0" w:firstLine="0" w:firstLineChars="0"/>
                    <w:jc w:val="center"/>
                    <w:textAlignment w:val="auto"/>
                    <w:rPr>
                      <w:rFonts w:hint="eastAsia" w:ascii="Times New Roman" w:hAnsi="Times New Roman" w:eastAsia="宋体" w:cs="宋体"/>
                      <w:color w:val="auto"/>
                      <w:kern w:val="2"/>
                      <w:sz w:val="21"/>
                      <w:szCs w:val="21"/>
                      <w:highlight w:val="none"/>
                      <w:vertAlign w:val="baseline"/>
                      <w:lang w:val="en-US" w:eastAsia="zh-CN" w:bidi="ar-SA"/>
                    </w:rPr>
                  </w:pPr>
                  <w:r>
                    <w:rPr>
                      <w:rFonts w:hint="eastAsia" w:ascii="Times New Roman" w:hAnsi="Times New Roman" w:eastAsia="宋体" w:cs="宋体"/>
                      <w:color w:val="auto"/>
                      <w:sz w:val="21"/>
                      <w:szCs w:val="21"/>
                      <w:highlight w:val="none"/>
                      <w:vertAlign w:val="baseline"/>
                      <w:lang w:val="en-US" w:eastAsia="zh-CN"/>
                    </w:rPr>
                    <w:t>非甲烷总烃</w:t>
                  </w:r>
                </w:p>
              </w:tc>
              <w:tc>
                <w:tcPr>
                  <w:tcW w:w="1329" w:type="dxa"/>
                  <w:shd w:val="clear" w:color="auto" w:fill="auto"/>
                  <w:noWrap w:val="0"/>
                  <w:vAlign w:val="center"/>
                </w:tcPr>
                <w:p w14:paraId="4A3511F3">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beforeAutospacing="0" w:after="157" w:afterLines="50" w:afterAutospacing="0" w:line="240" w:lineRule="auto"/>
                    <w:ind w:left="0" w:leftChars="0" w:right="0" w:rightChars="0" w:firstLine="0" w:firstLineChars="0"/>
                    <w:jc w:val="center"/>
                    <w:textAlignment w:val="auto"/>
                    <w:rPr>
                      <w:rFonts w:hint="eastAsia" w:ascii="Times New Roman" w:hAnsi="Times New Roman" w:eastAsia="宋体" w:cs="宋体"/>
                      <w:color w:val="auto"/>
                      <w:kern w:val="2"/>
                      <w:sz w:val="21"/>
                      <w:szCs w:val="21"/>
                      <w:highlight w:val="none"/>
                      <w:vertAlign w:val="baseline"/>
                      <w:lang w:val="en-US" w:eastAsia="zh-CN" w:bidi="ar-SA"/>
                    </w:rPr>
                  </w:pPr>
                  <w:r>
                    <w:rPr>
                      <w:rFonts w:hint="eastAsia" w:ascii="Times New Roman" w:hAnsi="Times New Roman" w:eastAsia="宋体" w:cs="宋体"/>
                      <w:color w:val="auto"/>
                      <w:kern w:val="0"/>
                      <w:sz w:val="21"/>
                      <w:szCs w:val="21"/>
                      <w:highlight w:val="none"/>
                    </w:rPr>
                    <w:t>DA00</w:t>
                  </w:r>
                  <w:r>
                    <w:rPr>
                      <w:rFonts w:hint="eastAsia" w:cs="宋体"/>
                      <w:color w:val="auto"/>
                      <w:kern w:val="0"/>
                      <w:sz w:val="21"/>
                      <w:szCs w:val="21"/>
                      <w:highlight w:val="none"/>
                      <w:lang w:val="en-US" w:eastAsia="zh-CN"/>
                    </w:rPr>
                    <w:t>2</w:t>
                  </w:r>
                </w:p>
              </w:tc>
              <w:tc>
                <w:tcPr>
                  <w:tcW w:w="1329" w:type="dxa"/>
                  <w:noWrap w:val="0"/>
                  <w:vAlign w:val="center"/>
                </w:tcPr>
                <w:p w14:paraId="6C1E536D">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beforeAutospacing="0" w:after="157" w:afterLines="50" w:afterAutospacing="0" w:line="240" w:lineRule="auto"/>
                    <w:ind w:left="0" w:right="0"/>
                    <w:jc w:val="center"/>
                    <w:textAlignment w:val="auto"/>
                    <w:rPr>
                      <w:rFonts w:hint="default" w:cs="宋体"/>
                      <w:color w:val="auto"/>
                      <w:sz w:val="21"/>
                      <w:szCs w:val="21"/>
                      <w:highlight w:val="none"/>
                      <w:vertAlign w:val="baseline"/>
                      <w:lang w:val="en-US" w:eastAsia="zh-CN"/>
                    </w:rPr>
                  </w:pPr>
                  <w:r>
                    <w:rPr>
                      <w:rFonts w:hint="eastAsia" w:cs="宋体"/>
                      <w:color w:val="auto"/>
                      <w:sz w:val="21"/>
                      <w:szCs w:val="21"/>
                      <w:highlight w:val="none"/>
                      <w:vertAlign w:val="baseline"/>
                      <w:lang w:val="en-US" w:eastAsia="zh-CN"/>
                    </w:rPr>
                    <w:t>30</w:t>
                  </w:r>
                </w:p>
              </w:tc>
              <w:tc>
                <w:tcPr>
                  <w:tcW w:w="1329" w:type="dxa"/>
                  <w:noWrap w:val="0"/>
                  <w:vAlign w:val="center"/>
                </w:tcPr>
                <w:p w14:paraId="539389D8">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beforeAutospacing="0" w:after="157" w:afterLines="50" w:afterAutospacing="0" w:line="240" w:lineRule="auto"/>
                    <w:ind w:left="0" w:right="0"/>
                    <w:jc w:val="center"/>
                    <w:textAlignment w:val="auto"/>
                    <w:rPr>
                      <w:rFonts w:hint="default" w:ascii="Times New Roman" w:hAnsi="Times New Roman" w:eastAsia="宋体" w:cs="宋体"/>
                      <w:color w:val="auto"/>
                      <w:sz w:val="21"/>
                      <w:szCs w:val="21"/>
                      <w:highlight w:val="none"/>
                      <w:vertAlign w:val="baseline"/>
                      <w:lang w:val="en-US" w:eastAsia="zh-CN"/>
                    </w:rPr>
                  </w:pPr>
                  <w:r>
                    <w:rPr>
                      <w:rFonts w:hint="eastAsia" w:cs="宋体"/>
                      <w:color w:val="auto"/>
                      <w:sz w:val="21"/>
                      <w:szCs w:val="21"/>
                      <w:highlight w:val="none"/>
                      <w:vertAlign w:val="baseline"/>
                      <w:lang w:val="en-US" w:eastAsia="zh-CN"/>
                    </w:rPr>
                    <w:t>36000</w:t>
                  </w:r>
                </w:p>
              </w:tc>
              <w:tc>
                <w:tcPr>
                  <w:tcW w:w="1674" w:type="dxa"/>
                  <w:noWrap w:val="0"/>
                  <w:vAlign w:val="center"/>
                </w:tcPr>
                <w:p w14:paraId="29ED6D6D">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beforeAutospacing="0" w:after="157" w:afterLines="50" w:afterAutospacing="0" w:line="240" w:lineRule="auto"/>
                    <w:ind w:left="0" w:right="0"/>
                    <w:jc w:val="center"/>
                    <w:textAlignment w:val="auto"/>
                    <w:rPr>
                      <w:rFonts w:hint="default" w:cs="宋体"/>
                      <w:color w:val="auto"/>
                      <w:sz w:val="21"/>
                      <w:szCs w:val="21"/>
                      <w:highlight w:val="none"/>
                      <w:vertAlign w:val="baseline"/>
                      <w:lang w:val="en-US" w:eastAsia="zh-CN"/>
                    </w:rPr>
                  </w:pPr>
                  <w:r>
                    <w:rPr>
                      <w:rFonts w:hint="eastAsia" w:cs="宋体"/>
                      <w:color w:val="auto"/>
                      <w:sz w:val="21"/>
                      <w:szCs w:val="21"/>
                      <w:highlight w:val="none"/>
                      <w:vertAlign w:val="baseline"/>
                      <w:lang w:val="en-US" w:eastAsia="zh-CN"/>
                    </w:rPr>
                    <w:t>10.8</w:t>
                  </w:r>
                </w:p>
              </w:tc>
            </w:tr>
            <w:tr w14:paraId="14084E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110" w:type="dxa"/>
                  <w:vMerge w:val="continue"/>
                  <w:noWrap w:val="0"/>
                  <w:vAlign w:val="center"/>
                </w:tcPr>
                <w:p w14:paraId="578A53FC">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beforeAutospacing="0" w:after="157" w:afterLines="50" w:afterAutospacing="0" w:line="240" w:lineRule="auto"/>
                    <w:ind w:left="0" w:right="0"/>
                    <w:jc w:val="center"/>
                    <w:textAlignment w:val="auto"/>
                    <w:rPr>
                      <w:rFonts w:hint="eastAsia" w:ascii="Times New Roman" w:hAnsi="Times New Roman" w:eastAsia="宋体" w:cs="宋体"/>
                      <w:color w:val="auto"/>
                      <w:sz w:val="21"/>
                      <w:szCs w:val="21"/>
                      <w:highlight w:val="none"/>
                      <w:vertAlign w:val="baseline"/>
                      <w:lang w:val="en-US" w:eastAsia="zh-CN"/>
                    </w:rPr>
                  </w:pPr>
                </w:p>
              </w:tc>
              <w:tc>
                <w:tcPr>
                  <w:tcW w:w="1548" w:type="dxa"/>
                  <w:noWrap w:val="0"/>
                  <w:vAlign w:val="center"/>
                </w:tcPr>
                <w:p w14:paraId="6F6DFA10">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beforeAutospacing="0" w:after="157" w:afterLines="50" w:afterAutospacing="0" w:line="240" w:lineRule="auto"/>
                    <w:ind w:left="0" w:right="0"/>
                    <w:jc w:val="center"/>
                    <w:textAlignment w:val="auto"/>
                    <w:rPr>
                      <w:rFonts w:hint="eastAsia" w:ascii="Times New Roman" w:hAnsi="Times New Roman" w:eastAsia="宋体" w:cs="宋体"/>
                      <w:color w:val="auto"/>
                      <w:sz w:val="21"/>
                      <w:szCs w:val="21"/>
                      <w:highlight w:val="none"/>
                      <w:vertAlign w:val="baseline"/>
                      <w:lang w:val="en-US" w:eastAsia="zh-CN"/>
                    </w:rPr>
                  </w:pPr>
                  <w:r>
                    <w:rPr>
                      <w:rFonts w:hint="eastAsia" w:ascii="Times New Roman" w:hAnsi="Times New Roman" w:eastAsia="宋体" w:cs="宋体"/>
                      <w:color w:val="auto"/>
                      <w:sz w:val="21"/>
                      <w:szCs w:val="21"/>
                      <w:highlight w:val="none"/>
                      <w:vertAlign w:val="baseline"/>
                      <w:lang w:val="en-US" w:eastAsia="zh-CN"/>
                    </w:rPr>
                    <w:t>非甲烷总烃</w:t>
                  </w:r>
                </w:p>
              </w:tc>
              <w:tc>
                <w:tcPr>
                  <w:tcW w:w="1329" w:type="dxa"/>
                  <w:noWrap w:val="0"/>
                  <w:vAlign w:val="center"/>
                </w:tcPr>
                <w:p w14:paraId="5E187A45">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beforeAutospacing="0" w:after="157" w:afterLines="50" w:afterAutospacing="0" w:line="240" w:lineRule="auto"/>
                    <w:ind w:left="0" w:right="0"/>
                    <w:jc w:val="center"/>
                    <w:textAlignment w:val="auto"/>
                    <w:rPr>
                      <w:rFonts w:hint="eastAsia" w:ascii="Times New Roman" w:hAnsi="Times New Roman" w:eastAsia="宋体" w:cs="宋体"/>
                      <w:color w:val="auto"/>
                      <w:sz w:val="21"/>
                      <w:szCs w:val="21"/>
                      <w:highlight w:val="none"/>
                      <w:vertAlign w:val="baseline"/>
                      <w:lang w:val="en-US" w:eastAsia="zh-CN"/>
                    </w:rPr>
                  </w:pPr>
                  <w:r>
                    <w:rPr>
                      <w:rFonts w:hint="eastAsia" w:ascii="Times New Roman" w:hAnsi="Times New Roman" w:eastAsia="宋体" w:cs="宋体"/>
                      <w:color w:val="auto"/>
                      <w:kern w:val="0"/>
                      <w:sz w:val="21"/>
                      <w:szCs w:val="21"/>
                      <w:highlight w:val="none"/>
                    </w:rPr>
                    <w:t>DA00</w:t>
                  </w:r>
                  <w:r>
                    <w:rPr>
                      <w:rFonts w:hint="eastAsia" w:ascii="Times New Roman" w:hAnsi="Times New Roman" w:eastAsia="宋体" w:cs="宋体"/>
                      <w:color w:val="auto"/>
                      <w:kern w:val="0"/>
                      <w:sz w:val="21"/>
                      <w:szCs w:val="21"/>
                      <w:highlight w:val="none"/>
                      <w:lang w:val="en-US" w:eastAsia="zh-CN"/>
                    </w:rPr>
                    <w:t>3</w:t>
                  </w:r>
                </w:p>
              </w:tc>
              <w:tc>
                <w:tcPr>
                  <w:tcW w:w="1329" w:type="dxa"/>
                  <w:noWrap w:val="0"/>
                  <w:vAlign w:val="center"/>
                </w:tcPr>
                <w:p w14:paraId="1E7FC8A9">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beforeAutospacing="0" w:after="157" w:afterLines="50" w:afterAutospacing="0" w:line="240" w:lineRule="auto"/>
                    <w:ind w:left="0" w:right="0"/>
                    <w:jc w:val="center"/>
                    <w:textAlignment w:val="auto"/>
                    <w:rPr>
                      <w:rFonts w:hint="default" w:ascii="Times New Roman" w:hAnsi="Times New Roman" w:eastAsia="宋体" w:cs="宋体"/>
                      <w:color w:val="auto"/>
                      <w:sz w:val="21"/>
                      <w:szCs w:val="21"/>
                      <w:highlight w:val="none"/>
                      <w:vertAlign w:val="baseline"/>
                      <w:lang w:val="en-US" w:eastAsia="zh-CN"/>
                    </w:rPr>
                  </w:pPr>
                  <w:r>
                    <w:rPr>
                      <w:rFonts w:hint="eastAsia" w:cs="宋体"/>
                      <w:color w:val="auto"/>
                      <w:sz w:val="21"/>
                      <w:szCs w:val="21"/>
                      <w:highlight w:val="none"/>
                      <w:vertAlign w:val="baseline"/>
                      <w:lang w:val="en-US" w:eastAsia="zh-CN"/>
                    </w:rPr>
                    <w:t>3</w:t>
                  </w:r>
                  <w:r>
                    <w:rPr>
                      <w:rFonts w:hint="eastAsia" w:ascii="Times New Roman" w:hAnsi="Times New Roman" w:eastAsia="宋体" w:cs="宋体"/>
                      <w:color w:val="auto"/>
                      <w:sz w:val="21"/>
                      <w:szCs w:val="21"/>
                      <w:highlight w:val="none"/>
                      <w:vertAlign w:val="baseline"/>
                      <w:lang w:val="en-US" w:eastAsia="zh-CN"/>
                    </w:rPr>
                    <w:t>0</w:t>
                  </w:r>
                </w:p>
              </w:tc>
              <w:tc>
                <w:tcPr>
                  <w:tcW w:w="1329" w:type="dxa"/>
                  <w:noWrap w:val="0"/>
                  <w:vAlign w:val="center"/>
                </w:tcPr>
                <w:p w14:paraId="5F2FE872">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beforeAutospacing="0" w:after="157" w:afterLines="50" w:afterAutospacing="0" w:line="240" w:lineRule="auto"/>
                    <w:ind w:left="0" w:right="0"/>
                    <w:jc w:val="center"/>
                    <w:textAlignment w:val="auto"/>
                    <w:rPr>
                      <w:rFonts w:hint="default" w:ascii="Times New Roman" w:hAnsi="Times New Roman" w:eastAsia="宋体" w:cs="宋体"/>
                      <w:color w:val="auto"/>
                      <w:sz w:val="21"/>
                      <w:szCs w:val="21"/>
                      <w:highlight w:val="none"/>
                      <w:vertAlign w:val="baseline"/>
                      <w:lang w:val="en-US" w:eastAsia="zh-CN"/>
                    </w:rPr>
                  </w:pPr>
                  <w:r>
                    <w:rPr>
                      <w:rFonts w:hint="eastAsia" w:ascii="Times New Roman" w:hAnsi="Times New Roman" w:eastAsia="宋体" w:cs="宋体"/>
                      <w:color w:val="auto"/>
                      <w:sz w:val="21"/>
                      <w:szCs w:val="21"/>
                      <w:highlight w:val="none"/>
                      <w:vertAlign w:val="baseline"/>
                      <w:lang w:val="en-US" w:eastAsia="zh-CN"/>
                    </w:rPr>
                    <w:t>6480</w:t>
                  </w:r>
                </w:p>
              </w:tc>
              <w:tc>
                <w:tcPr>
                  <w:tcW w:w="1674" w:type="dxa"/>
                  <w:noWrap w:val="0"/>
                  <w:vAlign w:val="center"/>
                </w:tcPr>
                <w:p w14:paraId="4CDEA4C5">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beforeAutospacing="0" w:after="157" w:afterLines="50" w:afterAutospacing="0" w:line="240" w:lineRule="auto"/>
                    <w:ind w:left="0" w:right="0"/>
                    <w:jc w:val="center"/>
                    <w:textAlignment w:val="auto"/>
                    <w:rPr>
                      <w:rFonts w:hint="default" w:ascii="Times New Roman" w:hAnsi="Times New Roman" w:eastAsia="宋体" w:cs="宋体"/>
                      <w:color w:val="auto"/>
                      <w:sz w:val="21"/>
                      <w:szCs w:val="21"/>
                      <w:highlight w:val="none"/>
                      <w:vertAlign w:val="baseline"/>
                      <w:lang w:val="en-US" w:eastAsia="zh-CN"/>
                    </w:rPr>
                  </w:pPr>
                  <w:r>
                    <w:rPr>
                      <w:rFonts w:hint="eastAsia" w:cs="宋体"/>
                      <w:color w:val="auto"/>
                      <w:sz w:val="21"/>
                      <w:szCs w:val="21"/>
                      <w:highlight w:val="none"/>
                      <w:vertAlign w:val="baseline"/>
                      <w:lang w:val="en-US" w:eastAsia="zh-CN"/>
                    </w:rPr>
                    <w:t>1.994</w:t>
                  </w:r>
                </w:p>
              </w:tc>
            </w:tr>
            <w:tr w14:paraId="154D3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noWrap w:val="0"/>
                  <w:vAlign w:val="center"/>
                </w:tcPr>
                <w:p w14:paraId="23FC1DDF">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beforeAutospacing="0" w:after="157" w:afterLines="50" w:afterAutospacing="0" w:line="240" w:lineRule="auto"/>
                    <w:ind w:left="0" w:right="0"/>
                    <w:jc w:val="center"/>
                    <w:textAlignment w:val="auto"/>
                    <w:rPr>
                      <w:rFonts w:hint="eastAsia" w:ascii="Times New Roman" w:hAnsi="Times New Roman" w:eastAsia="宋体" w:cs="宋体"/>
                      <w:color w:val="auto"/>
                      <w:sz w:val="21"/>
                      <w:szCs w:val="21"/>
                      <w:highlight w:val="none"/>
                      <w:vertAlign w:val="baseline"/>
                      <w:lang w:val="en-US" w:eastAsia="zh-CN"/>
                    </w:rPr>
                  </w:pPr>
                  <w:r>
                    <w:rPr>
                      <w:rFonts w:hint="eastAsia" w:ascii="Times New Roman" w:hAnsi="Times New Roman" w:eastAsia="宋体" w:cs="宋体"/>
                      <w:color w:val="auto"/>
                      <w:sz w:val="21"/>
                      <w:szCs w:val="21"/>
                      <w:highlight w:val="none"/>
                      <w:vertAlign w:val="baseline"/>
                      <w:lang w:val="en-US" w:eastAsia="zh-CN"/>
                    </w:rPr>
                    <w:t>核算公式</w:t>
                  </w:r>
                </w:p>
              </w:tc>
              <w:tc>
                <w:tcPr>
                  <w:tcW w:w="7209" w:type="dxa"/>
                  <w:gridSpan w:val="5"/>
                  <w:noWrap w:val="0"/>
                  <w:vAlign w:val="center"/>
                </w:tcPr>
                <w:p w14:paraId="1D61E519">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beforeAutospacing="0" w:after="157" w:afterLines="50" w:afterAutospacing="0" w:line="240" w:lineRule="auto"/>
                    <w:ind w:left="0" w:right="0"/>
                    <w:jc w:val="center"/>
                    <w:textAlignment w:val="auto"/>
                    <w:rPr>
                      <w:rFonts w:hint="eastAsia" w:ascii="Times New Roman" w:hAnsi="Times New Roman" w:eastAsia="宋体" w:cs="宋体"/>
                      <w:color w:val="auto"/>
                      <w:sz w:val="21"/>
                      <w:szCs w:val="21"/>
                      <w:highlight w:val="none"/>
                      <w:vertAlign w:val="baseline"/>
                      <w:lang w:val="en-US" w:eastAsia="zh-CN"/>
                    </w:rPr>
                  </w:pPr>
                  <w:r>
                    <w:rPr>
                      <w:rFonts w:hint="eastAsia" w:ascii="Times New Roman" w:hAnsi="Times New Roman" w:eastAsia="宋体" w:cs="宋体"/>
                      <w:color w:val="auto"/>
                      <w:kern w:val="0"/>
                      <w:sz w:val="21"/>
                      <w:szCs w:val="21"/>
                      <w:highlight w:val="none"/>
                    </w:rPr>
                    <w:t>污染物排放总量(t/a)=污染物浓度（mg/m</w:t>
                  </w:r>
                  <w:r>
                    <w:rPr>
                      <w:rFonts w:hint="eastAsia" w:ascii="Times New Roman" w:hAnsi="Times New Roman" w:eastAsia="宋体" w:cs="宋体"/>
                      <w:color w:val="auto"/>
                      <w:kern w:val="0"/>
                      <w:sz w:val="21"/>
                      <w:szCs w:val="21"/>
                      <w:highlight w:val="none"/>
                      <w:vertAlign w:val="superscript"/>
                    </w:rPr>
                    <w:t>3</w:t>
                  </w:r>
                  <w:r>
                    <w:rPr>
                      <w:rFonts w:hint="eastAsia" w:ascii="Times New Roman" w:hAnsi="Times New Roman" w:eastAsia="宋体" w:cs="宋体"/>
                      <w:color w:val="auto"/>
                      <w:kern w:val="0"/>
                      <w:sz w:val="21"/>
                      <w:szCs w:val="21"/>
                      <w:highlight w:val="none"/>
                    </w:rPr>
                    <w:t>）×废气量（万m</w:t>
                  </w:r>
                  <w:r>
                    <w:rPr>
                      <w:rFonts w:hint="eastAsia" w:ascii="Times New Roman" w:hAnsi="Times New Roman" w:eastAsia="宋体" w:cs="宋体"/>
                      <w:color w:val="auto"/>
                      <w:kern w:val="0"/>
                      <w:sz w:val="21"/>
                      <w:szCs w:val="21"/>
                      <w:highlight w:val="none"/>
                      <w:vertAlign w:val="superscript"/>
                    </w:rPr>
                    <w:t>3</w:t>
                  </w:r>
                  <w:r>
                    <w:rPr>
                      <w:rFonts w:hint="eastAsia" w:ascii="Times New Roman" w:hAnsi="Times New Roman" w:eastAsia="宋体" w:cs="宋体"/>
                      <w:color w:val="auto"/>
                      <w:kern w:val="0"/>
                      <w:sz w:val="21"/>
                      <w:szCs w:val="21"/>
                      <w:highlight w:val="none"/>
                    </w:rPr>
                    <w:t>/a）×10</w:t>
                  </w:r>
                  <w:r>
                    <w:rPr>
                      <w:rFonts w:hint="eastAsia" w:ascii="Times New Roman" w:hAnsi="Times New Roman" w:eastAsia="宋体" w:cs="宋体"/>
                      <w:color w:val="auto"/>
                      <w:kern w:val="0"/>
                      <w:sz w:val="21"/>
                      <w:szCs w:val="21"/>
                      <w:highlight w:val="none"/>
                      <w:vertAlign w:val="superscript"/>
                    </w:rPr>
                    <w:t>-5</w:t>
                  </w:r>
                </w:p>
              </w:tc>
            </w:tr>
            <w:tr w14:paraId="4895B0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noWrap w:val="0"/>
                  <w:vAlign w:val="center"/>
                </w:tcPr>
                <w:p w14:paraId="68A5DB95">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beforeAutospacing="0" w:after="157" w:afterLines="50" w:afterAutospacing="0" w:line="240" w:lineRule="auto"/>
                    <w:ind w:left="0" w:right="0"/>
                    <w:jc w:val="center"/>
                    <w:textAlignment w:val="auto"/>
                    <w:rPr>
                      <w:rFonts w:hint="eastAsia" w:ascii="Times New Roman" w:hAnsi="Times New Roman" w:eastAsia="宋体" w:cs="宋体"/>
                      <w:color w:val="auto"/>
                      <w:sz w:val="21"/>
                      <w:szCs w:val="21"/>
                      <w:highlight w:val="none"/>
                      <w:vertAlign w:val="baseline"/>
                      <w:lang w:val="en-US" w:eastAsia="zh-CN"/>
                    </w:rPr>
                  </w:pPr>
                  <w:r>
                    <w:rPr>
                      <w:rFonts w:hint="eastAsia" w:ascii="Times New Roman" w:hAnsi="Times New Roman" w:eastAsia="宋体" w:cs="宋体"/>
                      <w:color w:val="auto"/>
                      <w:sz w:val="21"/>
                      <w:szCs w:val="21"/>
                      <w:highlight w:val="none"/>
                      <w:vertAlign w:val="baseline"/>
                      <w:lang w:val="en-US" w:eastAsia="zh-CN"/>
                    </w:rPr>
                    <w:t>核算过程</w:t>
                  </w:r>
                </w:p>
              </w:tc>
              <w:tc>
                <w:tcPr>
                  <w:tcW w:w="7209" w:type="dxa"/>
                  <w:gridSpan w:val="5"/>
                  <w:noWrap w:val="0"/>
                  <w:vAlign w:val="center"/>
                </w:tcPr>
                <w:p w14:paraId="5F078189">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beforeAutospacing="0" w:after="157" w:afterLines="50" w:afterAutospacing="0" w:line="240" w:lineRule="auto"/>
                    <w:ind w:left="0" w:right="0"/>
                    <w:jc w:val="center"/>
                    <w:textAlignment w:val="auto"/>
                    <w:rPr>
                      <w:rFonts w:hint="eastAsia"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DA00</w:t>
                  </w:r>
                  <w:r>
                    <w:rPr>
                      <w:rFonts w:hint="eastAsia" w:cs="Times New Roman"/>
                      <w:color w:val="auto"/>
                      <w:kern w:val="0"/>
                      <w:sz w:val="21"/>
                      <w:szCs w:val="21"/>
                      <w:highlight w:val="none"/>
                      <w:lang w:val="en-US" w:eastAsia="zh-CN"/>
                    </w:rPr>
                    <w:t>1</w:t>
                  </w:r>
                  <w:r>
                    <w:rPr>
                      <w:rFonts w:hint="default" w:ascii="Times New Roman" w:hAnsi="Times New Roman" w:eastAsia="宋体" w:cs="Times New Roman"/>
                      <w:color w:val="auto"/>
                      <w:kern w:val="0"/>
                      <w:sz w:val="21"/>
                      <w:szCs w:val="21"/>
                      <w:highlight w:val="none"/>
                    </w:rPr>
                    <w:t>非甲烷总烃排放总量(t/a)=</w:t>
                  </w:r>
                  <w:r>
                    <w:rPr>
                      <w:rFonts w:hint="eastAsia" w:cs="Times New Roman"/>
                      <w:color w:val="auto"/>
                      <w:kern w:val="0"/>
                      <w:sz w:val="21"/>
                      <w:szCs w:val="21"/>
                      <w:highlight w:val="none"/>
                      <w:lang w:val="en-US" w:eastAsia="zh-CN"/>
                    </w:rPr>
                    <w:t>3</w:t>
                  </w:r>
                  <w:r>
                    <w:rPr>
                      <w:rFonts w:hint="eastAsia" w:ascii="Times New Roman" w:hAnsi="Times New Roman" w:eastAsia="宋体" w:cs="Times New Roman"/>
                      <w:color w:val="auto"/>
                      <w:kern w:val="0"/>
                      <w:sz w:val="21"/>
                      <w:szCs w:val="21"/>
                      <w:highlight w:val="none"/>
                      <w:lang w:val="en-US" w:eastAsia="zh-CN"/>
                    </w:rPr>
                    <w:t>0</w:t>
                  </w:r>
                  <w:r>
                    <w:rPr>
                      <w:rFonts w:hint="default" w:ascii="Times New Roman" w:hAnsi="Times New Roman" w:eastAsia="宋体" w:cs="Times New Roman"/>
                      <w:color w:val="auto"/>
                      <w:kern w:val="0"/>
                      <w:sz w:val="21"/>
                      <w:szCs w:val="21"/>
                      <w:highlight w:val="none"/>
                    </w:rPr>
                    <w:t>×</w:t>
                  </w:r>
                  <w:r>
                    <w:rPr>
                      <w:rFonts w:hint="eastAsia" w:cs="Times New Roman"/>
                      <w:color w:val="auto"/>
                      <w:kern w:val="0"/>
                      <w:sz w:val="21"/>
                      <w:szCs w:val="21"/>
                      <w:highlight w:val="none"/>
                      <w:lang w:val="en-US" w:eastAsia="zh-CN"/>
                    </w:rPr>
                    <w:t>36000</w:t>
                  </w:r>
                  <w:r>
                    <w:rPr>
                      <w:rFonts w:hint="default" w:ascii="Times New Roman" w:hAnsi="Times New Roman" w:eastAsia="宋体" w:cs="Times New Roman"/>
                      <w:color w:val="auto"/>
                      <w:kern w:val="0"/>
                      <w:sz w:val="21"/>
                      <w:szCs w:val="21"/>
                      <w:highlight w:val="none"/>
                    </w:rPr>
                    <w:t>×10</w:t>
                  </w:r>
                  <w:r>
                    <w:rPr>
                      <w:rFonts w:hint="default" w:ascii="Times New Roman" w:hAnsi="Times New Roman" w:eastAsia="宋体" w:cs="Times New Roman"/>
                      <w:color w:val="auto"/>
                      <w:kern w:val="0"/>
                      <w:sz w:val="21"/>
                      <w:szCs w:val="21"/>
                      <w:highlight w:val="none"/>
                      <w:vertAlign w:val="superscript"/>
                    </w:rPr>
                    <w:t>-5</w:t>
                  </w:r>
                  <w:r>
                    <w:rPr>
                      <w:rFonts w:hint="default" w:ascii="Times New Roman" w:hAnsi="Times New Roman" w:eastAsia="宋体" w:cs="Times New Roman"/>
                      <w:color w:val="auto"/>
                      <w:kern w:val="0"/>
                      <w:sz w:val="21"/>
                      <w:szCs w:val="21"/>
                      <w:highlight w:val="none"/>
                    </w:rPr>
                    <w:t>=</w:t>
                  </w:r>
                  <w:r>
                    <w:rPr>
                      <w:rFonts w:hint="eastAsia" w:cs="Times New Roman"/>
                      <w:color w:val="auto"/>
                      <w:kern w:val="0"/>
                      <w:sz w:val="21"/>
                      <w:szCs w:val="21"/>
                      <w:highlight w:val="none"/>
                      <w:lang w:val="en-US" w:eastAsia="zh-CN"/>
                    </w:rPr>
                    <w:t>10.8；</w:t>
                  </w:r>
                </w:p>
                <w:p w14:paraId="4CC4F413">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beforeAutospacing="0" w:after="157" w:afterLines="50" w:afterAutospacing="0" w:line="240" w:lineRule="auto"/>
                    <w:ind w:left="0" w:right="0"/>
                    <w:jc w:val="center"/>
                    <w:textAlignment w:val="auto"/>
                    <w:rPr>
                      <w:rFonts w:hint="eastAsia"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DA00</w:t>
                  </w:r>
                  <w:r>
                    <w:rPr>
                      <w:rFonts w:hint="eastAsia" w:cs="Times New Roman"/>
                      <w:color w:val="auto"/>
                      <w:kern w:val="0"/>
                      <w:sz w:val="21"/>
                      <w:szCs w:val="21"/>
                      <w:highlight w:val="none"/>
                      <w:lang w:val="en-US" w:eastAsia="zh-CN"/>
                    </w:rPr>
                    <w:t>2</w:t>
                  </w:r>
                  <w:r>
                    <w:rPr>
                      <w:rFonts w:hint="default" w:ascii="Times New Roman" w:hAnsi="Times New Roman" w:eastAsia="宋体" w:cs="Times New Roman"/>
                      <w:color w:val="auto"/>
                      <w:kern w:val="0"/>
                      <w:sz w:val="21"/>
                      <w:szCs w:val="21"/>
                      <w:highlight w:val="none"/>
                    </w:rPr>
                    <w:t>非甲烷总烃排放总量(t/a)=</w:t>
                  </w:r>
                  <w:r>
                    <w:rPr>
                      <w:rFonts w:hint="eastAsia" w:cs="Times New Roman"/>
                      <w:color w:val="auto"/>
                      <w:kern w:val="0"/>
                      <w:sz w:val="21"/>
                      <w:szCs w:val="21"/>
                      <w:highlight w:val="none"/>
                      <w:lang w:val="en-US" w:eastAsia="zh-CN"/>
                    </w:rPr>
                    <w:t>3</w:t>
                  </w:r>
                  <w:r>
                    <w:rPr>
                      <w:rFonts w:hint="eastAsia" w:ascii="Times New Roman" w:hAnsi="Times New Roman" w:eastAsia="宋体" w:cs="Times New Roman"/>
                      <w:color w:val="auto"/>
                      <w:kern w:val="0"/>
                      <w:sz w:val="21"/>
                      <w:szCs w:val="21"/>
                      <w:highlight w:val="none"/>
                      <w:lang w:val="en-US" w:eastAsia="zh-CN"/>
                    </w:rPr>
                    <w:t>0</w:t>
                  </w:r>
                  <w:r>
                    <w:rPr>
                      <w:rFonts w:hint="default" w:ascii="Times New Roman" w:hAnsi="Times New Roman" w:eastAsia="宋体" w:cs="Times New Roman"/>
                      <w:color w:val="auto"/>
                      <w:kern w:val="0"/>
                      <w:sz w:val="21"/>
                      <w:szCs w:val="21"/>
                      <w:highlight w:val="none"/>
                    </w:rPr>
                    <w:t>×</w:t>
                  </w:r>
                  <w:r>
                    <w:rPr>
                      <w:rFonts w:hint="eastAsia" w:cs="Times New Roman"/>
                      <w:color w:val="auto"/>
                      <w:kern w:val="0"/>
                      <w:sz w:val="21"/>
                      <w:szCs w:val="21"/>
                      <w:highlight w:val="none"/>
                      <w:lang w:val="en-US" w:eastAsia="zh-CN"/>
                    </w:rPr>
                    <w:t>36000</w:t>
                  </w:r>
                  <w:r>
                    <w:rPr>
                      <w:rFonts w:hint="default" w:ascii="Times New Roman" w:hAnsi="Times New Roman" w:eastAsia="宋体" w:cs="Times New Roman"/>
                      <w:color w:val="auto"/>
                      <w:kern w:val="0"/>
                      <w:sz w:val="21"/>
                      <w:szCs w:val="21"/>
                      <w:highlight w:val="none"/>
                    </w:rPr>
                    <w:t>×10</w:t>
                  </w:r>
                  <w:r>
                    <w:rPr>
                      <w:rFonts w:hint="default" w:ascii="Times New Roman" w:hAnsi="Times New Roman" w:eastAsia="宋体" w:cs="Times New Roman"/>
                      <w:color w:val="auto"/>
                      <w:kern w:val="0"/>
                      <w:sz w:val="21"/>
                      <w:szCs w:val="21"/>
                      <w:highlight w:val="none"/>
                      <w:vertAlign w:val="superscript"/>
                    </w:rPr>
                    <w:t>-5</w:t>
                  </w:r>
                  <w:r>
                    <w:rPr>
                      <w:rFonts w:hint="default" w:ascii="Times New Roman" w:hAnsi="Times New Roman" w:eastAsia="宋体" w:cs="Times New Roman"/>
                      <w:color w:val="auto"/>
                      <w:kern w:val="0"/>
                      <w:sz w:val="21"/>
                      <w:szCs w:val="21"/>
                      <w:highlight w:val="none"/>
                    </w:rPr>
                    <w:t>=</w:t>
                  </w:r>
                  <w:r>
                    <w:rPr>
                      <w:rFonts w:hint="eastAsia" w:cs="Times New Roman"/>
                      <w:color w:val="auto"/>
                      <w:kern w:val="0"/>
                      <w:sz w:val="21"/>
                      <w:szCs w:val="21"/>
                      <w:highlight w:val="none"/>
                      <w:lang w:val="en-US" w:eastAsia="zh-CN"/>
                    </w:rPr>
                    <w:t>10.8；</w:t>
                  </w:r>
                </w:p>
                <w:p w14:paraId="6742DA55">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beforeAutospacing="0" w:after="157" w:afterLines="50" w:afterAutospacing="0" w:line="240" w:lineRule="auto"/>
                    <w:ind w:left="0" w:right="0"/>
                    <w:jc w:val="center"/>
                    <w:textAlignment w:val="auto"/>
                    <w:rPr>
                      <w:rFonts w:hint="eastAsia" w:ascii="Times New Roman" w:hAnsi="Times New Roman" w:eastAsia="宋体" w:cs="宋体"/>
                      <w:color w:val="auto"/>
                      <w:sz w:val="21"/>
                      <w:szCs w:val="21"/>
                      <w:highlight w:val="none"/>
                      <w:vertAlign w:val="baseline"/>
                      <w:lang w:val="en-US" w:eastAsia="zh-CN"/>
                    </w:rPr>
                  </w:pPr>
                  <w:r>
                    <w:rPr>
                      <w:rFonts w:hint="eastAsia" w:ascii="Times New Roman" w:hAnsi="Times New Roman" w:eastAsia="宋体" w:cs="Times New Roman"/>
                      <w:color w:val="auto"/>
                      <w:kern w:val="0"/>
                      <w:sz w:val="21"/>
                      <w:szCs w:val="21"/>
                      <w:highlight w:val="none"/>
                      <w:lang w:val="en-US" w:eastAsia="zh-CN"/>
                    </w:rPr>
                    <w:t>DA003</w:t>
                  </w:r>
                  <w:r>
                    <w:rPr>
                      <w:rFonts w:hint="default" w:ascii="Times New Roman" w:hAnsi="Times New Roman" w:eastAsia="宋体" w:cs="Times New Roman"/>
                      <w:color w:val="auto"/>
                      <w:kern w:val="0"/>
                      <w:sz w:val="21"/>
                      <w:szCs w:val="21"/>
                      <w:highlight w:val="none"/>
                    </w:rPr>
                    <w:t>非甲烷总烃排放总量(t/a)=</w:t>
                  </w:r>
                  <w:r>
                    <w:rPr>
                      <w:rFonts w:hint="eastAsia" w:cs="Times New Roman"/>
                      <w:color w:val="auto"/>
                      <w:kern w:val="0"/>
                      <w:sz w:val="21"/>
                      <w:szCs w:val="21"/>
                      <w:highlight w:val="none"/>
                      <w:lang w:val="en-US" w:eastAsia="zh-CN"/>
                    </w:rPr>
                    <w:t>3</w:t>
                  </w:r>
                  <w:r>
                    <w:rPr>
                      <w:rFonts w:hint="eastAsia" w:ascii="Times New Roman" w:hAnsi="Times New Roman" w:eastAsia="宋体" w:cs="Times New Roman"/>
                      <w:color w:val="auto"/>
                      <w:kern w:val="0"/>
                      <w:sz w:val="21"/>
                      <w:szCs w:val="21"/>
                      <w:highlight w:val="none"/>
                      <w:lang w:val="en-US" w:eastAsia="zh-CN"/>
                    </w:rPr>
                    <w:t>0</w:t>
                  </w:r>
                  <w:r>
                    <w:rPr>
                      <w:rFonts w:hint="default" w:ascii="Times New Roman" w:hAnsi="Times New Roman" w:eastAsia="宋体" w:cs="Times New Roman"/>
                      <w:color w:val="auto"/>
                      <w:kern w:val="0"/>
                      <w:sz w:val="21"/>
                      <w:szCs w:val="21"/>
                      <w:highlight w:val="none"/>
                    </w:rPr>
                    <w:t>×</w:t>
                  </w:r>
                  <w:r>
                    <w:rPr>
                      <w:rFonts w:hint="eastAsia" w:ascii="Times New Roman" w:hAnsi="Times New Roman" w:eastAsia="宋体" w:cs="Times New Roman"/>
                      <w:color w:val="auto"/>
                      <w:kern w:val="0"/>
                      <w:sz w:val="21"/>
                      <w:szCs w:val="21"/>
                      <w:highlight w:val="none"/>
                      <w:lang w:val="en-US" w:eastAsia="zh-CN"/>
                    </w:rPr>
                    <w:t>6480</w:t>
                  </w:r>
                  <w:r>
                    <w:rPr>
                      <w:rFonts w:hint="default" w:ascii="Times New Roman" w:hAnsi="Times New Roman" w:eastAsia="宋体" w:cs="Times New Roman"/>
                      <w:color w:val="auto"/>
                      <w:kern w:val="0"/>
                      <w:sz w:val="21"/>
                      <w:szCs w:val="21"/>
                      <w:highlight w:val="none"/>
                    </w:rPr>
                    <w:t>×10</w:t>
                  </w:r>
                  <w:r>
                    <w:rPr>
                      <w:rFonts w:hint="default" w:ascii="Times New Roman" w:hAnsi="Times New Roman" w:eastAsia="宋体" w:cs="Times New Roman"/>
                      <w:color w:val="auto"/>
                      <w:kern w:val="0"/>
                      <w:sz w:val="21"/>
                      <w:szCs w:val="21"/>
                      <w:highlight w:val="none"/>
                      <w:vertAlign w:val="superscript"/>
                    </w:rPr>
                    <w:t>-5</w:t>
                  </w:r>
                  <w:r>
                    <w:rPr>
                      <w:rFonts w:hint="default" w:ascii="Times New Roman" w:hAnsi="Times New Roman" w:eastAsia="宋体" w:cs="Times New Roman"/>
                      <w:color w:val="auto"/>
                      <w:kern w:val="0"/>
                      <w:sz w:val="21"/>
                      <w:szCs w:val="21"/>
                      <w:highlight w:val="none"/>
                    </w:rPr>
                    <w:t>=</w:t>
                  </w:r>
                  <w:r>
                    <w:rPr>
                      <w:rFonts w:hint="eastAsia" w:cs="Times New Roman"/>
                      <w:color w:val="auto"/>
                      <w:kern w:val="0"/>
                      <w:sz w:val="21"/>
                      <w:szCs w:val="21"/>
                      <w:highlight w:val="none"/>
                      <w:lang w:val="en-US" w:eastAsia="zh-CN"/>
                    </w:rPr>
                    <w:t>1.994</w:t>
                  </w:r>
                  <w:r>
                    <w:rPr>
                      <w:rFonts w:hint="default" w:ascii="Times New Roman" w:hAnsi="Times New Roman" w:eastAsia="宋体" w:cs="Times New Roman"/>
                      <w:color w:val="auto"/>
                      <w:kern w:val="0"/>
                      <w:sz w:val="21"/>
                      <w:szCs w:val="21"/>
                      <w:highlight w:val="none"/>
                    </w:rPr>
                    <w:t>。</w:t>
                  </w:r>
                </w:p>
              </w:tc>
            </w:tr>
            <w:tr w14:paraId="522049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noWrap w:val="0"/>
                  <w:vAlign w:val="center"/>
                </w:tcPr>
                <w:p w14:paraId="39CAEBFA">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beforeAutospacing="0" w:after="157" w:afterLines="50" w:afterAutospacing="0" w:line="240" w:lineRule="auto"/>
                    <w:ind w:left="0" w:right="0"/>
                    <w:jc w:val="center"/>
                    <w:textAlignment w:val="auto"/>
                    <w:rPr>
                      <w:rFonts w:hint="eastAsia" w:ascii="Times New Roman" w:hAnsi="Times New Roman" w:eastAsia="宋体" w:cs="宋体"/>
                      <w:color w:val="auto"/>
                      <w:sz w:val="21"/>
                      <w:szCs w:val="21"/>
                      <w:highlight w:val="none"/>
                      <w:vertAlign w:val="baseline"/>
                      <w:lang w:val="en-US" w:eastAsia="zh-CN"/>
                    </w:rPr>
                  </w:pPr>
                  <w:r>
                    <w:rPr>
                      <w:rFonts w:hint="eastAsia" w:ascii="Times New Roman" w:hAnsi="Times New Roman" w:eastAsia="宋体" w:cs="宋体"/>
                      <w:color w:val="auto"/>
                      <w:sz w:val="21"/>
                      <w:szCs w:val="21"/>
                      <w:highlight w:val="none"/>
                      <w:vertAlign w:val="baseline"/>
                      <w:lang w:val="en-US" w:eastAsia="zh-CN"/>
                    </w:rPr>
                    <w:t>核算结果</w:t>
                  </w:r>
                </w:p>
              </w:tc>
              <w:tc>
                <w:tcPr>
                  <w:tcW w:w="7209" w:type="dxa"/>
                  <w:gridSpan w:val="5"/>
                  <w:noWrap w:val="0"/>
                  <w:vAlign w:val="center"/>
                </w:tcPr>
                <w:p w14:paraId="50E21C3D">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由公式核算可知，项目污染物年排放量总量控制指标为：非甲烷总烃：</w:t>
                  </w:r>
                  <w:r>
                    <w:rPr>
                      <w:rFonts w:hint="eastAsia" w:cs="Times New Roman"/>
                      <w:color w:val="auto"/>
                      <w:kern w:val="0"/>
                      <w:sz w:val="21"/>
                      <w:szCs w:val="21"/>
                      <w:highlight w:val="none"/>
                      <w:lang w:val="en-US" w:eastAsia="zh-CN"/>
                    </w:rPr>
                    <w:t>23.594</w:t>
                  </w:r>
                  <w:r>
                    <w:rPr>
                      <w:rFonts w:hint="default" w:ascii="Times New Roman" w:hAnsi="Times New Roman" w:eastAsia="宋体" w:cs="Times New Roman"/>
                      <w:color w:val="auto"/>
                      <w:kern w:val="0"/>
                      <w:sz w:val="21"/>
                      <w:szCs w:val="21"/>
                      <w:highlight w:val="none"/>
                    </w:rPr>
                    <w:t>t/a。</w:t>
                  </w:r>
                </w:p>
              </w:tc>
            </w:tr>
          </w:tbl>
          <w:p w14:paraId="52A36C3B">
            <w:pPr>
              <w:keepNext w:val="0"/>
              <w:keepLines w:val="0"/>
              <w:widowControl/>
              <w:suppressLineNumbers w:val="0"/>
              <w:autoSpaceDE w:val="0"/>
              <w:spacing w:before="156" w:beforeLines="50" w:beforeAutospacing="0" w:after="0" w:afterAutospacing="0" w:line="360" w:lineRule="auto"/>
              <w:ind w:left="0" w:right="0" w:firstLine="480" w:firstLineChars="200"/>
              <w:rPr>
                <w:rFonts w:hint="default" w:ascii="宋体" w:hAnsi="宋体" w:eastAsia="宋体" w:cs="Times New Roman"/>
                <w:color w:val="auto"/>
                <w:sz w:val="24"/>
                <w:szCs w:val="24"/>
              </w:rPr>
            </w:pPr>
            <w:r>
              <w:rPr>
                <w:rFonts w:hint="default" w:ascii="Times New Roman" w:hAnsi="Times New Roman" w:cs="Times New Roman"/>
                <w:color w:val="auto"/>
                <w:sz w:val="24"/>
                <w:highlight w:val="none"/>
              </w:rPr>
              <w:t>因此，</w:t>
            </w:r>
            <w:r>
              <w:rPr>
                <w:rFonts w:hint="eastAsia" w:ascii="宋体" w:hAnsi="宋体" w:eastAsia="宋体" w:cs="Times New Roman"/>
                <w:color w:val="auto"/>
                <w:sz w:val="24"/>
                <w:szCs w:val="24"/>
                <w:highlight w:val="none"/>
              </w:rPr>
              <w:t>按照排放标准核算</w:t>
            </w:r>
            <w:r>
              <w:rPr>
                <w:rFonts w:hint="default" w:ascii="宋体" w:hAnsi="宋体" w:eastAsia="宋体" w:cs="Times New Roman"/>
                <w:color w:val="auto"/>
                <w:sz w:val="24"/>
                <w:szCs w:val="24"/>
                <w:highlight w:val="none"/>
              </w:rPr>
              <w:t>项目废气污染物排放总量为：</w:t>
            </w:r>
            <w:r>
              <w:rPr>
                <w:rFonts w:hint="default" w:ascii="Times New Roman" w:hAnsi="Times New Roman" w:cs="Times New Roman"/>
                <w:color w:val="auto"/>
                <w:sz w:val="24"/>
                <w:highlight w:val="none"/>
              </w:rPr>
              <w:t>SO</w:t>
            </w:r>
            <w:r>
              <w:rPr>
                <w:rFonts w:hint="default" w:ascii="Times New Roman" w:hAnsi="Times New Roman" w:cs="Times New Roman"/>
                <w:color w:val="auto"/>
                <w:sz w:val="24"/>
                <w:highlight w:val="none"/>
                <w:vertAlign w:val="subscript"/>
              </w:rPr>
              <w:t>2</w:t>
            </w:r>
            <w:r>
              <w:rPr>
                <w:rFonts w:hint="default" w:ascii="宋体" w:hAnsi="宋体" w:eastAsia="宋体" w:cs="Times New Roman"/>
                <w:color w:val="auto"/>
                <w:sz w:val="24"/>
                <w:szCs w:val="24"/>
                <w:highlight w:val="none"/>
              </w:rPr>
              <w:t>：</w:t>
            </w:r>
            <w:r>
              <w:rPr>
                <w:rFonts w:hint="eastAsia" w:ascii="Times New Roman" w:hAnsi="Times New Roman" w:eastAsia="宋体" w:cs="Times New Roman"/>
                <w:color w:val="auto"/>
                <w:sz w:val="24"/>
                <w:szCs w:val="24"/>
                <w:highlight w:val="none"/>
              </w:rPr>
              <w:t>0</w:t>
            </w:r>
            <w:r>
              <w:rPr>
                <w:rFonts w:hint="default" w:ascii="Times New Roman" w:hAnsi="Times New Roman" w:eastAsia="宋体" w:cs="Times New Roman"/>
                <w:color w:val="auto"/>
                <w:sz w:val="24"/>
                <w:szCs w:val="24"/>
                <w:highlight w:val="none"/>
              </w:rPr>
              <w:t>t/a</w:t>
            </w:r>
            <w:r>
              <w:rPr>
                <w:rFonts w:hint="default" w:ascii="宋体" w:hAnsi="宋体" w:eastAsia="宋体" w:cs="Times New Roman"/>
                <w:color w:val="auto"/>
                <w:sz w:val="24"/>
                <w:szCs w:val="24"/>
                <w:highlight w:val="none"/>
              </w:rPr>
              <w:t>、</w:t>
            </w:r>
            <w:r>
              <w:rPr>
                <w:rFonts w:hint="default" w:ascii="Times New Roman" w:hAnsi="Times New Roman" w:cs="Times New Roman"/>
                <w:color w:val="auto"/>
                <w:sz w:val="24"/>
                <w:highlight w:val="none"/>
              </w:rPr>
              <w:t>NOx</w:t>
            </w:r>
            <w:r>
              <w:rPr>
                <w:rFonts w:hint="default" w:ascii="宋体" w:hAnsi="宋体" w:eastAsia="宋体" w:cs="Times New Roman"/>
                <w:color w:val="auto"/>
                <w:sz w:val="24"/>
                <w:szCs w:val="24"/>
                <w:highlight w:val="none"/>
              </w:rPr>
              <w:t>：</w:t>
            </w:r>
            <w:r>
              <w:rPr>
                <w:rFonts w:hint="default" w:ascii="Times New Roman" w:hAnsi="Times New Roman" w:eastAsia="宋体" w:cs="Times New Roman"/>
                <w:color w:val="auto"/>
                <w:sz w:val="24"/>
                <w:szCs w:val="24"/>
                <w:highlight w:val="none"/>
              </w:rPr>
              <w:t>0t/a</w:t>
            </w:r>
            <w:r>
              <w:rPr>
                <w:rFonts w:hint="eastAsia" w:ascii="Times New Roman" w:hAnsi="Times New Roman" w:eastAsia="宋体" w:cs="Times New Roman"/>
                <w:color w:val="auto"/>
                <w:sz w:val="24"/>
                <w:szCs w:val="24"/>
                <w:highlight w:val="none"/>
                <w:lang w:eastAsia="zh-CN"/>
              </w:rPr>
              <w:t>、</w:t>
            </w:r>
            <w:r>
              <w:rPr>
                <w:rFonts w:hint="default" w:ascii="宋体" w:hAnsi="宋体" w:eastAsia="宋体" w:cs="Times New Roman"/>
                <w:color w:val="auto"/>
                <w:sz w:val="24"/>
                <w:szCs w:val="24"/>
                <w:highlight w:val="none"/>
              </w:rPr>
              <w:t>非甲烷总烃：</w:t>
            </w:r>
            <w:r>
              <w:rPr>
                <w:rFonts w:hint="eastAsia" w:cs="Times New Roman"/>
                <w:color w:val="auto"/>
                <w:sz w:val="24"/>
                <w:szCs w:val="24"/>
                <w:highlight w:val="none"/>
                <w:lang w:val="en-US" w:eastAsia="zh-CN"/>
              </w:rPr>
              <w:t>23.594</w:t>
            </w:r>
            <w:r>
              <w:rPr>
                <w:rFonts w:hint="default" w:ascii="Times New Roman" w:hAnsi="Times New Roman" w:eastAsia="宋体" w:cs="Times New Roman"/>
                <w:color w:val="auto"/>
                <w:sz w:val="24"/>
                <w:szCs w:val="24"/>
                <w:highlight w:val="none"/>
              </w:rPr>
              <w:t>t/a</w:t>
            </w:r>
            <w:r>
              <w:rPr>
                <w:rFonts w:hint="default" w:ascii="宋体" w:hAnsi="宋体" w:eastAsia="宋体" w:cs="Times New Roman"/>
                <w:color w:val="auto"/>
                <w:sz w:val="24"/>
                <w:szCs w:val="24"/>
                <w:highlight w:val="none"/>
              </w:rPr>
              <w:t>。</w:t>
            </w:r>
          </w:p>
          <w:p w14:paraId="14DF4785">
            <w:pPr>
              <w:keepNext w:val="0"/>
              <w:keepLines w:val="0"/>
              <w:widowControl/>
              <w:numPr>
                <w:ilvl w:val="0"/>
                <w:numId w:val="0"/>
              </w:numPr>
              <w:suppressLineNumbers w:val="0"/>
              <w:autoSpaceDE w:val="0"/>
              <w:spacing w:before="0" w:beforeLines="0" w:beforeAutospacing="0" w:after="0" w:afterAutospacing="0" w:line="360" w:lineRule="auto"/>
              <w:ind w:left="420" w:leftChars="200" w:right="0"/>
              <w:rPr>
                <w:rFonts w:hint="eastAsia" w:ascii="宋体" w:hAnsi="宋体" w:eastAsia="宋体" w:cs="Times New Roman"/>
                <w:color w:val="auto"/>
                <w:sz w:val="24"/>
                <w:szCs w:val="24"/>
                <w:lang w:val="en-US" w:eastAsia="zh-CN"/>
              </w:rPr>
            </w:pPr>
            <w:r>
              <w:rPr>
                <w:rFonts w:hint="default" w:ascii="Calibri" w:hAnsi="Calibri" w:eastAsia="宋体" w:cs="Calibri"/>
                <w:color w:val="auto"/>
                <w:sz w:val="24"/>
                <w:szCs w:val="24"/>
                <w:lang w:val="en-US" w:eastAsia="zh-CN"/>
              </w:rPr>
              <w:t>②</w:t>
            </w:r>
            <w:r>
              <w:rPr>
                <w:rFonts w:hint="eastAsia" w:ascii="宋体" w:hAnsi="宋体" w:eastAsia="宋体" w:cs="Times New Roman"/>
                <w:color w:val="auto"/>
                <w:sz w:val="24"/>
                <w:szCs w:val="24"/>
                <w:lang w:val="en-US" w:eastAsia="zh-CN"/>
              </w:rPr>
              <w:t>按预测排放浓度核算总量</w:t>
            </w:r>
          </w:p>
          <w:p w14:paraId="21C2D041">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4"/>
              </w:rPr>
            </w:pPr>
            <w:r>
              <w:rPr>
                <w:rFonts w:hint="default" w:ascii="宋体" w:hAnsi="宋体" w:eastAsia="宋体" w:cs="Times New Roman"/>
                <w:color w:val="auto"/>
                <w:sz w:val="24"/>
                <w:szCs w:val="24"/>
              </w:rPr>
              <w:t>本项目排气筒</w:t>
            </w:r>
            <w:r>
              <w:rPr>
                <w:rFonts w:hint="default" w:ascii="Times New Roman" w:hAnsi="Times New Roman" w:eastAsia="宋体" w:cs="Times New Roman"/>
                <w:color w:val="auto"/>
                <w:sz w:val="24"/>
                <w:szCs w:val="24"/>
              </w:rPr>
              <w:t>DA00</w:t>
            </w:r>
            <w:r>
              <w:rPr>
                <w:rFonts w:hint="eastAsia" w:ascii="Times New Roman" w:hAnsi="Times New Roman" w:eastAsia="宋体" w:cs="Times New Roman"/>
                <w:color w:val="auto"/>
                <w:sz w:val="24"/>
                <w:szCs w:val="24"/>
                <w:lang w:val="en-US" w:eastAsia="zh-CN"/>
              </w:rPr>
              <w:t>1、DA002、DA003</w:t>
            </w:r>
            <w:r>
              <w:rPr>
                <w:rFonts w:hint="default" w:ascii="宋体" w:hAnsi="宋体" w:eastAsia="宋体" w:cs="Times New Roman"/>
                <w:color w:val="auto"/>
                <w:sz w:val="24"/>
                <w:szCs w:val="24"/>
              </w:rPr>
              <w:t>涉及总量控制因子为非甲烷总烃，废气污染物总量计算见下表。</w:t>
            </w:r>
          </w:p>
          <w:p w14:paraId="2C984024">
            <w:pPr>
              <w:keepNext w:val="0"/>
              <w:keepLines w:val="0"/>
              <w:suppressLineNumbers w:val="0"/>
              <w:spacing w:before="0" w:beforeAutospacing="0" w:after="0" w:afterAutospacing="0" w:line="240" w:lineRule="auto"/>
              <w:ind w:left="0" w:right="0" w:firstLine="422" w:firstLineChars="200"/>
              <w:jc w:val="center"/>
              <w:rPr>
                <w:rFonts w:hint="eastAsia" w:ascii="Times New Roman" w:hAnsi="Times New Roman" w:eastAsia="宋体" w:cs="Times New Roman"/>
                <w:b/>
                <w:bCs/>
                <w:color w:val="auto"/>
                <w:kern w:val="0"/>
                <w:sz w:val="21"/>
                <w:szCs w:val="21"/>
                <w:lang w:val="en-US" w:eastAsia="zh-CN" w:bidi="ar-SA"/>
              </w:rPr>
            </w:pPr>
            <w:r>
              <w:rPr>
                <w:rFonts w:hint="eastAsia" w:ascii="Times New Roman" w:hAnsi="Times New Roman" w:eastAsia="宋体" w:cs="Times New Roman"/>
                <w:b/>
                <w:bCs/>
                <w:color w:val="auto"/>
                <w:kern w:val="0"/>
                <w:sz w:val="21"/>
                <w:szCs w:val="21"/>
                <w:lang w:val="en-US" w:eastAsia="zh-CN" w:bidi="ar-SA"/>
              </w:rPr>
              <w:t>项目废气污染物排放总量指标表（预测）</w:t>
            </w:r>
          </w:p>
          <w:tbl>
            <w:tblPr>
              <w:tblStyle w:val="39"/>
              <w:tblW w:w="83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1"/>
              <w:gridCol w:w="1557"/>
              <w:gridCol w:w="1329"/>
              <w:gridCol w:w="1329"/>
              <w:gridCol w:w="1329"/>
              <w:gridCol w:w="1674"/>
            </w:tblGrid>
            <w:tr w14:paraId="37636D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2658" w:type="dxa"/>
                  <w:gridSpan w:val="2"/>
                  <w:noWrap w:val="0"/>
                  <w:vAlign w:val="center"/>
                </w:tcPr>
                <w:p w14:paraId="34C53FAA">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beforeAutospacing="0" w:after="157" w:afterLines="50" w:afterAutospacing="0" w:line="240" w:lineRule="auto"/>
                    <w:ind w:left="0" w:right="0"/>
                    <w:jc w:val="center"/>
                    <w:textAlignment w:val="auto"/>
                    <w:rPr>
                      <w:rFonts w:hint="default" w:ascii="Times New Roman" w:hAnsi="Times New Roman" w:eastAsia="宋体" w:cs="宋体"/>
                      <w:color w:val="auto"/>
                      <w:sz w:val="21"/>
                      <w:szCs w:val="21"/>
                      <w:vertAlign w:val="baseline"/>
                      <w:lang w:val="en-US" w:eastAsia="zh-CN"/>
                    </w:rPr>
                  </w:pPr>
                  <w:r>
                    <w:rPr>
                      <w:rFonts w:hint="eastAsia" w:ascii="Times New Roman" w:hAnsi="Times New Roman" w:eastAsia="宋体" w:cs="宋体"/>
                      <w:color w:val="auto"/>
                      <w:sz w:val="21"/>
                      <w:szCs w:val="21"/>
                      <w:vertAlign w:val="baseline"/>
                      <w:lang w:val="en-US" w:eastAsia="zh-CN"/>
                    </w:rPr>
                    <w:t>项目</w:t>
                  </w:r>
                </w:p>
              </w:tc>
              <w:tc>
                <w:tcPr>
                  <w:tcW w:w="1329" w:type="dxa"/>
                  <w:noWrap w:val="0"/>
                  <w:vAlign w:val="center"/>
                </w:tcPr>
                <w:p w14:paraId="340D38AD">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beforeAutospacing="0" w:after="157" w:afterLines="50" w:afterAutospacing="0" w:line="240" w:lineRule="auto"/>
                    <w:ind w:left="0" w:right="0"/>
                    <w:jc w:val="center"/>
                    <w:textAlignment w:val="auto"/>
                    <w:rPr>
                      <w:rFonts w:hint="default" w:ascii="Times New Roman" w:hAnsi="Times New Roman" w:eastAsia="宋体" w:cs="宋体"/>
                      <w:color w:val="auto"/>
                      <w:sz w:val="21"/>
                      <w:szCs w:val="21"/>
                      <w:vertAlign w:val="baseline"/>
                      <w:lang w:val="en-US" w:eastAsia="zh-CN"/>
                    </w:rPr>
                  </w:pPr>
                  <w:r>
                    <w:rPr>
                      <w:rFonts w:hint="eastAsia" w:ascii="Times New Roman" w:hAnsi="Times New Roman" w:eastAsia="宋体" w:cs="宋体"/>
                      <w:color w:val="auto"/>
                      <w:sz w:val="21"/>
                      <w:szCs w:val="21"/>
                      <w:vertAlign w:val="baseline"/>
                      <w:lang w:val="en-US" w:eastAsia="zh-CN"/>
                    </w:rPr>
                    <w:t>排气筒</w:t>
                  </w:r>
                </w:p>
              </w:tc>
              <w:tc>
                <w:tcPr>
                  <w:tcW w:w="1329" w:type="dxa"/>
                  <w:noWrap w:val="0"/>
                  <w:vAlign w:val="center"/>
                </w:tcPr>
                <w:p w14:paraId="045D8092">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beforeAutospacing="0" w:after="157" w:afterLines="50" w:afterAutospacing="0" w:line="240" w:lineRule="auto"/>
                    <w:ind w:left="0" w:right="0"/>
                    <w:jc w:val="center"/>
                    <w:textAlignment w:val="auto"/>
                    <w:rPr>
                      <w:rFonts w:hint="default" w:ascii="Times New Roman" w:hAnsi="Times New Roman" w:eastAsia="宋体" w:cs="宋体"/>
                      <w:color w:val="auto"/>
                      <w:sz w:val="21"/>
                      <w:szCs w:val="21"/>
                      <w:vertAlign w:val="baseline"/>
                      <w:lang w:val="en-US" w:eastAsia="zh-CN"/>
                    </w:rPr>
                  </w:pPr>
                  <w:r>
                    <w:rPr>
                      <w:rFonts w:hint="eastAsia" w:ascii="Times New Roman" w:hAnsi="Times New Roman" w:eastAsia="宋体" w:cs="宋体"/>
                      <w:color w:val="auto"/>
                      <w:sz w:val="21"/>
                      <w:szCs w:val="21"/>
                      <w:vertAlign w:val="baseline"/>
                      <w:lang w:val="en-US" w:eastAsia="zh-CN"/>
                    </w:rPr>
                    <w:t>污染物排放浓度</w:t>
                  </w:r>
                  <w:r>
                    <w:rPr>
                      <w:rFonts w:hint="eastAsia" w:ascii="Times New Roman" w:hAnsi="Times New Roman" w:eastAsia="宋体" w:cs="宋体"/>
                      <w:color w:val="auto"/>
                      <w:kern w:val="0"/>
                      <w:sz w:val="21"/>
                      <w:szCs w:val="21"/>
                    </w:rPr>
                    <w:t>（</w:t>
                  </w:r>
                  <w:r>
                    <w:rPr>
                      <w:rFonts w:hint="default" w:ascii="Times New Roman" w:hAnsi="Times New Roman" w:eastAsia="宋体" w:cs="Times New Roman"/>
                      <w:color w:val="auto"/>
                      <w:kern w:val="0"/>
                      <w:sz w:val="21"/>
                      <w:szCs w:val="21"/>
                    </w:rPr>
                    <w:t>mg/m</w:t>
                  </w:r>
                  <w:r>
                    <w:rPr>
                      <w:rFonts w:hint="default" w:ascii="Times New Roman" w:hAnsi="Times New Roman" w:eastAsia="宋体" w:cs="Times New Roman"/>
                      <w:color w:val="auto"/>
                      <w:kern w:val="0"/>
                      <w:sz w:val="21"/>
                      <w:szCs w:val="21"/>
                      <w:vertAlign w:val="superscript"/>
                    </w:rPr>
                    <w:t>3</w:t>
                  </w:r>
                  <w:r>
                    <w:rPr>
                      <w:rFonts w:hint="eastAsia" w:ascii="Times New Roman" w:hAnsi="Times New Roman" w:eastAsia="宋体" w:cs="宋体"/>
                      <w:color w:val="auto"/>
                      <w:kern w:val="0"/>
                      <w:sz w:val="21"/>
                      <w:szCs w:val="21"/>
                    </w:rPr>
                    <w:t>）</w:t>
                  </w:r>
                </w:p>
              </w:tc>
              <w:tc>
                <w:tcPr>
                  <w:tcW w:w="1329" w:type="dxa"/>
                  <w:noWrap w:val="0"/>
                  <w:vAlign w:val="center"/>
                </w:tcPr>
                <w:p w14:paraId="494768E1">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beforeAutospacing="0" w:after="157" w:afterLines="50" w:afterAutospacing="0" w:line="240" w:lineRule="auto"/>
                    <w:ind w:left="0" w:right="0"/>
                    <w:jc w:val="center"/>
                    <w:textAlignment w:val="auto"/>
                    <w:rPr>
                      <w:rFonts w:hint="default" w:ascii="Times New Roman" w:hAnsi="Times New Roman" w:eastAsia="宋体" w:cs="宋体"/>
                      <w:color w:val="auto"/>
                      <w:sz w:val="21"/>
                      <w:szCs w:val="21"/>
                      <w:vertAlign w:val="baseline"/>
                      <w:lang w:val="en-US" w:eastAsia="zh-CN"/>
                    </w:rPr>
                  </w:pPr>
                  <w:r>
                    <w:rPr>
                      <w:rFonts w:hint="eastAsia" w:ascii="Times New Roman" w:hAnsi="Times New Roman" w:eastAsia="宋体" w:cs="宋体"/>
                      <w:color w:val="auto"/>
                      <w:kern w:val="0"/>
                      <w:sz w:val="21"/>
                      <w:szCs w:val="21"/>
                    </w:rPr>
                    <w:t>废气量（万</w:t>
                  </w:r>
                  <w:r>
                    <w:rPr>
                      <w:rFonts w:hint="default" w:ascii="Times New Roman" w:hAnsi="Times New Roman" w:eastAsia="宋体" w:cs="Times New Roman"/>
                      <w:color w:val="auto"/>
                      <w:kern w:val="0"/>
                      <w:sz w:val="21"/>
                      <w:szCs w:val="21"/>
                    </w:rPr>
                    <w:t>m</w:t>
                  </w:r>
                  <w:r>
                    <w:rPr>
                      <w:rFonts w:hint="default" w:ascii="Times New Roman" w:hAnsi="Times New Roman" w:eastAsia="宋体" w:cs="Times New Roman"/>
                      <w:color w:val="auto"/>
                      <w:kern w:val="0"/>
                      <w:sz w:val="21"/>
                      <w:szCs w:val="21"/>
                      <w:vertAlign w:val="superscript"/>
                    </w:rPr>
                    <w:t>3</w:t>
                  </w:r>
                  <w:r>
                    <w:rPr>
                      <w:rFonts w:hint="default" w:ascii="Times New Roman" w:hAnsi="Times New Roman" w:eastAsia="宋体" w:cs="Times New Roman"/>
                      <w:color w:val="auto"/>
                      <w:kern w:val="0"/>
                      <w:sz w:val="21"/>
                      <w:szCs w:val="21"/>
                    </w:rPr>
                    <w:t>/a</w:t>
                  </w:r>
                  <w:r>
                    <w:rPr>
                      <w:rFonts w:hint="eastAsia" w:ascii="Times New Roman" w:hAnsi="Times New Roman" w:eastAsia="宋体" w:cs="宋体"/>
                      <w:color w:val="auto"/>
                      <w:kern w:val="0"/>
                      <w:sz w:val="21"/>
                      <w:szCs w:val="21"/>
                    </w:rPr>
                    <w:t>）</w:t>
                  </w:r>
                </w:p>
              </w:tc>
              <w:tc>
                <w:tcPr>
                  <w:tcW w:w="1674" w:type="dxa"/>
                  <w:noWrap w:val="0"/>
                  <w:vAlign w:val="center"/>
                </w:tcPr>
                <w:p w14:paraId="72B6CDE6">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beforeAutospacing="0" w:after="157" w:afterLines="50" w:afterAutospacing="0" w:line="240" w:lineRule="auto"/>
                    <w:ind w:left="0" w:right="0"/>
                    <w:jc w:val="center"/>
                    <w:textAlignment w:val="auto"/>
                    <w:rPr>
                      <w:rFonts w:hint="default" w:ascii="Times New Roman" w:hAnsi="Times New Roman" w:eastAsia="宋体" w:cs="宋体"/>
                      <w:color w:val="auto"/>
                      <w:sz w:val="21"/>
                      <w:szCs w:val="21"/>
                      <w:vertAlign w:val="baseline"/>
                      <w:lang w:val="en-US" w:eastAsia="zh-CN"/>
                    </w:rPr>
                  </w:pPr>
                  <w:r>
                    <w:rPr>
                      <w:rFonts w:hint="eastAsia" w:ascii="Times New Roman" w:hAnsi="Times New Roman" w:eastAsia="宋体" w:cs="宋体"/>
                      <w:color w:val="auto"/>
                      <w:kern w:val="0"/>
                      <w:sz w:val="21"/>
                      <w:szCs w:val="21"/>
                    </w:rPr>
                    <w:t>总量控制指标（</w:t>
                  </w:r>
                  <w:r>
                    <w:rPr>
                      <w:rFonts w:hint="default" w:ascii="Times New Roman" w:hAnsi="Times New Roman" w:eastAsia="宋体" w:cs="Times New Roman"/>
                      <w:color w:val="auto"/>
                      <w:kern w:val="0"/>
                      <w:sz w:val="21"/>
                      <w:szCs w:val="21"/>
                    </w:rPr>
                    <w:t>t/a</w:t>
                  </w:r>
                  <w:r>
                    <w:rPr>
                      <w:rFonts w:hint="eastAsia" w:ascii="Times New Roman" w:hAnsi="Times New Roman" w:eastAsia="宋体" w:cs="宋体"/>
                      <w:color w:val="auto"/>
                      <w:kern w:val="0"/>
                      <w:sz w:val="21"/>
                      <w:szCs w:val="21"/>
                    </w:rPr>
                    <w:t>）</w:t>
                  </w:r>
                </w:p>
              </w:tc>
            </w:tr>
            <w:tr w14:paraId="3F4374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1101" w:type="dxa"/>
                  <w:vMerge w:val="restart"/>
                  <w:noWrap w:val="0"/>
                  <w:vAlign w:val="center"/>
                </w:tcPr>
                <w:p w14:paraId="26F98205">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beforeAutospacing="0" w:after="157" w:afterLines="50" w:afterAutospacing="0" w:line="240" w:lineRule="auto"/>
                    <w:ind w:left="0" w:right="0"/>
                    <w:jc w:val="center"/>
                    <w:textAlignment w:val="auto"/>
                    <w:rPr>
                      <w:rFonts w:hint="default" w:ascii="Times New Roman" w:hAnsi="Times New Roman" w:eastAsia="宋体" w:cs="宋体"/>
                      <w:color w:val="auto"/>
                      <w:sz w:val="21"/>
                      <w:szCs w:val="21"/>
                      <w:vertAlign w:val="baseline"/>
                      <w:lang w:val="en-US" w:eastAsia="zh-CN"/>
                    </w:rPr>
                  </w:pPr>
                  <w:r>
                    <w:rPr>
                      <w:rFonts w:hint="eastAsia" w:ascii="Times New Roman" w:hAnsi="Times New Roman" w:eastAsia="宋体" w:cs="宋体"/>
                      <w:color w:val="auto"/>
                      <w:sz w:val="21"/>
                      <w:szCs w:val="21"/>
                      <w:vertAlign w:val="baseline"/>
                      <w:lang w:val="en-US" w:eastAsia="zh-CN"/>
                    </w:rPr>
                    <w:t>总量控制因子</w:t>
                  </w:r>
                </w:p>
              </w:tc>
              <w:tc>
                <w:tcPr>
                  <w:tcW w:w="1557" w:type="dxa"/>
                  <w:vMerge w:val="restart"/>
                  <w:noWrap w:val="0"/>
                  <w:vAlign w:val="center"/>
                </w:tcPr>
                <w:p w14:paraId="4903BE5C">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beforeAutospacing="0" w:after="157" w:afterLines="50" w:afterAutospacing="0" w:line="240" w:lineRule="auto"/>
                    <w:ind w:left="0" w:right="0"/>
                    <w:jc w:val="center"/>
                    <w:textAlignment w:val="auto"/>
                    <w:rPr>
                      <w:rFonts w:hint="default" w:ascii="Times New Roman" w:hAnsi="Times New Roman" w:eastAsia="宋体" w:cs="宋体"/>
                      <w:color w:val="auto"/>
                      <w:sz w:val="21"/>
                      <w:szCs w:val="21"/>
                      <w:vertAlign w:val="baseline"/>
                      <w:lang w:val="en-US" w:eastAsia="zh-CN"/>
                    </w:rPr>
                  </w:pPr>
                  <w:r>
                    <w:rPr>
                      <w:rFonts w:hint="eastAsia" w:ascii="Times New Roman" w:hAnsi="Times New Roman" w:eastAsia="宋体" w:cs="宋体"/>
                      <w:color w:val="auto"/>
                      <w:sz w:val="21"/>
                      <w:szCs w:val="21"/>
                      <w:vertAlign w:val="baseline"/>
                      <w:lang w:val="en-US" w:eastAsia="zh-CN"/>
                    </w:rPr>
                    <w:t>非甲烷总烃</w:t>
                  </w:r>
                </w:p>
              </w:tc>
              <w:tc>
                <w:tcPr>
                  <w:tcW w:w="1329" w:type="dxa"/>
                  <w:noWrap w:val="0"/>
                  <w:vAlign w:val="center"/>
                </w:tcPr>
                <w:p w14:paraId="4EFB59D2">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beforeAutospacing="0" w:after="157" w:afterLines="50" w:afterAutospacing="0" w:line="240" w:lineRule="auto"/>
                    <w:ind w:left="0" w:right="0"/>
                    <w:jc w:val="center"/>
                    <w:textAlignment w:val="auto"/>
                    <w:rPr>
                      <w:rFonts w:hint="default" w:ascii="Times New Roman" w:hAnsi="Times New Roman" w:eastAsia="宋体" w:cs="宋体"/>
                      <w:color w:val="auto"/>
                      <w:kern w:val="0"/>
                      <w:sz w:val="21"/>
                      <w:szCs w:val="21"/>
                      <w:lang w:val="en-US" w:eastAsia="zh-CN"/>
                    </w:rPr>
                  </w:pPr>
                  <w:r>
                    <w:rPr>
                      <w:rFonts w:hint="eastAsia" w:ascii="Times New Roman" w:hAnsi="Times New Roman" w:eastAsia="宋体" w:cs="宋体"/>
                      <w:color w:val="auto"/>
                      <w:kern w:val="0"/>
                      <w:sz w:val="21"/>
                      <w:szCs w:val="21"/>
                      <w:lang w:val="en-US" w:eastAsia="zh-CN"/>
                    </w:rPr>
                    <w:t>DA001</w:t>
                  </w:r>
                </w:p>
              </w:tc>
              <w:tc>
                <w:tcPr>
                  <w:tcW w:w="1329" w:type="dxa"/>
                  <w:noWrap w:val="0"/>
                  <w:vAlign w:val="center"/>
                </w:tcPr>
                <w:p w14:paraId="46F81156">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beforeAutospacing="0" w:after="157" w:afterLines="50" w:afterAutospacing="0" w:line="240" w:lineRule="auto"/>
                    <w:ind w:left="0" w:right="0"/>
                    <w:jc w:val="center"/>
                    <w:textAlignment w:val="auto"/>
                    <w:rPr>
                      <w:rFonts w:hint="default" w:ascii="Times New Roman" w:hAnsi="Times New Roman" w:eastAsia="宋体" w:cs="宋体"/>
                      <w:color w:val="auto"/>
                      <w:sz w:val="21"/>
                      <w:szCs w:val="21"/>
                      <w:vertAlign w:val="baseline"/>
                      <w:lang w:val="en-US" w:eastAsia="zh-CN"/>
                    </w:rPr>
                  </w:pPr>
                  <w:r>
                    <w:rPr>
                      <w:rFonts w:hint="eastAsia" w:cs="宋体"/>
                      <w:color w:val="auto"/>
                      <w:sz w:val="21"/>
                      <w:szCs w:val="21"/>
                      <w:vertAlign w:val="baseline"/>
                      <w:lang w:val="en-US" w:eastAsia="zh-CN"/>
                    </w:rPr>
                    <w:t>2.195</w:t>
                  </w:r>
                </w:p>
              </w:tc>
              <w:tc>
                <w:tcPr>
                  <w:tcW w:w="1329" w:type="dxa"/>
                  <w:noWrap w:val="0"/>
                  <w:vAlign w:val="center"/>
                </w:tcPr>
                <w:p w14:paraId="7F1A8F09">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beforeAutospacing="0" w:after="157" w:afterLines="50" w:afterAutospacing="0" w:line="240" w:lineRule="auto"/>
                    <w:ind w:left="0" w:leftChars="0" w:right="0" w:firstLine="0" w:firstLineChars="0"/>
                    <w:jc w:val="center"/>
                    <w:textAlignment w:val="auto"/>
                    <w:rPr>
                      <w:rFonts w:hint="default" w:ascii="Times New Roman" w:hAnsi="Times New Roman" w:eastAsia="宋体" w:cs="宋体"/>
                      <w:color w:val="auto"/>
                      <w:kern w:val="2"/>
                      <w:sz w:val="21"/>
                      <w:szCs w:val="21"/>
                      <w:vertAlign w:val="baseline"/>
                      <w:lang w:val="en-US" w:eastAsia="zh-CN" w:bidi="ar-SA"/>
                    </w:rPr>
                  </w:pPr>
                  <w:r>
                    <w:rPr>
                      <w:rFonts w:hint="eastAsia" w:cs="宋体"/>
                      <w:color w:val="auto"/>
                      <w:sz w:val="21"/>
                      <w:szCs w:val="21"/>
                      <w:vertAlign w:val="baseline"/>
                      <w:lang w:val="en-US" w:eastAsia="zh-CN"/>
                    </w:rPr>
                    <w:t>21916.08</w:t>
                  </w:r>
                </w:p>
              </w:tc>
              <w:tc>
                <w:tcPr>
                  <w:tcW w:w="1674" w:type="dxa"/>
                  <w:noWrap w:val="0"/>
                  <w:vAlign w:val="center"/>
                </w:tcPr>
                <w:p w14:paraId="23C79204">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beforeAutospacing="0" w:after="157" w:afterLines="50" w:afterAutospacing="0" w:line="240" w:lineRule="auto"/>
                    <w:ind w:left="0" w:right="0"/>
                    <w:jc w:val="center"/>
                    <w:textAlignment w:val="auto"/>
                    <w:rPr>
                      <w:rFonts w:hint="default" w:ascii="Times New Roman" w:hAnsi="Times New Roman" w:eastAsia="宋体" w:cs="宋体"/>
                      <w:color w:val="auto"/>
                      <w:sz w:val="21"/>
                      <w:szCs w:val="21"/>
                      <w:vertAlign w:val="baseline"/>
                      <w:lang w:val="en-US" w:eastAsia="zh-CN"/>
                    </w:rPr>
                  </w:pPr>
                  <w:r>
                    <w:rPr>
                      <w:rFonts w:hint="eastAsia" w:cs="宋体"/>
                      <w:color w:val="auto"/>
                      <w:sz w:val="21"/>
                      <w:szCs w:val="21"/>
                      <w:vertAlign w:val="baseline"/>
                      <w:lang w:val="en-US" w:eastAsia="zh-CN"/>
                    </w:rPr>
                    <w:t>0.481</w:t>
                  </w:r>
                </w:p>
              </w:tc>
            </w:tr>
            <w:tr w14:paraId="546CBC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trPr>
              <w:tc>
                <w:tcPr>
                  <w:tcW w:w="1101" w:type="dxa"/>
                  <w:vMerge w:val="continue"/>
                  <w:noWrap w:val="0"/>
                  <w:vAlign w:val="center"/>
                </w:tcPr>
                <w:p w14:paraId="74E27BE7">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beforeAutospacing="0" w:after="157" w:afterLines="50" w:afterAutospacing="0" w:line="240" w:lineRule="auto"/>
                    <w:ind w:left="0" w:right="0"/>
                    <w:jc w:val="center"/>
                    <w:textAlignment w:val="auto"/>
                    <w:rPr>
                      <w:rFonts w:hint="default" w:ascii="Times New Roman" w:hAnsi="Times New Roman" w:eastAsia="宋体" w:cs="宋体"/>
                      <w:color w:val="auto"/>
                      <w:sz w:val="21"/>
                      <w:szCs w:val="21"/>
                      <w:vertAlign w:val="baseline"/>
                      <w:lang w:val="en-US" w:eastAsia="zh-CN"/>
                    </w:rPr>
                  </w:pPr>
                </w:p>
              </w:tc>
              <w:tc>
                <w:tcPr>
                  <w:tcW w:w="1557" w:type="dxa"/>
                  <w:vMerge w:val="continue"/>
                  <w:noWrap w:val="0"/>
                  <w:vAlign w:val="center"/>
                </w:tcPr>
                <w:p w14:paraId="37121394">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beforeAutospacing="0" w:after="157" w:afterLines="50" w:afterAutospacing="0" w:line="240" w:lineRule="auto"/>
                    <w:ind w:left="0" w:right="0"/>
                    <w:jc w:val="center"/>
                    <w:textAlignment w:val="auto"/>
                    <w:rPr>
                      <w:rFonts w:hint="default" w:ascii="Times New Roman" w:hAnsi="Times New Roman" w:eastAsia="宋体" w:cs="宋体"/>
                      <w:color w:val="auto"/>
                      <w:sz w:val="21"/>
                      <w:szCs w:val="21"/>
                      <w:vertAlign w:val="baseline"/>
                      <w:lang w:val="en-US" w:eastAsia="zh-CN"/>
                    </w:rPr>
                  </w:pPr>
                </w:p>
              </w:tc>
              <w:tc>
                <w:tcPr>
                  <w:tcW w:w="1329" w:type="dxa"/>
                  <w:noWrap w:val="0"/>
                  <w:vAlign w:val="center"/>
                </w:tcPr>
                <w:p w14:paraId="73C825A4">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beforeAutospacing="0" w:after="157" w:afterLines="50" w:afterAutospacing="0" w:line="240" w:lineRule="auto"/>
                    <w:ind w:left="0" w:right="0"/>
                    <w:jc w:val="center"/>
                    <w:textAlignment w:val="auto"/>
                    <w:rPr>
                      <w:rFonts w:hint="default" w:ascii="Times New Roman" w:hAnsi="Times New Roman" w:eastAsia="宋体" w:cs="宋体"/>
                      <w:color w:val="auto"/>
                      <w:kern w:val="0"/>
                      <w:sz w:val="21"/>
                      <w:szCs w:val="21"/>
                      <w:lang w:val="en-US" w:eastAsia="zh-CN"/>
                    </w:rPr>
                  </w:pPr>
                  <w:r>
                    <w:rPr>
                      <w:rFonts w:hint="eastAsia" w:ascii="Times New Roman" w:hAnsi="Times New Roman" w:eastAsia="宋体" w:cs="宋体"/>
                      <w:color w:val="auto"/>
                      <w:kern w:val="0"/>
                      <w:sz w:val="21"/>
                      <w:szCs w:val="21"/>
                      <w:lang w:val="en-US" w:eastAsia="zh-CN"/>
                    </w:rPr>
                    <w:t>DA002</w:t>
                  </w:r>
                </w:p>
              </w:tc>
              <w:tc>
                <w:tcPr>
                  <w:tcW w:w="1329" w:type="dxa"/>
                  <w:noWrap w:val="0"/>
                  <w:vAlign w:val="center"/>
                </w:tcPr>
                <w:p w14:paraId="1E283A9A">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beforeAutospacing="0" w:after="157" w:afterLines="50" w:afterAutospacing="0" w:line="240" w:lineRule="auto"/>
                    <w:ind w:left="0" w:right="0"/>
                    <w:jc w:val="center"/>
                    <w:textAlignment w:val="auto"/>
                    <w:rPr>
                      <w:rFonts w:hint="default" w:ascii="Times New Roman" w:hAnsi="Times New Roman" w:eastAsia="宋体" w:cs="宋体"/>
                      <w:color w:val="auto"/>
                      <w:sz w:val="21"/>
                      <w:szCs w:val="21"/>
                      <w:vertAlign w:val="baseline"/>
                      <w:lang w:val="en-US" w:eastAsia="zh-CN"/>
                    </w:rPr>
                  </w:pPr>
                  <w:r>
                    <w:rPr>
                      <w:rFonts w:hint="eastAsia" w:cs="宋体"/>
                      <w:color w:val="auto"/>
                      <w:sz w:val="21"/>
                      <w:szCs w:val="21"/>
                      <w:vertAlign w:val="baseline"/>
                      <w:lang w:val="en-US" w:eastAsia="zh-CN"/>
                    </w:rPr>
                    <w:t>2.434</w:t>
                  </w:r>
                </w:p>
              </w:tc>
              <w:tc>
                <w:tcPr>
                  <w:tcW w:w="1329" w:type="dxa"/>
                  <w:noWrap w:val="0"/>
                  <w:vAlign w:val="center"/>
                </w:tcPr>
                <w:p w14:paraId="11D4CEBA">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beforeAutospacing="0" w:after="157" w:afterLines="50" w:afterAutospacing="0" w:line="240" w:lineRule="auto"/>
                    <w:ind w:left="0" w:leftChars="0" w:right="0" w:firstLine="0" w:firstLineChars="0"/>
                    <w:jc w:val="center"/>
                    <w:textAlignment w:val="auto"/>
                    <w:rPr>
                      <w:rFonts w:hint="default" w:ascii="Times New Roman" w:hAnsi="Times New Roman" w:eastAsia="宋体" w:cs="宋体"/>
                      <w:color w:val="auto"/>
                      <w:kern w:val="2"/>
                      <w:sz w:val="21"/>
                      <w:szCs w:val="21"/>
                      <w:vertAlign w:val="baseline"/>
                      <w:lang w:val="en-US" w:eastAsia="zh-CN" w:bidi="ar-SA"/>
                    </w:rPr>
                  </w:pPr>
                  <w:r>
                    <w:rPr>
                      <w:rFonts w:hint="eastAsia" w:cs="宋体"/>
                      <w:color w:val="auto"/>
                      <w:sz w:val="21"/>
                      <w:szCs w:val="21"/>
                      <w:vertAlign w:val="baseline"/>
                      <w:lang w:val="en-US" w:eastAsia="zh-CN"/>
                    </w:rPr>
                    <w:t>18802.8</w:t>
                  </w:r>
                </w:p>
              </w:tc>
              <w:tc>
                <w:tcPr>
                  <w:tcW w:w="1674" w:type="dxa"/>
                  <w:noWrap w:val="0"/>
                  <w:vAlign w:val="center"/>
                </w:tcPr>
                <w:p w14:paraId="79D09682">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beforeAutospacing="0" w:after="157" w:afterLines="50" w:afterAutospacing="0" w:line="240" w:lineRule="auto"/>
                    <w:ind w:left="0" w:right="0"/>
                    <w:jc w:val="center"/>
                    <w:textAlignment w:val="auto"/>
                    <w:rPr>
                      <w:rFonts w:hint="default" w:ascii="Times New Roman" w:hAnsi="Times New Roman" w:eastAsia="宋体" w:cs="宋体"/>
                      <w:color w:val="auto"/>
                      <w:sz w:val="21"/>
                      <w:szCs w:val="21"/>
                      <w:vertAlign w:val="baseline"/>
                      <w:lang w:val="en-US" w:eastAsia="zh-CN"/>
                    </w:rPr>
                  </w:pPr>
                  <w:r>
                    <w:rPr>
                      <w:rFonts w:hint="eastAsia" w:cs="宋体"/>
                      <w:color w:val="auto"/>
                      <w:sz w:val="21"/>
                      <w:szCs w:val="21"/>
                      <w:vertAlign w:val="baseline"/>
                      <w:lang w:val="en-US" w:eastAsia="zh-CN"/>
                    </w:rPr>
                    <w:t>0.458</w:t>
                  </w:r>
                </w:p>
              </w:tc>
            </w:tr>
            <w:tr w14:paraId="472FE4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1101" w:type="dxa"/>
                  <w:vMerge w:val="continue"/>
                  <w:noWrap w:val="0"/>
                  <w:vAlign w:val="center"/>
                </w:tcPr>
                <w:p w14:paraId="2FED87EC">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beforeAutospacing="0" w:after="157" w:afterLines="50" w:afterAutospacing="0" w:line="240" w:lineRule="auto"/>
                    <w:ind w:left="0" w:right="0"/>
                    <w:jc w:val="center"/>
                    <w:textAlignment w:val="auto"/>
                    <w:rPr>
                      <w:rFonts w:hint="default" w:ascii="Times New Roman" w:hAnsi="Times New Roman" w:eastAsia="宋体" w:cs="宋体"/>
                      <w:color w:val="auto"/>
                      <w:sz w:val="21"/>
                      <w:szCs w:val="21"/>
                      <w:vertAlign w:val="baseline"/>
                      <w:lang w:val="en-US" w:eastAsia="zh-CN"/>
                    </w:rPr>
                  </w:pPr>
                </w:p>
              </w:tc>
              <w:tc>
                <w:tcPr>
                  <w:tcW w:w="1557" w:type="dxa"/>
                  <w:vMerge w:val="continue"/>
                  <w:noWrap w:val="0"/>
                  <w:vAlign w:val="center"/>
                </w:tcPr>
                <w:p w14:paraId="7F173C40">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beforeAutospacing="0" w:after="157" w:afterLines="50" w:afterAutospacing="0" w:line="240" w:lineRule="auto"/>
                    <w:ind w:left="0" w:right="0"/>
                    <w:jc w:val="center"/>
                    <w:textAlignment w:val="auto"/>
                    <w:rPr>
                      <w:rFonts w:hint="default" w:ascii="Times New Roman" w:hAnsi="Times New Roman" w:eastAsia="宋体" w:cs="宋体"/>
                      <w:color w:val="auto"/>
                      <w:sz w:val="21"/>
                      <w:szCs w:val="21"/>
                      <w:vertAlign w:val="baseline"/>
                      <w:lang w:val="en-US" w:eastAsia="zh-CN"/>
                    </w:rPr>
                  </w:pPr>
                </w:p>
              </w:tc>
              <w:tc>
                <w:tcPr>
                  <w:tcW w:w="1329" w:type="dxa"/>
                  <w:noWrap w:val="0"/>
                  <w:vAlign w:val="center"/>
                </w:tcPr>
                <w:p w14:paraId="5CFC7E3C">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beforeAutospacing="0" w:after="157" w:afterLines="50" w:afterAutospacing="0" w:line="240" w:lineRule="auto"/>
                    <w:ind w:left="0" w:right="0"/>
                    <w:jc w:val="center"/>
                    <w:textAlignment w:val="auto"/>
                    <w:rPr>
                      <w:rFonts w:hint="default" w:ascii="Times New Roman" w:hAnsi="Times New Roman" w:eastAsia="宋体" w:cs="宋体"/>
                      <w:color w:val="auto"/>
                      <w:sz w:val="21"/>
                      <w:szCs w:val="21"/>
                      <w:vertAlign w:val="baseline"/>
                      <w:lang w:val="en-US" w:eastAsia="zh-CN"/>
                    </w:rPr>
                  </w:pPr>
                  <w:r>
                    <w:rPr>
                      <w:rFonts w:hint="eastAsia" w:ascii="Times New Roman" w:hAnsi="Times New Roman" w:eastAsia="宋体" w:cs="宋体"/>
                      <w:color w:val="auto"/>
                      <w:kern w:val="0"/>
                      <w:sz w:val="21"/>
                      <w:szCs w:val="21"/>
                    </w:rPr>
                    <w:t>DA00</w:t>
                  </w:r>
                  <w:r>
                    <w:rPr>
                      <w:rFonts w:hint="eastAsia" w:ascii="Times New Roman" w:hAnsi="Times New Roman" w:eastAsia="宋体" w:cs="宋体"/>
                      <w:color w:val="auto"/>
                      <w:kern w:val="0"/>
                      <w:sz w:val="21"/>
                      <w:szCs w:val="21"/>
                      <w:lang w:val="en-US" w:eastAsia="zh-CN"/>
                    </w:rPr>
                    <w:t>3</w:t>
                  </w:r>
                </w:p>
              </w:tc>
              <w:tc>
                <w:tcPr>
                  <w:tcW w:w="1329" w:type="dxa"/>
                  <w:noWrap w:val="0"/>
                  <w:vAlign w:val="center"/>
                </w:tcPr>
                <w:p w14:paraId="0B762E8E">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beforeAutospacing="0" w:after="157" w:afterLines="50" w:afterAutospacing="0" w:line="240" w:lineRule="auto"/>
                    <w:ind w:left="0" w:right="0"/>
                    <w:jc w:val="center"/>
                    <w:textAlignment w:val="auto"/>
                    <w:rPr>
                      <w:rFonts w:hint="default" w:ascii="Times New Roman" w:hAnsi="Times New Roman" w:eastAsia="宋体" w:cs="宋体"/>
                      <w:color w:val="auto"/>
                      <w:sz w:val="21"/>
                      <w:szCs w:val="21"/>
                      <w:vertAlign w:val="baseline"/>
                      <w:lang w:val="en-US" w:eastAsia="zh-CN"/>
                    </w:rPr>
                  </w:pPr>
                  <w:r>
                    <w:rPr>
                      <w:rFonts w:hint="eastAsia" w:cs="宋体"/>
                      <w:color w:val="auto"/>
                      <w:sz w:val="21"/>
                      <w:szCs w:val="21"/>
                      <w:vertAlign w:val="baseline"/>
                      <w:lang w:val="en-US" w:eastAsia="zh-CN"/>
                    </w:rPr>
                    <w:t>1.410</w:t>
                  </w:r>
                </w:p>
              </w:tc>
              <w:tc>
                <w:tcPr>
                  <w:tcW w:w="1329" w:type="dxa"/>
                  <w:noWrap w:val="0"/>
                  <w:vAlign w:val="center"/>
                </w:tcPr>
                <w:p w14:paraId="75939332">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beforeAutospacing="0" w:after="157" w:afterLines="50" w:afterAutospacing="0" w:line="240" w:lineRule="auto"/>
                    <w:ind w:left="0" w:leftChars="0" w:right="0" w:firstLine="0" w:firstLineChars="0"/>
                    <w:jc w:val="center"/>
                    <w:textAlignment w:val="auto"/>
                    <w:rPr>
                      <w:rFonts w:hint="default" w:ascii="Times New Roman" w:hAnsi="Times New Roman" w:eastAsia="宋体" w:cs="宋体"/>
                      <w:color w:val="auto"/>
                      <w:kern w:val="2"/>
                      <w:sz w:val="21"/>
                      <w:szCs w:val="21"/>
                      <w:vertAlign w:val="baseline"/>
                      <w:lang w:val="en-US" w:eastAsia="zh-CN" w:bidi="ar-SA"/>
                    </w:rPr>
                  </w:pPr>
                  <w:r>
                    <w:rPr>
                      <w:rFonts w:hint="eastAsia" w:ascii="Times New Roman" w:hAnsi="Times New Roman" w:eastAsia="宋体" w:cs="宋体"/>
                      <w:color w:val="auto"/>
                      <w:sz w:val="21"/>
                      <w:szCs w:val="21"/>
                      <w:vertAlign w:val="baseline"/>
                      <w:lang w:val="en-US" w:eastAsia="zh-CN"/>
                    </w:rPr>
                    <w:t>6480</w:t>
                  </w:r>
                </w:p>
              </w:tc>
              <w:tc>
                <w:tcPr>
                  <w:tcW w:w="1674" w:type="dxa"/>
                  <w:noWrap w:val="0"/>
                  <w:vAlign w:val="center"/>
                </w:tcPr>
                <w:p w14:paraId="45EF1757">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beforeAutospacing="0" w:after="157" w:afterLines="50" w:afterAutospacing="0" w:line="240" w:lineRule="auto"/>
                    <w:ind w:left="0" w:right="0"/>
                    <w:jc w:val="center"/>
                    <w:textAlignment w:val="auto"/>
                    <w:rPr>
                      <w:rFonts w:hint="default" w:ascii="Times New Roman" w:hAnsi="Times New Roman" w:eastAsia="宋体" w:cs="宋体"/>
                      <w:color w:val="auto"/>
                      <w:sz w:val="21"/>
                      <w:szCs w:val="21"/>
                      <w:vertAlign w:val="baseline"/>
                      <w:lang w:val="en-US" w:eastAsia="zh-CN"/>
                    </w:rPr>
                  </w:pPr>
                  <w:r>
                    <w:rPr>
                      <w:rFonts w:hint="eastAsia" w:cs="宋体"/>
                      <w:color w:val="auto"/>
                      <w:sz w:val="21"/>
                      <w:szCs w:val="21"/>
                      <w:vertAlign w:val="baseline"/>
                      <w:lang w:val="en-US" w:eastAsia="zh-CN"/>
                    </w:rPr>
                    <w:t>0.091</w:t>
                  </w:r>
                </w:p>
              </w:tc>
            </w:tr>
            <w:tr w14:paraId="06882B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noWrap w:val="0"/>
                  <w:vAlign w:val="center"/>
                </w:tcPr>
                <w:p w14:paraId="395763E3">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beforeAutospacing="0" w:after="157" w:afterLines="50" w:afterAutospacing="0" w:line="240" w:lineRule="auto"/>
                    <w:ind w:left="0" w:right="0"/>
                    <w:jc w:val="center"/>
                    <w:textAlignment w:val="auto"/>
                    <w:rPr>
                      <w:rFonts w:hint="default" w:ascii="Times New Roman" w:hAnsi="Times New Roman" w:eastAsia="宋体" w:cs="宋体"/>
                      <w:color w:val="auto"/>
                      <w:sz w:val="21"/>
                      <w:szCs w:val="21"/>
                      <w:vertAlign w:val="baseline"/>
                      <w:lang w:val="en-US" w:eastAsia="zh-CN"/>
                    </w:rPr>
                  </w:pPr>
                  <w:r>
                    <w:rPr>
                      <w:rFonts w:hint="eastAsia" w:ascii="Times New Roman" w:hAnsi="Times New Roman" w:eastAsia="宋体" w:cs="宋体"/>
                      <w:color w:val="auto"/>
                      <w:sz w:val="21"/>
                      <w:szCs w:val="21"/>
                      <w:vertAlign w:val="baseline"/>
                      <w:lang w:val="en-US" w:eastAsia="zh-CN"/>
                    </w:rPr>
                    <w:t>核算公式</w:t>
                  </w:r>
                </w:p>
              </w:tc>
              <w:tc>
                <w:tcPr>
                  <w:tcW w:w="7218" w:type="dxa"/>
                  <w:gridSpan w:val="5"/>
                  <w:noWrap w:val="0"/>
                  <w:vAlign w:val="center"/>
                </w:tcPr>
                <w:p w14:paraId="1B7C8024">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beforeAutospacing="0" w:after="157" w:afterLines="50" w:afterAutospacing="0" w:line="240" w:lineRule="auto"/>
                    <w:ind w:left="0" w:right="0"/>
                    <w:jc w:val="center"/>
                    <w:textAlignment w:val="auto"/>
                    <w:rPr>
                      <w:rFonts w:hint="default" w:ascii="Times New Roman" w:hAnsi="Times New Roman" w:eastAsia="宋体" w:cs="宋体"/>
                      <w:color w:val="auto"/>
                      <w:sz w:val="21"/>
                      <w:szCs w:val="21"/>
                      <w:vertAlign w:val="baseline"/>
                      <w:lang w:val="en-US" w:eastAsia="zh-CN"/>
                    </w:rPr>
                  </w:pPr>
                  <w:r>
                    <w:rPr>
                      <w:rFonts w:hint="eastAsia" w:ascii="Times New Roman" w:hAnsi="Times New Roman" w:eastAsia="宋体" w:cs="宋体"/>
                      <w:color w:val="auto"/>
                      <w:kern w:val="0"/>
                      <w:sz w:val="21"/>
                      <w:szCs w:val="21"/>
                    </w:rPr>
                    <w:t>污染物排放总量(t/a)=污染物浓度（mg/m</w:t>
                  </w:r>
                  <w:r>
                    <w:rPr>
                      <w:rFonts w:hint="eastAsia" w:ascii="Times New Roman" w:hAnsi="Times New Roman" w:eastAsia="宋体" w:cs="宋体"/>
                      <w:color w:val="auto"/>
                      <w:kern w:val="0"/>
                      <w:sz w:val="21"/>
                      <w:szCs w:val="21"/>
                      <w:vertAlign w:val="superscript"/>
                    </w:rPr>
                    <w:t>3</w:t>
                  </w:r>
                  <w:r>
                    <w:rPr>
                      <w:rFonts w:hint="eastAsia" w:ascii="Times New Roman" w:hAnsi="Times New Roman" w:eastAsia="宋体" w:cs="宋体"/>
                      <w:color w:val="auto"/>
                      <w:kern w:val="0"/>
                      <w:sz w:val="21"/>
                      <w:szCs w:val="21"/>
                    </w:rPr>
                    <w:t>）×废气量（万m</w:t>
                  </w:r>
                  <w:r>
                    <w:rPr>
                      <w:rFonts w:hint="eastAsia" w:ascii="Times New Roman" w:hAnsi="Times New Roman" w:eastAsia="宋体" w:cs="宋体"/>
                      <w:color w:val="auto"/>
                      <w:kern w:val="0"/>
                      <w:sz w:val="21"/>
                      <w:szCs w:val="21"/>
                      <w:vertAlign w:val="superscript"/>
                    </w:rPr>
                    <w:t>3</w:t>
                  </w:r>
                  <w:r>
                    <w:rPr>
                      <w:rFonts w:hint="eastAsia" w:ascii="Times New Roman" w:hAnsi="Times New Roman" w:eastAsia="宋体" w:cs="宋体"/>
                      <w:color w:val="auto"/>
                      <w:kern w:val="0"/>
                      <w:sz w:val="21"/>
                      <w:szCs w:val="21"/>
                    </w:rPr>
                    <w:t>/a）×10</w:t>
                  </w:r>
                  <w:r>
                    <w:rPr>
                      <w:rFonts w:hint="eastAsia" w:ascii="Times New Roman" w:hAnsi="Times New Roman" w:eastAsia="宋体" w:cs="宋体"/>
                      <w:color w:val="auto"/>
                      <w:kern w:val="0"/>
                      <w:sz w:val="21"/>
                      <w:szCs w:val="21"/>
                      <w:vertAlign w:val="superscript"/>
                    </w:rPr>
                    <w:t>-5</w:t>
                  </w:r>
                </w:p>
              </w:tc>
            </w:tr>
            <w:tr w14:paraId="29EE14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noWrap w:val="0"/>
                  <w:vAlign w:val="center"/>
                </w:tcPr>
                <w:p w14:paraId="620468C1">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beforeAutospacing="0" w:after="157" w:afterLines="50" w:afterAutospacing="0" w:line="240" w:lineRule="auto"/>
                    <w:ind w:left="0" w:right="0"/>
                    <w:jc w:val="center"/>
                    <w:textAlignment w:val="auto"/>
                    <w:rPr>
                      <w:rFonts w:hint="default" w:ascii="Times New Roman" w:hAnsi="Times New Roman" w:eastAsia="宋体" w:cs="宋体"/>
                      <w:color w:val="auto"/>
                      <w:sz w:val="21"/>
                      <w:szCs w:val="21"/>
                      <w:vertAlign w:val="baseline"/>
                      <w:lang w:val="en-US" w:eastAsia="zh-CN"/>
                    </w:rPr>
                  </w:pPr>
                  <w:r>
                    <w:rPr>
                      <w:rFonts w:hint="eastAsia" w:ascii="Times New Roman" w:hAnsi="Times New Roman" w:eastAsia="宋体" w:cs="宋体"/>
                      <w:color w:val="auto"/>
                      <w:sz w:val="21"/>
                      <w:szCs w:val="21"/>
                      <w:vertAlign w:val="baseline"/>
                      <w:lang w:val="en-US" w:eastAsia="zh-CN"/>
                    </w:rPr>
                    <w:t>核算过程</w:t>
                  </w:r>
                </w:p>
              </w:tc>
              <w:tc>
                <w:tcPr>
                  <w:tcW w:w="7218" w:type="dxa"/>
                  <w:gridSpan w:val="5"/>
                  <w:noWrap w:val="0"/>
                  <w:vAlign w:val="center"/>
                </w:tcPr>
                <w:p w14:paraId="0D46F7AA">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color w:val="auto"/>
                      <w:kern w:val="0"/>
                      <w:sz w:val="21"/>
                      <w:szCs w:val="21"/>
                    </w:rPr>
                  </w:pPr>
                  <w:r>
                    <w:rPr>
                      <w:rFonts w:hint="eastAsia" w:ascii="Times New Roman" w:hAnsi="Times New Roman" w:eastAsia="宋体" w:cs="Times New Roman"/>
                      <w:color w:val="auto"/>
                      <w:kern w:val="0"/>
                      <w:sz w:val="21"/>
                      <w:szCs w:val="21"/>
                      <w:lang w:val="en-US" w:eastAsia="zh-CN"/>
                    </w:rPr>
                    <w:t>DA001</w:t>
                  </w:r>
                  <w:r>
                    <w:rPr>
                      <w:rFonts w:hint="default" w:ascii="Times New Roman" w:hAnsi="Times New Roman" w:eastAsia="宋体" w:cs="Times New Roman"/>
                      <w:color w:val="auto"/>
                      <w:kern w:val="0"/>
                      <w:sz w:val="21"/>
                      <w:szCs w:val="21"/>
                    </w:rPr>
                    <w:t>非甲烷总烃排放总量(t/a)=</w:t>
                  </w:r>
                  <w:r>
                    <w:rPr>
                      <w:rFonts w:hint="eastAsia" w:cs="Times New Roman"/>
                      <w:color w:val="auto"/>
                      <w:kern w:val="0"/>
                      <w:sz w:val="21"/>
                      <w:szCs w:val="21"/>
                      <w:lang w:val="en-US" w:eastAsia="zh-CN"/>
                    </w:rPr>
                    <w:t>2.195</w:t>
                  </w:r>
                  <w:r>
                    <w:rPr>
                      <w:rFonts w:hint="default" w:ascii="Times New Roman" w:hAnsi="Times New Roman" w:eastAsia="宋体" w:cs="Times New Roman"/>
                      <w:color w:val="auto"/>
                      <w:kern w:val="0"/>
                      <w:sz w:val="21"/>
                      <w:szCs w:val="21"/>
                    </w:rPr>
                    <w:t>×</w:t>
                  </w:r>
                  <w:r>
                    <w:rPr>
                      <w:rFonts w:hint="eastAsia" w:cs="Times New Roman"/>
                      <w:color w:val="auto"/>
                      <w:kern w:val="0"/>
                      <w:sz w:val="21"/>
                      <w:szCs w:val="21"/>
                      <w:lang w:val="en-US" w:eastAsia="zh-CN"/>
                    </w:rPr>
                    <w:t>21916.08</w:t>
                  </w:r>
                  <w:r>
                    <w:rPr>
                      <w:rFonts w:hint="default" w:ascii="Times New Roman" w:hAnsi="Times New Roman" w:eastAsia="宋体" w:cs="Times New Roman"/>
                      <w:color w:val="auto"/>
                      <w:kern w:val="0"/>
                      <w:sz w:val="21"/>
                      <w:szCs w:val="21"/>
                    </w:rPr>
                    <w:t>×10</w:t>
                  </w:r>
                  <w:r>
                    <w:rPr>
                      <w:rFonts w:hint="default" w:ascii="Times New Roman" w:hAnsi="Times New Roman" w:eastAsia="宋体" w:cs="Times New Roman"/>
                      <w:color w:val="auto"/>
                      <w:kern w:val="0"/>
                      <w:sz w:val="21"/>
                      <w:szCs w:val="21"/>
                      <w:vertAlign w:val="superscript"/>
                    </w:rPr>
                    <w:t>-5</w:t>
                  </w:r>
                  <w:r>
                    <w:rPr>
                      <w:rFonts w:hint="default" w:ascii="Times New Roman" w:hAnsi="Times New Roman" w:eastAsia="宋体" w:cs="Times New Roman"/>
                      <w:color w:val="auto"/>
                      <w:kern w:val="0"/>
                      <w:sz w:val="21"/>
                      <w:szCs w:val="21"/>
                    </w:rPr>
                    <w:t>=</w:t>
                  </w:r>
                  <w:r>
                    <w:rPr>
                      <w:rFonts w:hint="eastAsia" w:cs="Times New Roman"/>
                      <w:color w:val="auto"/>
                      <w:kern w:val="0"/>
                      <w:sz w:val="21"/>
                      <w:szCs w:val="21"/>
                      <w:lang w:val="en-US" w:eastAsia="zh-CN"/>
                    </w:rPr>
                    <w:t>0.481</w:t>
                  </w:r>
                  <w:r>
                    <w:rPr>
                      <w:rFonts w:hint="default" w:ascii="Times New Roman" w:hAnsi="Times New Roman" w:eastAsia="宋体" w:cs="Times New Roman"/>
                      <w:color w:val="auto"/>
                      <w:kern w:val="0"/>
                      <w:sz w:val="21"/>
                      <w:szCs w:val="21"/>
                    </w:rPr>
                    <w:t>。</w:t>
                  </w:r>
                </w:p>
                <w:p w14:paraId="251A46C7">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beforeAutospacing="0" w:after="157" w:afterLines="50" w:afterAutospacing="0" w:line="240" w:lineRule="auto"/>
                    <w:ind w:left="0" w:right="0"/>
                    <w:jc w:val="center"/>
                    <w:textAlignment w:val="auto"/>
                    <w:rPr>
                      <w:rFonts w:hint="default" w:ascii="Times New Roman" w:hAnsi="Times New Roman" w:cs="Times New Roman"/>
                      <w:color w:val="auto"/>
                      <w:lang w:val="en-US" w:eastAsia="zh-CN"/>
                    </w:rPr>
                  </w:pPr>
                  <w:r>
                    <w:rPr>
                      <w:rFonts w:hint="eastAsia" w:ascii="Times New Roman" w:hAnsi="Times New Roman" w:eastAsia="宋体" w:cs="Times New Roman"/>
                      <w:color w:val="auto"/>
                      <w:kern w:val="0"/>
                      <w:sz w:val="21"/>
                      <w:szCs w:val="21"/>
                      <w:lang w:val="en-US" w:eastAsia="zh-CN"/>
                    </w:rPr>
                    <w:t>DA002</w:t>
                  </w:r>
                  <w:r>
                    <w:rPr>
                      <w:rFonts w:hint="default" w:ascii="Times New Roman" w:hAnsi="Times New Roman" w:eastAsia="宋体" w:cs="Times New Roman"/>
                      <w:color w:val="auto"/>
                      <w:kern w:val="0"/>
                      <w:sz w:val="21"/>
                      <w:szCs w:val="21"/>
                    </w:rPr>
                    <w:t>非甲烷总烃排放总量(t/a)=</w:t>
                  </w:r>
                  <w:r>
                    <w:rPr>
                      <w:rFonts w:hint="eastAsia" w:cs="Times New Roman"/>
                      <w:color w:val="auto"/>
                      <w:kern w:val="0"/>
                      <w:sz w:val="21"/>
                      <w:szCs w:val="21"/>
                      <w:lang w:val="en-US" w:eastAsia="zh-CN"/>
                    </w:rPr>
                    <w:t>2.434</w:t>
                  </w:r>
                  <w:r>
                    <w:rPr>
                      <w:rFonts w:hint="default" w:ascii="Times New Roman" w:hAnsi="Times New Roman" w:eastAsia="宋体" w:cs="Times New Roman"/>
                      <w:color w:val="auto"/>
                      <w:kern w:val="0"/>
                      <w:sz w:val="21"/>
                      <w:szCs w:val="21"/>
                    </w:rPr>
                    <w:t>×</w:t>
                  </w:r>
                  <w:r>
                    <w:rPr>
                      <w:rFonts w:hint="eastAsia" w:cs="Times New Roman"/>
                      <w:color w:val="auto"/>
                      <w:kern w:val="0"/>
                      <w:sz w:val="21"/>
                      <w:szCs w:val="21"/>
                      <w:lang w:val="en-US" w:eastAsia="zh-CN"/>
                    </w:rPr>
                    <w:t>18802.8</w:t>
                  </w:r>
                  <w:r>
                    <w:rPr>
                      <w:rFonts w:hint="default" w:ascii="Times New Roman" w:hAnsi="Times New Roman" w:eastAsia="宋体" w:cs="Times New Roman"/>
                      <w:color w:val="auto"/>
                      <w:kern w:val="0"/>
                      <w:sz w:val="21"/>
                      <w:szCs w:val="21"/>
                    </w:rPr>
                    <w:t>×10</w:t>
                  </w:r>
                  <w:r>
                    <w:rPr>
                      <w:rFonts w:hint="default" w:ascii="Times New Roman" w:hAnsi="Times New Roman" w:eastAsia="宋体" w:cs="Times New Roman"/>
                      <w:color w:val="auto"/>
                      <w:kern w:val="0"/>
                      <w:sz w:val="21"/>
                      <w:szCs w:val="21"/>
                      <w:vertAlign w:val="superscript"/>
                    </w:rPr>
                    <w:t>-5</w:t>
                  </w:r>
                  <w:r>
                    <w:rPr>
                      <w:rFonts w:hint="default" w:ascii="Times New Roman" w:hAnsi="Times New Roman" w:eastAsia="宋体" w:cs="Times New Roman"/>
                      <w:color w:val="auto"/>
                      <w:kern w:val="0"/>
                      <w:sz w:val="21"/>
                      <w:szCs w:val="21"/>
                    </w:rPr>
                    <w:t>=</w:t>
                  </w:r>
                  <w:r>
                    <w:rPr>
                      <w:rFonts w:hint="eastAsia" w:cs="Times New Roman"/>
                      <w:color w:val="auto"/>
                      <w:kern w:val="0"/>
                      <w:sz w:val="21"/>
                      <w:szCs w:val="21"/>
                      <w:lang w:val="en-US" w:eastAsia="zh-CN"/>
                    </w:rPr>
                    <w:t>0.458</w:t>
                  </w:r>
                  <w:r>
                    <w:rPr>
                      <w:rFonts w:hint="default" w:ascii="Times New Roman" w:hAnsi="Times New Roman" w:eastAsia="宋体" w:cs="Times New Roman"/>
                      <w:color w:val="auto"/>
                      <w:kern w:val="0"/>
                      <w:sz w:val="21"/>
                      <w:szCs w:val="21"/>
                    </w:rPr>
                    <w:t>。</w:t>
                  </w:r>
                </w:p>
                <w:p w14:paraId="20BE5CF3">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beforeAutospacing="0" w:after="157" w:afterLines="50" w:afterAutospacing="0" w:line="240" w:lineRule="auto"/>
                    <w:ind w:left="0" w:right="0"/>
                    <w:jc w:val="center"/>
                    <w:textAlignment w:val="auto"/>
                    <w:rPr>
                      <w:rFonts w:hint="default" w:ascii="Times New Roman" w:hAnsi="Times New Roman" w:eastAsia="宋体" w:cs="宋体"/>
                      <w:color w:val="auto"/>
                      <w:sz w:val="21"/>
                      <w:szCs w:val="21"/>
                      <w:vertAlign w:val="baseline"/>
                      <w:lang w:val="en-US" w:eastAsia="zh-CN"/>
                    </w:rPr>
                  </w:pPr>
                  <w:r>
                    <w:rPr>
                      <w:rFonts w:hint="eastAsia" w:ascii="Times New Roman" w:hAnsi="Times New Roman" w:eastAsia="宋体" w:cs="Times New Roman"/>
                      <w:color w:val="auto"/>
                      <w:kern w:val="0"/>
                      <w:sz w:val="21"/>
                      <w:szCs w:val="21"/>
                      <w:lang w:val="en-US" w:eastAsia="zh-CN"/>
                    </w:rPr>
                    <w:t>DA003</w:t>
                  </w:r>
                  <w:r>
                    <w:rPr>
                      <w:rFonts w:hint="default" w:ascii="Times New Roman" w:hAnsi="Times New Roman" w:eastAsia="宋体" w:cs="Times New Roman"/>
                      <w:color w:val="auto"/>
                      <w:kern w:val="0"/>
                      <w:sz w:val="21"/>
                      <w:szCs w:val="21"/>
                    </w:rPr>
                    <w:t>非甲烷总烃排放总量(t/a)=</w:t>
                  </w:r>
                  <w:r>
                    <w:rPr>
                      <w:rFonts w:hint="eastAsia" w:cs="Times New Roman"/>
                      <w:color w:val="auto"/>
                      <w:kern w:val="0"/>
                      <w:sz w:val="21"/>
                      <w:szCs w:val="21"/>
                      <w:lang w:val="en-US" w:eastAsia="zh-CN"/>
                    </w:rPr>
                    <w:t>1.410</w:t>
                  </w:r>
                  <w:r>
                    <w:rPr>
                      <w:rFonts w:hint="default" w:ascii="Times New Roman" w:hAnsi="Times New Roman" w:eastAsia="宋体" w:cs="Times New Roman"/>
                      <w:color w:val="auto"/>
                      <w:kern w:val="0"/>
                      <w:sz w:val="21"/>
                      <w:szCs w:val="21"/>
                    </w:rPr>
                    <w:t>×</w:t>
                  </w:r>
                  <w:r>
                    <w:rPr>
                      <w:rFonts w:hint="eastAsia" w:ascii="Times New Roman" w:hAnsi="Times New Roman" w:eastAsia="宋体" w:cs="Times New Roman"/>
                      <w:color w:val="auto"/>
                      <w:kern w:val="0"/>
                      <w:sz w:val="21"/>
                      <w:szCs w:val="21"/>
                      <w:lang w:val="en-US" w:eastAsia="zh-CN"/>
                    </w:rPr>
                    <w:t>6480</w:t>
                  </w:r>
                  <w:r>
                    <w:rPr>
                      <w:rFonts w:hint="default" w:ascii="Times New Roman" w:hAnsi="Times New Roman" w:eastAsia="宋体" w:cs="Times New Roman"/>
                      <w:color w:val="auto"/>
                      <w:kern w:val="0"/>
                      <w:sz w:val="21"/>
                      <w:szCs w:val="21"/>
                    </w:rPr>
                    <w:t>×10</w:t>
                  </w:r>
                  <w:r>
                    <w:rPr>
                      <w:rFonts w:hint="default" w:ascii="Times New Roman" w:hAnsi="Times New Roman" w:eastAsia="宋体" w:cs="Times New Roman"/>
                      <w:color w:val="auto"/>
                      <w:kern w:val="0"/>
                      <w:sz w:val="21"/>
                      <w:szCs w:val="21"/>
                      <w:vertAlign w:val="superscript"/>
                    </w:rPr>
                    <w:t>-5</w:t>
                  </w:r>
                  <w:r>
                    <w:rPr>
                      <w:rFonts w:hint="default" w:ascii="Times New Roman" w:hAnsi="Times New Roman" w:eastAsia="宋体" w:cs="Times New Roman"/>
                      <w:color w:val="auto"/>
                      <w:kern w:val="0"/>
                      <w:sz w:val="21"/>
                      <w:szCs w:val="21"/>
                    </w:rPr>
                    <w:t>=</w:t>
                  </w:r>
                  <w:r>
                    <w:rPr>
                      <w:rFonts w:hint="eastAsia" w:cs="Times New Roman"/>
                      <w:color w:val="auto"/>
                      <w:kern w:val="0"/>
                      <w:sz w:val="21"/>
                      <w:szCs w:val="21"/>
                      <w:lang w:val="en-US" w:eastAsia="zh-CN"/>
                    </w:rPr>
                    <w:t>0.091</w:t>
                  </w:r>
                  <w:r>
                    <w:rPr>
                      <w:rFonts w:hint="default" w:ascii="Times New Roman" w:hAnsi="Times New Roman" w:eastAsia="宋体" w:cs="Times New Roman"/>
                      <w:color w:val="auto"/>
                      <w:kern w:val="0"/>
                      <w:sz w:val="21"/>
                      <w:szCs w:val="21"/>
                    </w:rPr>
                    <w:t>。</w:t>
                  </w:r>
                </w:p>
              </w:tc>
            </w:tr>
            <w:tr w14:paraId="55E403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noWrap w:val="0"/>
                  <w:vAlign w:val="center"/>
                </w:tcPr>
                <w:p w14:paraId="0BF592AE">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beforeAutospacing="0" w:after="157" w:afterLines="50" w:afterAutospacing="0" w:line="240" w:lineRule="auto"/>
                    <w:ind w:left="0" w:right="0"/>
                    <w:jc w:val="center"/>
                    <w:textAlignment w:val="auto"/>
                    <w:rPr>
                      <w:rFonts w:hint="default" w:ascii="Times New Roman" w:hAnsi="Times New Roman" w:eastAsia="宋体" w:cs="宋体"/>
                      <w:color w:val="auto"/>
                      <w:sz w:val="21"/>
                      <w:szCs w:val="21"/>
                      <w:vertAlign w:val="baseline"/>
                      <w:lang w:val="en-US" w:eastAsia="zh-CN"/>
                    </w:rPr>
                  </w:pPr>
                  <w:r>
                    <w:rPr>
                      <w:rFonts w:hint="eastAsia" w:ascii="Times New Roman" w:hAnsi="Times New Roman" w:eastAsia="宋体" w:cs="宋体"/>
                      <w:color w:val="auto"/>
                      <w:sz w:val="21"/>
                      <w:szCs w:val="21"/>
                      <w:vertAlign w:val="baseline"/>
                      <w:lang w:val="en-US" w:eastAsia="zh-CN"/>
                    </w:rPr>
                    <w:t>核算结果</w:t>
                  </w:r>
                </w:p>
              </w:tc>
              <w:tc>
                <w:tcPr>
                  <w:tcW w:w="7218" w:type="dxa"/>
                  <w:gridSpan w:val="5"/>
                  <w:noWrap w:val="0"/>
                  <w:vAlign w:val="center"/>
                </w:tcPr>
                <w:p w14:paraId="6E673A6A">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beforeAutospacing="0" w:after="157" w:afterLines="50" w:afterAutospacing="0" w:line="240" w:lineRule="auto"/>
                    <w:ind w:left="0" w:right="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由公式核算可知，项目污染物年排放量总量控制指标为：非甲烷总烃：</w:t>
                  </w:r>
                  <w:r>
                    <w:rPr>
                      <w:rFonts w:hint="eastAsia" w:cs="Times New Roman"/>
                      <w:color w:val="auto"/>
                      <w:kern w:val="0"/>
                      <w:sz w:val="21"/>
                      <w:szCs w:val="21"/>
                      <w:lang w:val="en-US" w:eastAsia="zh-CN"/>
                    </w:rPr>
                    <w:t>1.030</w:t>
                  </w:r>
                  <w:r>
                    <w:rPr>
                      <w:rFonts w:hint="default" w:ascii="Times New Roman" w:hAnsi="Times New Roman" w:eastAsia="宋体" w:cs="Times New Roman"/>
                      <w:color w:val="auto"/>
                      <w:kern w:val="0"/>
                      <w:sz w:val="21"/>
                      <w:szCs w:val="21"/>
                    </w:rPr>
                    <w:t>t/a。</w:t>
                  </w:r>
                </w:p>
              </w:tc>
            </w:tr>
          </w:tbl>
          <w:p w14:paraId="2D2BB744">
            <w:pPr>
              <w:keepNext w:val="0"/>
              <w:keepLines w:val="0"/>
              <w:suppressLineNumbers w:val="0"/>
              <w:spacing w:before="157" w:beforeLines="50" w:beforeAutospacing="0" w:after="0" w:afterAutospacing="0" w:line="360" w:lineRule="auto"/>
              <w:ind w:left="0" w:right="0" w:firstLine="480" w:firstLineChars="200"/>
              <w:rPr>
                <w:rFonts w:hint="default" w:ascii="Times New Roman" w:hAnsi="Times New Roman" w:cs="Times New Roman"/>
              </w:rPr>
            </w:pPr>
            <w:r>
              <w:rPr>
                <w:rFonts w:hint="default" w:ascii="Times New Roman" w:hAnsi="Times New Roman" w:cs="Times New Roman"/>
                <w:color w:val="auto"/>
                <w:sz w:val="24"/>
                <w:lang w:val="en-US" w:eastAsia="zh-CN"/>
              </w:rPr>
              <w:t>由上表可知，按预测排放浓度核算项目废气污染物排放总量为：非甲烷总烃：</w:t>
            </w:r>
            <w:r>
              <w:rPr>
                <w:rFonts w:hint="eastAsia" w:cs="Times New Roman"/>
                <w:color w:val="auto"/>
                <w:sz w:val="24"/>
                <w:lang w:val="en-US" w:eastAsia="zh-CN"/>
              </w:rPr>
              <w:t>1.030</w:t>
            </w:r>
            <w:r>
              <w:rPr>
                <w:rFonts w:hint="default" w:ascii="Times New Roman" w:hAnsi="Times New Roman" w:cs="Times New Roman"/>
                <w:color w:val="auto"/>
                <w:sz w:val="24"/>
                <w:lang w:val="en-US" w:eastAsia="zh-CN"/>
              </w:rPr>
              <w:t>t/a。</w:t>
            </w:r>
          </w:p>
          <w:p w14:paraId="4AB37C1E">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b/>
                <w:bCs/>
                <w:color w:val="auto"/>
                <w:sz w:val="24"/>
                <w:szCs w:val="24"/>
              </w:rPr>
            </w:pPr>
            <w:r>
              <w:rPr>
                <w:rFonts w:hint="default" w:ascii="Times New Roman" w:hAnsi="Times New Roman" w:eastAsia="宋体" w:cs="Times New Roman"/>
                <w:sz w:val="24"/>
                <w:szCs w:val="20"/>
              </w:rPr>
              <w:t>综上，</w:t>
            </w:r>
            <w:r>
              <w:rPr>
                <w:rFonts w:hint="eastAsia" w:ascii="Times New Roman" w:hAnsi="Times New Roman" w:eastAsia="宋体" w:cs="Times New Roman"/>
                <w:sz w:val="24"/>
                <w:lang w:eastAsia="zh-CN"/>
              </w:rPr>
              <w:t>本项目</w:t>
            </w:r>
            <w:r>
              <w:rPr>
                <w:rFonts w:hint="default" w:ascii="Times New Roman" w:hAnsi="Times New Roman" w:eastAsia="宋体" w:cs="Times New Roman"/>
                <w:sz w:val="24"/>
                <w:szCs w:val="20"/>
              </w:rPr>
              <w:t>总量控制指标为COD：0t/a、氨氮：0t/a、SO</w:t>
            </w:r>
            <w:r>
              <w:rPr>
                <w:rFonts w:hint="default" w:ascii="Times New Roman" w:hAnsi="Times New Roman" w:eastAsia="宋体" w:cs="Times New Roman"/>
                <w:sz w:val="24"/>
                <w:szCs w:val="20"/>
                <w:vertAlign w:val="subscript"/>
              </w:rPr>
              <w:t>2</w:t>
            </w:r>
            <w:r>
              <w:rPr>
                <w:rFonts w:hint="default" w:ascii="Times New Roman" w:hAnsi="Times New Roman" w:eastAsia="宋体" w:cs="Times New Roman"/>
                <w:sz w:val="24"/>
                <w:szCs w:val="20"/>
              </w:rPr>
              <w:t>：0t/a、NO</w:t>
            </w:r>
            <w:r>
              <w:rPr>
                <w:rFonts w:hint="default" w:ascii="Times New Roman" w:hAnsi="Times New Roman" w:eastAsia="宋体" w:cs="Times New Roman"/>
                <w:sz w:val="24"/>
                <w:szCs w:val="20"/>
                <w:highlight w:val="none"/>
                <w:vertAlign w:val="subscript"/>
              </w:rPr>
              <w:t>X</w:t>
            </w:r>
            <w:r>
              <w:rPr>
                <w:rFonts w:hint="default" w:ascii="Times New Roman" w:hAnsi="Times New Roman" w:eastAsia="宋体" w:cs="Times New Roman"/>
                <w:sz w:val="24"/>
                <w:szCs w:val="20"/>
                <w:highlight w:val="none"/>
              </w:rPr>
              <w:t>：</w:t>
            </w:r>
            <w:r>
              <w:rPr>
                <w:rFonts w:hint="eastAsia" w:ascii="Times New Roman" w:hAnsi="Times New Roman" w:eastAsia="宋体" w:cs="Times New Roman"/>
                <w:sz w:val="24"/>
                <w:szCs w:val="20"/>
                <w:highlight w:val="none"/>
              </w:rPr>
              <w:t>0</w:t>
            </w:r>
            <w:r>
              <w:rPr>
                <w:rFonts w:hint="default" w:ascii="Times New Roman" w:hAnsi="Times New Roman" w:eastAsia="宋体" w:cs="Times New Roman"/>
                <w:sz w:val="24"/>
                <w:szCs w:val="20"/>
                <w:highlight w:val="none"/>
              </w:rPr>
              <w:t>t/a</w:t>
            </w:r>
            <w:r>
              <w:rPr>
                <w:rFonts w:hint="eastAsia" w:ascii="Times New Roman" w:hAnsi="Times New Roman" w:eastAsia="宋体" w:cs="Times New Roman"/>
                <w:sz w:val="24"/>
                <w:szCs w:val="20"/>
                <w:highlight w:val="none"/>
              </w:rPr>
              <w:t>、非甲烷总烃</w:t>
            </w:r>
            <w:r>
              <w:rPr>
                <w:rFonts w:hint="eastAsia" w:cs="Times New Roman"/>
                <w:color w:val="auto"/>
                <w:sz w:val="24"/>
                <w:szCs w:val="24"/>
                <w:lang w:val="en-US" w:eastAsia="zh-CN"/>
              </w:rPr>
              <w:t>23.594</w:t>
            </w:r>
            <w:r>
              <w:rPr>
                <w:rFonts w:hint="eastAsia" w:ascii="Times New Roman" w:hAnsi="Times New Roman" w:eastAsia="宋体" w:cs="Times New Roman"/>
                <w:sz w:val="24"/>
                <w:szCs w:val="20"/>
                <w:highlight w:val="none"/>
              </w:rPr>
              <w:t>t/a</w:t>
            </w:r>
            <w:r>
              <w:rPr>
                <w:rFonts w:hint="eastAsia" w:ascii="Times New Roman" w:hAnsi="Times New Roman" w:eastAsia="宋体" w:cs="Times New Roman"/>
                <w:color w:val="auto"/>
                <w:sz w:val="24"/>
                <w:szCs w:val="24"/>
                <w:lang w:eastAsia="zh-CN"/>
              </w:rPr>
              <w:t>（标准浓度核算）、</w:t>
            </w:r>
            <w:r>
              <w:rPr>
                <w:rFonts w:hint="eastAsia" w:cs="Times New Roman"/>
                <w:color w:val="auto"/>
                <w:sz w:val="24"/>
                <w:szCs w:val="24"/>
                <w:lang w:val="en-US" w:eastAsia="zh-CN"/>
              </w:rPr>
              <w:t>1.030</w:t>
            </w:r>
            <w:r>
              <w:rPr>
                <w:rFonts w:hint="default" w:ascii="Times New Roman" w:hAnsi="Times New Roman" w:eastAsia="宋体" w:cs="Times New Roman"/>
                <w:color w:val="auto"/>
                <w:sz w:val="24"/>
                <w:szCs w:val="24"/>
              </w:rPr>
              <w:t>t/a</w:t>
            </w:r>
            <w:r>
              <w:rPr>
                <w:rFonts w:hint="eastAsia" w:ascii="Times New Roman" w:hAnsi="Times New Roman" w:eastAsia="宋体" w:cs="Times New Roman"/>
                <w:color w:val="auto"/>
                <w:sz w:val="24"/>
                <w:szCs w:val="24"/>
                <w:lang w:eastAsia="zh-CN"/>
              </w:rPr>
              <w:t>（预测浓度核算）。</w:t>
            </w:r>
          </w:p>
          <w:p w14:paraId="2B76F514">
            <w:pPr>
              <w:keepNext w:val="0"/>
              <w:keepLines w:val="0"/>
              <w:pageBreakBefore w:val="0"/>
              <w:widowControl w:val="0"/>
              <w:numPr>
                <w:ilvl w:val="0"/>
                <w:numId w:val="0"/>
              </w:numPr>
              <w:suppressLineNumbers w:val="0"/>
              <w:tabs>
                <w:tab w:val="left" w:pos="6599"/>
              </w:tabs>
              <w:kinsoku/>
              <w:wordWrap/>
              <w:overflowPunct/>
              <w:topLinePunct w:val="0"/>
              <w:autoSpaceDE/>
              <w:autoSpaceDN/>
              <w:bidi w:val="0"/>
              <w:snapToGrid/>
              <w:spacing w:before="0" w:beforeAutospacing="0" w:after="0" w:afterAutospacing="0" w:line="360" w:lineRule="auto"/>
              <w:ind w:left="0" w:right="0"/>
              <w:textAlignment w:val="auto"/>
              <w:rPr>
                <w:rFonts w:hint="default" w:ascii="Times New Roman" w:hAnsi="Times New Roman" w:eastAsia="宋体" w:cs="Times New Roman"/>
                <w:b/>
                <w:bCs/>
                <w:color w:val="auto"/>
                <w:sz w:val="24"/>
                <w:szCs w:val="24"/>
                <w:lang w:val="en-US" w:eastAsia="zh-CN"/>
              </w:rPr>
            </w:pPr>
            <w:r>
              <w:rPr>
                <w:rFonts w:hint="eastAsia" w:ascii="Times New Roman" w:hAnsi="Times New Roman" w:eastAsia="宋体" w:cs="Times New Roman"/>
                <w:b/>
                <w:bCs/>
                <w:color w:val="auto"/>
                <w:sz w:val="24"/>
                <w:szCs w:val="24"/>
                <w:lang w:val="en-US" w:eastAsia="zh-CN"/>
              </w:rPr>
              <w:t>3、</w:t>
            </w:r>
            <w:r>
              <w:rPr>
                <w:rFonts w:hint="default" w:ascii="Times New Roman" w:hAnsi="Times New Roman" w:eastAsia="宋体" w:cs="Times New Roman"/>
                <w:b/>
                <w:bCs/>
                <w:color w:val="auto"/>
                <w:sz w:val="24"/>
                <w:szCs w:val="24"/>
                <w:lang w:val="en-US" w:eastAsia="zh-CN"/>
              </w:rPr>
              <w:t>总量控制</w:t>
            </w:r>
            <w:r>
              <w:rPr>
                <w:rFonts w:hint="eastAsia" w:ascii="Times New Roman" w:hAnsi="Times New Roman" w:eastAsia="宋体" w:cs="Times New Roman"/>
                <w:b/>
                <w:bCs/>
                <w:color w:val="auto"/>
                <w:sz w:val="24"/>
                <w:szCs w:val="24"/>
                <w:lang w:val="en-US" w:eastAsia="zh-CN"/>
              </w:rPr>
              <w:t>“三本账”</w:t>
            </w:r>
          </w:p>
          <w:p w14:paraId="295E7EB1">
            <w:pPr>
              <w:keepNext w:val="0"/>
              <w:keepLines w:val="0"/>
              <w:suppressLineNumbers w:val="0"/>
              <w:tabs>
                <w:tab w:val="left" w:pos="6599"/>
              </w:tabs>
              <w:spacing w:before="0" w:beforeAutospacing="0" w:after="0" w:afterAutospacing="0" w:line="360" w:lineRule="auto"/>
              <w:ind w:left="0" w:right="0" w:firstLine="480" w:firstLineChars="200"/>
              <w:rPr>
                <w:rFonts w:hint="eastAsia" w:ascii="Times New Roman" w:hAnsi="Times New Roman" w:eastAsia="宋体" w:cs="Times New Roman"/>
                <w:color w:val="auto"/>
                <w:sz w:val="24"/>
                <w:highlight w:val="none"/>
                <w:lang w:eastAsia="zh-CN"/>
              </w:rPr>
            </w:pPr>
            <w:r>
              <w:rPr>
                <w:rFonts w:hint="eastAsia" w:ascii="Times New Roman" w:hAnsi="Times New Roman" w:cs="Times New Roman"/>
                <w:bCs/>
                <w:color w:val="auto"/>
                <w:sz w:val="24"/>
                <w:lang w:eastAsia="zh-CN"/>
              </w:rPr>
              <w:t>根据</w:t>
            </w:r>
            <w:r>
              <w:rPr>
                <w:rFonts w:hint="eastAsia" w:ascii="Times New Roman" w:hAnsi="Times New Roman" w:cs="Times New Roman"/>
                <w:color w:val="auto"/>
                <w:sz w:val="24"/>
                <w:szCs w:val="20"/>
                <w:lang w:val="en-US" w:eastAsia="zh-CN"/>
              </w:rPr>
              <w:t>现有工程环评批复及验收资料，</w:t>
            </w:r>
            <w:r>
              <w:rPr>
                <w:rFonts w:hint="eastAsia" w:ascii="Times New Roman" w:hAnsi="Times New Roman" w:cs="Times New Roman"/>
                <w:color w:val="auto"/>
                <w:sz w:val="24"/>
                <w:szCs w:val="20"/>
              </w:rPr>
              <w:t>现有项目</w:t>
            </w:r>
            <w:r>
              <w:rPr>
                <w:rFonts w:hint="default" w:ascii="Times New Roman" w:hAnsi="Times New Roman" w:cs="Times New Roman"/>
                <w:color w:val="auto"/>
                <w:sz w:val="24"/>
                <w:szCs w:val="20"/>
              </w:rPr>
              <w:t>总量控制指标为COD：0t/a、氨氮：0t/a、SO</w:t>
            </w:r>
            <w:r>
              <w:rPr>
                <w:rFonts w:hint="default" w:ascii="Times New Roman" w:hAnsi="Times New Roman" w:cs="Times New Roman"/>
                <w:color w:val="auto"/>
                <w:sz w:val="24"/>
                <w:szCs w:val="20"/>
                <w:vertAlign w:val="subscript"/>
              </w:rPr>
              <w:t>2</w:t>
            </w:r>
            <w:r>
              <w:rPr>
                <w:rFonts w:hint="default" w:ascii="Times New Roman" w:hAnsi="Times New Roman" w:cs="Times New Roman"/>
                <w:color w:val="auto"/>
                <w:sz w:val="24"/>
                <w:szCs w:val="20"/>
              </w:rPr>
              <w:t>：0t/a、NO</w:t>
            </w:r>
            <w:r>
              <w:rPr>
                <w:rFonts w:hint="default" w:ascii="Times New Roman" w:hAnsi="Times New Roman" w:cs="Times New Roman"/>
                <w:color w:val="auto"/>
                <w:sz w:val="24"/>
                <w:szCs w:val="20"/>
                <w:vertAlign w:val="subscript"/>
              </w:rPr>
              <w:t>X</w:t>
            </w:r>
            <w:r>
              <w:rPr>
                <w:rFonts w:hint="default" w:ascii="Times New Roman" w:hAnsi="Times New Roman" w:cs="Times New Roman"/>
                <w:color w:val="auto"/>
                <w:sz w:val="24"/>
                <w:szCs w:val="20"/>
              </w:rPr>
              <w:t>：0t/a</w:t>
            </w:r>
            <w:r>
              <w:rPr>
                <w:rFonts w:hint="eastAsia" w:ascii="Times New Roman" w:hAnsi="Times New Roman" w:cs="Times New Roman"/>
                <w:color w:val="auto"/>
                <w:sz w:val="24"/>
                <w:szCs w:val="20"/>
                <w:lang w:eastAsia="zh-CN"/>
              </w:rPr>
              <w:t>、非甲烷总烃</w:t>
            </w:r>
            <w:r>
              <w:rPr>
                <w:rFonts w:hint="eastAsia" w:ascii="Times New Roman" w:hAnsi="Times New Roman" w:cs="Times New Roman"/>
                <w:color w:val="auto"/>
                <w:sz w:val="24"/>
                <w:szCs w:val="20"/>
                <w:lang w:val="en-US" w:eastAsia="zh-CN"/>
              </w:rPr>
              <w:t>36</w:t>
            </w:r>
            <w:r>
              <w:rPr>
                <w:rFonts w:hint="default" w:ascii="Times New Roman" w:hAnsi="Times New Roman" w:cs="Times New Roman"/>
                <w:color w:val="auto"/>
                <w:sz w:val="24"/>
                <w:szCs w:val="20"/>
              </w:rPr>
              <w:t>t/a</w:t>
            </w:r>
            <w:r>
              <w:rPr>
                <w:rFonts w:hint="eastAsia" w:ascii="Times New Roman" w:hAnsi="Times New Roman" w:cs="Times New Roman"/>
                <w:color w:val="auto"/>
                <w:sz w:val="24"/>
                <w:szCs w:val="20"/>
              </w:rPr>
              <w:t>。</w:t>
            </w:r>
          </w:p>
          <w:p w14:paraId="2CC62646">
            <w:pPr>
              <w:keepNext w:val="0"/>
              <w:keepLines w:val="0"/>
              <w:suppressLineNumbers w:val="0"/>
              <w:spacing w:before="0" w:beforeAutospacing="0" w:after="0" w:afterAutospacing="0" w:line="240" w:lineRule="auto"/>
              <w:ind w:left="0" w:right="0" w:firstLine="422" w:firstLineChars="200"/>
              <w:jc w:val="center"/>
              <w:rPr>
                <w:rFonts w:hint="default" w:ascii="宋体" w:hAnsi="宋体" w:eastAsia="宋体" w:cs="Times New Roman"/>
                <w:b/>
                <w:bCs w:val="0"/>
                <w:color w:val="auto"/>
                <w:sz w:val="21"/>
                <w:szCs w:val="21"/>
              </w:rPr>
            </w:pPr>
            <w:r>
              <w:rPr>
                <w:rFonts w:hint="eastAsia" w:ascii="Times New Roman" w:hAnsi="Times New Roman" w:eastAsia="宋体" w:cs="Times New Roman"/>
                <w:b/>
                <w:bCs/>
                <w:color w:val="auto"/>
                <w:kern w:val="0"/>
                <w:sz w:val="21"/>
                <w:szCs w:val="21"/>
                <w:lang w:val="en-US" w:eastAsia="zh-CN" w:bidi="ar-SA"/>
              </w:rPr>
              <w:t>总量控制指标三本账</w:t>
            </w:r>
          </w:p>
          <w:tbl>
            <w:tblPr>
              <w:tblStyle w:val="38"/>
              <w:tblW w:w="82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3"/>
              <w:gridCol w:w="663"/>
              <w:gridCol w:w="1266"/>
              <w:gridCol w:w="1317"/>
              <w:gridCol w:w="1350"/>
              <w:gridCol w:w="1683"/>
              <w:gridCol w:w="1263"/>
            </w:tblGrid>
            <w:tr w14:paraId="187497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326" w:type="dxa"/>
                  <w:gridSpan w:val="2"/>
                  <w:tcBorders>
                    <w:tl2br w:val="nil"/>
                    <w:tr2bl w:val="nil"/>
                  </w:tcBorders>
                  <w:noWrap w:val="0"/>
                  <w:vAlign w:val="center"/>
                </w:tcPr>
                <w:p w14:paraId="29ACB950">
                  <w:pPr>
                    <w:keepNext w:val="0"/>
                    <w:keepLines w:val="0"/>
                    <w:suppressLineNumbers w:val="0"/>
                    <w:snapToGrid w:val="0"/>
                    <w:spacing w:before="0" w:beforeLines="10" w:beforeAutospacing="0" w:after="0" w:afterLines="10" w:afterAutospacing="0"/>
                    <w:ind w:left="0" w:right="0"/>
                    <w:jc w:val="center"/>
                    <w:rPr>
                      <w:rFonts w:hint="default" w:ascii="Times New Roman" w:hAnsi="Times New Roman" w:eastAsia="宋体" w:cs="Times New Roman"/>
                      <w:snapToGrid w:val="0"/>
                      <w:color w:val="auto"/>
                      <w:szCs w:val="21"/>
                    </w:rPr>
                  </w:pPr>
                  <w:r>
                    <w:rPr>
                      <w:rFonts w:hint="default" w:ascii="Times New Roman" w:hAnsi="Times New Roman" w:eastAsia="宋体" w:cs="Times New Roman"/>
                      <w:snapToGrid w:val="0"/>
                      <w:color w:val="auto"/>
                      <w:szCs w:val="21"/>
                    </w:rPr>
                    <w:t>污染物</w:t>
                  </w:r>
                </w:p>
              </w:tc>
              <w:tc>
                <w:tcPr>
                  <w:tcW w:w="1266" w:type="dxa"/>
                  <w:tcBorders>
                    <w:tl2br w:val="nil"/>
                    <w:tr2bl w:val="nil"/>
                  </w:tcBorders>
                  <w:noWrap w:val="0"/>
                  <w:vAlign w:val="center"/>
                </w:tcPr>
                <w:p w14:paraId="20D762E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color w:val="auto"/>
                      <w:szCs w:val="21"/>
                    </w:rPr>
                  </w:pPr>
                  <w:r>
                    <w:rPr>
                      <w:rFonts w:hint="default" w:ascii="Times New Roman" w:hAnsi="Times New Roman" w:eastAsia="宋体" w:cs="Times New Roman"/>
                      <w:color w:val="auto"/>
                      <w:szCs w:val="21"/>
                    </w:rPr>
                    <w:t>现有工程排放量</w:t>
                  </w:r>
                  <w:r>
                    <w:rPr>
                      <w:rFonts w:hint="default" w:ascii="Times New Roman" w:hAnsi="Times New Roman" w:eastAsia="宋体" w:cs="Times New Roman"/>
                      <w:color w:val="auto"/>
                      <w:szCs w:val="16"/>
                    </w:rPr>
                    <w:t>t/a</w:t>
                  </w:r>
                </w:p>
              </w:tc>
              <w:tc>
                <w:tcPr>
                  <w:tcW w:w="1317" w:type="dxa"/>
                  <w:tcBorders>
                    <w:tl2br w:val="nil"/>
                    <w:tr2bl w:val="nil"/>
                  </w:tcBorders>
                  <w:noWrap w:val="0"/>
                  <w:vAlign w:val="center"/>
                </w:tcPr>
                <w:p w14:paraId="1CDCD9E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color w:val="auto"/>
                      <w:szCs w:val="21"/>
                    </w:rPr>
                  </w:pPr>
                  <w:r>
                    <w:rPr>
                      <w:rFonts w:hint="eastAsia" w:ascii="Times New Roman" w:hAnsi="Times New Roman" w:eastAsia="宋体" w:cs="Times New Roman"/>
                      <w:color w:val="auto"/>
                      <w:szCs w:val="21"/>
                      <w:lang w:eastAsia="zh-CN"/>
                    </w:rPr>
                    <w:t>技改</w:t>
                  </w:r>
                  <w:r>
                    <w:rPr>
                      <w:rFonts w:hint="default" w:ascii="Times New Roman" w:hAnsi="Times New Roman" w:eastAsia="宋体" w:cs="Times New Roman"/>
                      <w:color w:val="auto"/>
                      <w:szCs w:val="21"/>
                    </w:rPr>
                    <w:t>工程排放量</w:t>
                  </w:r>
                  <w:r>
                    <w:rPr>
                      <w:rFonts w:hint="default" w:ascii="Times New Roman" w:hAnsi="Times New Roman" w:eastAsia="宋体" w:cs="Times New Roman"/>
                      <w:color w:val="auto"/>
                      <w:szCs w:val="16"/>
                    </w:rPr>
                    <w:t>t/a</w:t>
                  </w:r>
                </w:p>
              </w:tc>
              <w:tc>
                <w:tcPr>
                  <w:tcW w:w="1350" w:type="dxa"/>
                  <w:tcBorders>
                    <w:tl2br w:val="nil"/>
                    <w:tr2bl w:val="nil"/>
                  </w:tcBorders>
                  <w:noWrap w:val="0"/>
                  <w:vAlign w:val="center"/>
                </w:tcPr>
                <w:p w14:paraId="153C630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color w:val="auto"/>
                      <w:szCs w:val="21"/>
                    </w:rPr>
                  </w:pPr>
                  <w:r>
                    <w:rPr>
                      <w:rFonts w:hint="default" w:ascii="Times New Roman" w:hAnsi="Times New Roman" w:eastAsia="宋体" w:cs="Times New Roman"/>
                      <w:color w:val="auto"/>
                      <w:szCs w:val="21"/>
                    </w:rPr>
                    <w:t>以新带老消减量</w:t>
                  </w:r>
                  <w:r>
                    <w:rPr>
                      <w:rFonts w:hint="default" w:ascii="Times New Roman" w:hAnsi="Times New Roman" w:eastAsia="宋体" w:cs="Times New Roman"/>
                      <w:color w:val="auto"/>
                      <w:szCs w:val="16"/>
                    </w:rPr>
                    <w:t>t/a</w:t>
                  </w:r>
                </w:p>
              </w:tc>
              <w:tc>
                <w:tcPr>
                  <w:tcW w:w="1683" w:type="dxa"/>
                  <w:tcBorders>
                    <w:tl2br w:val="nil"/>
                    <w:tr2bl w:val="nil"/>
                  </w:tcBorders>
                  <w:noWrap w:val="0"/>
                  <w:vAlign w:val="center"/>
                </w:tcPr>
                <w:p w14:paraId="4A48D0C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总体工程排放量</w:t>
                  </w:r>
                  <w:r>
                    <w:rPr>
                      <w:rFonts w:hint="default" w:ascii="Times New Roman" w:hAnsi="Times New Roman" w:eastAsia="宋体" w:cs="Times New Roman"/>
                      <w:color w:val="auto"/>
                      <w:szCs w:val="16"/>
                    </w:rPr>
                    <w:t>t/a</w:t>
                  </w:r>
                </w:p>
              </w:tc>
              <w:tc>
                <w:tcPr>
                  <w:tcW w:w="1263" w:type="dxa"/>
                  <w:tcBorders>
                    <w:tl2br w:val="nil"/>
                    <w:tr2bl w:val="nil"/>
                  </w:tcBorders>
                  <w:noWrap w:val="0"/>
                  <w:vAlign w:val="center"/>
                </w:tcPr>
                <w:p w14:paraId="30C6206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color w:val="auto"/>
                      <w:szCs w:val="21"/>
                    </w:rPr>
                  </w:pPr>
                  <w:r>
                    <w:rPr>
                      <w:rFonts w:hint="default" w:ascii="Times New Roman" w:hAnsi="Times New Roman" w:eastAsia="宋体" w:cs="Times New Roman"/>
                      <w:color w:val="auto"/>
                      <w:szCs w:val="21"/>
                    </w:rPr>
                    <w:t>变化量</w:t>
                  </w:r>
                  <w:r>
                    <w:rPr>
                      <w:rFonts w:hint="default" w:ascii="Times New Roman" w:hAnsi="Times New Roman" w:eastAsia="宋体" w:cs="Times New Roman"/>
                      <w:color w:val="auto"/>
                      <w:szCs w:val="16"/>
                    </w:rPr>
                    <w:t>t/a</w:t>
                  </w:r>
                </w:p>
              </w:tc>
            </w:tr>
            <w:tr w14:paraId="7AB1DD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1326" w:type="dxa"/>
                  <w:gridSpan w:val="2"/>
                  <w:tcBorders>
                    <w:tl2br w:val="nil"/>
                    <w:tr2bl w:val="nil"/>
                  </w:tcBorders>
                  <w:noWrap w:val="0"/>
                  <w:vAlign w:val="center"/>
                </w:tcPr>
                <w:p w14:paraId="66F4F2A9">
                  <w:pPr>
                    <w:keepNext w:val="0"/>
                    <w:keepLines w:val="0"/>
                    <w:suppressLineNumbers w:val="0"/>
                    <w:snapToGrid w:val="0"/>
                    <w:spacing w:before="0" w:beforeLines="10" w:beforeAutospacing="0" w:after="0" w:afterLines="10" w:afterAutospacing="0"/>
                    <w:ind w:left="0" w:right="0"/>
                    <w:jc w:val="center"/>
                    <w:rPr>
                      <w:rFonts w:hint="default" w:ascii="Times New Roman" w:hAnsi="Times New Roman" w:eastAsia="宋体" w:cs="Times New Roman"/>
                      <w:snapToGrid w:val="0"/>
                      <w:color w:val="auto"/>
                      <w:szCs w:val="21"/>
                    </w:rPr>
                  </w:pPr>
                  <w:r>
                    <w:rPr>
                      <w:rFonts w:hint="default" w:ascii="Times New Roman" w:hAnsi="Times New Roman" w:eastAsia="宋体" w:cs="Times New Roman"/>
                      <w:color w:val="auto"/>
                      <w:szCs w:val="21"/>
                      <w:lang w:val="de-DE"/>
                    </w:rPr>
                    <w:t>COD</w:t>
                  </w:r>
                </w:p>
              </w:tc>
              <w:tc>
                <w:tcPr>
                  <w:tcW w:w="1266" w:type="dxa"/>
                  <w:tcBorders>
                    <w:tl2br w:val="nil"/>
                    <w:tr2bl w:val="nil"/>
                  </w:tcBorders>
                  <w:noWrap w:val="0"/>
                  <w:vAlign w:val="center"/>
                </w:tcPr>
                <w:p w14:paraId="1566C31C">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zCs w:val="21"/>
                    </w:rPr>
                  </w:pPr>
                  <w:r>
                    <w:rPr>
                      <w:rFonts w:hint="eastAsia" w:ascii="Times New Roman" w:hAnsi="Times New Roman" w:eastAsia="宋体" w:cs="Times New Roman"/>
                      <w:snapToGrid w:val="0"/>
                      <w:color w:val="auto"/>
                      <w:szCs w:val="21"/>
                    </w:rPr>
                    <w:t>0</w:t>
                  </w:r>
                </w:p>
              </w:tc>
              <w:tc>
                <w:tcPr>
                  <w:tcW w:w="1317" w:type="dxa"/>
                  <w:tcBorders>
                    <w:tl2br w:val="nil"/>
                    <w:tr2bl w:val="nil"/>
                  </w:tcBorders>
                  <w:noWrap w:val="0"/>
                  <w:vAlign w:val="center"/>
                </w:tcPr>
                <w:p w14:paraId="1586267A">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napToGrid w:val="0"/>
                      <w:color w:val="auto"/>
                      <w:szCs w:val="21"/>
                    </w:rPr>
                  </w:pPr>
                  <w:r>
                    <w:rPr>
                      <w:rFonts w:hint="eastAsia" w:ascii="Times New Roman" w:hAnsi="Times New Roman" w:eastAsia="宋体" w:cs="Times New Roman"/>
                      <w:snapToGrid w:val="0"/>
                      <w:color w:val="auto"/>
                      <w:szCs w:val="21"/>
                    </w:rPr>
                    <w:t>0</w:t>
                  </w:r>
                </w:p>
              </w:tc>
              <w:tc>
                <w:tcPr>
                  <w:tcW w:w="1350" w:type="dxa"/>
                  <w:tcBorders>
                    <w:tl2br w:val="nil"/>
                    <w:tr2bl w:val="nil"/>
                  </w:tcBorders>
                  <w:noWrap w:val="0"/>
                  <w:vAlign w:val="center"/>
                </w:tcPr>
                <w:p w14:paraId="6AD285F8">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napToGrid w:val="0"/>
                      <w:color w:val="auto"/>
                      <w:szCs w:val="21"/>
                    </w:rPr>
                  </w:pPr>
                  <w:r>
                    <w:rPr>
                      <w:rFonts w:hint="eastAsia" w:ascii="Times New Roman" w:hAnsi="Times New Roman" w:eastAsia="宋体" w:cs="Times New Roman"/>
                      <w:snapToGrid w:val="0"/>
                      <w:color w:val="auto"/>
                      <w:szCs w:val="21"/>
                    </w:rPr>
                    <w:t>0</w:t>
                  </w:r>
                </w:p>
              </w:tc>
              <w:tc>
                <w:tcPr>
                  <w:tcW w:w="1683" w:type="dxa"/>
                  <w:tcBorders>
                    <w:tl2br w:val="nil"/>
                    <w:tr2bl w:val="nil"/>
                  </w:tcBorders>
                  <w:noWrap w:val="0"/>
                  <w:vAlign w:val="center"/>
                </w:tcPr>
                <w:p w14:paraId="333C8151">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napToGrid w:val="0"/>
                      <w:color w:val="auto"/>
                      <w:szCs w:val="21"/>
                    </w:rPr>
                  </w:pPr>
                  <w:r>
                    <w:rPr>
                      <w:rFonts w:hint="eastAsia" w:ascii="Times New Roman" w:hAnsi="Times New Roman" w:eastAsia="宋体" w:cs="Times New Roman"/>
                      <w:snapToGrid w:val="0"/>
                      <w:color w:val="auto"/>
                      <w:szCs w:val="21"/>
                    </w:rPr>
                    <w:t>0</w:t>
                  </w:r>
                </w:p>
              </w:tc>
              <w:tc>
                <w:tcPr>
                  <w:tcW w:w="1263" w:type="dxa"/>
                  <w:tcBorders>
                    <w:tl2br w:val="nil"/>
                    <w:tr2bl w:val="nil"/>
                  </w:tcBorders>
                  <w:noWrap w:val="0"/>
                  <w:vAlign w:val="center"/>
                </w:tcPr>
                <w:p w14:paraId="67636E78">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napToGrid w:val="0"/>
                      <w:color w:val="auto"/>
                      <w:szCs w:val="21"/>
                    </w:rPr>
                  </w:pPr>
                  <w:r>
                    <w:rPr>
                      <w:rFonts w:hint="eastAsia" w:ascii="Times New Roman" w:hAnsi="Times New Roman" w:eastAsia="宋体" w:cs="Times New Roman"/>
                      <w:snapToGrid w:val="0"/>
                      <w:color w:val="auto"/>
                      <w:szCs w:val="21"/>
                    </w:rPr>
                    <w:t>0</w:t>
                  </w:r>
                </w:p>
              </w:tc>
            </w:tr>
            <w:tr w14:paraId="0E11E8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1326" w:type="dxa"/>
                  <w:gridSpan w:val="2"/>
                  <w:tcBorders>
                    <w:tl2br w:val="nil"/>
                    <w:tr2bl w:val="nil"/>
                  </w:tcBorders>
                  <w:noWrap w:val="0"/>
                  <w:vAlign w:val="center"/>
                </w:tcPr>
                <w:p w14:paraId="622FE1D8">
                  <w:pPr>
                    <w:keepNext w:val="0"/>
                    <w:keepLines w:val="0"/>
                    <w:suppressLineNumbers w:val="0"/>
                    <w:snapToGrid w:val="0"/>
                    <w:spacing w:before="0" w:beforeLines="10" w:beforeAutospacing="0" w:after="0" w:afterLines="10" w:afterAutospacing="0"/>
                    <w:ind w:left="0" w:right="0"/>
                    <w:jc w:val="center"/>
                    <w:rPr>
                      <w:rFonts w:hint="default" w:ascii="Times New Roman" w:hAnsi="Times New Roman" w:eastAsia="宋体" w:cs="Times New Roman"/>
                      <w:snapToGrid w:val="0"/>
                      <w:color w:val="auto"/>
                      <w:szCs w:val="21"/>
                    </w:rPr>
                  </w:pPr>
                  <w:r>
                    <w:rPr>
                      <w:rFonts w:hint="default" w:ascii="Times New Roman" w:hAnsi="Times New Roman" w:eastAsia="宋体" w:cs="Times New Roman"/>
                      <w:snapToGrid w:val="0"/>
                      <w:color w:val="auto"/>
                      <w:szCs w:val="21"/>
                    </w:rPr>
                    <w:t>氨氮</w:t>
                  </w:r>
                </w:p>
              </w:tc>
              <w:tc>
                <w:tcPr>
                  <w:tcW w:w="1266" w:type="dxa"/>
                  <w:tcBorders>
                    <w:tl2br w:val="nil"/>
                    <w:tr2bl w:val="nil"/>
                  </w:tcBorders>
                  <w:noWrap w:val="0"/>
                  <w:vAlign w:val="center"/>
                </w:tcPr>
                <w:p w14:paraId="16EC1BE3">
                  <w:pPr>
                    <w:keepNext w:val="0"/>
                    <w:keepLines w:val="0"/>
                    <w:suppressLineNumbers w:val="0"/>
                    <w:snapToGrid w:val="0"/>
                    <w:spacing w:before="0" w:beforeLines="10" w:beforeAutospacing="0" w:after="0" w:afterLines="10" w:afterAutospacing="0"/>
                    <w:ind w:left="0" w:right="0"/>
                    <w:jc w:val="center"/>
                    <w:rPr>
                      <w:rFonts w:hint="default" w:ascii="Times New Roman" w:hAnsi="Times New Roman" w:eastAsia="宋体" w:cs="Times New Roman"/>
                      <w:color w:val="auto"/>
                      <w:szCs w:val="21"/>
                    </w:rPr>
                  </w:pPr>
                  <w:r>
                    <w:rPr>
                      <w:rFonts w:hint="eastAsia" w:ascii="Times New Roman" w:hAnsi="Times New Roman" w:eastAsia="宋体" w:cs="Times New Roman"/>
                      <w:snapToGrid w:val="0"/>
                      <w:color w:val="auto"/>
                      <w:szCs w:val="21"/>
                    </w:rPr>
                    <w:t>0</w:t>
                  </w:r>
                </w:p>
              </w:tc>
              <w:tc>
                <w:tcPr>
                  <w:tcW w:w="1317" w:type="dxa"/>
                  <w:tcBorders>
                    <w:tl2br w:val="nil"/>
                    <w:tr2bl w:val="nil"/>
                  </w:tcBorders>
                  <w:noWrap w:val="0"/>
                  <w:vAlign w:val="center"/>
                </w:tcPr>
                <w:p w14:paraId="535450AE">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napToGrid w:val="0"/>
                      <w:color w:val="auto"/>
                      <w:szCs w:val="21"/>
                    </w:rPr>
                  </w:pPr>
                  <w:r>
                    <w:rPr>
                      <w:rFonts w:hint="eastAsia" w:ascii="Times New Roman" w:hAnsi="Times New Roman" w:eastAsia="宋体" w:cs="Times New Roman"/>
                      <w:snapToGrid w:val="0"/>
                      <w:color w:val="auto"/>
                      <w:szCs w:val="21"/>
                    </w:rPr>
                    <w:t>0</w:t>
                  </w:r>
                </w:p>
              </w:tc>
              <w:tc>
                <w:tcPr>
                  <w:tcW w:w="1350" w:type="dxa"/>
                  <w:tcBorders>
                    <w:tl2br w:val="nil"/>
                    <w:tr2bl w:val="nil"/>
                  </w:tcBorders>
                  <w:noWrap w:val="0"/>
                  <w:vAlign w:val="center"/>
                </w:tcPr>
                <w:p w14:paraId="38E443C5">
                  <w:pPr>
                    <w:keepNext w:val="0"/>
                    <w:keepLines w:val="0"/>
                    <w:suppressLineNumbers w:val="0"/>
                    <w:snapToGrid w:val="0"/>
                    <w:spacing w:before="0" w:beforeLines="10" w:beforeAutospacing="0" w:after="0" w:afterLines="10" w:afterAutospacing="0"/>
                    <w:ind w:left="0" w:right="0"/>
                    <w:jc w:val="center"/>
                    <w:rPr>
                      <w:rFonts w:hint="default" w:ascii="Times New Roman" w:hAnsi="Times New Roman" w:eastAsia="宋体" w:cs="Times New Roman"/>
                      <w:snapToGrid w:val="0"/>
                      <w:color w:val="auto"/>
                      <w:szCs w:val="21"/>
                    </w:rPr>
                  </w:pPr>
                  <w:r>
                    <w:rPr>
                      <w:rFonts w:hint="default" w:ascii="Times New Roman" w:hAnsi="Times New Roman" w:eastAsia="宋体" w:cs="Times New Roman"/>
                      <w:snapToGrid w:val="0"/>
                      <w:color w:val="auto"/>
                      <w:szCs w:val="21"/>
                    </w:rPr>
                    <w:t>0</w:t>
                  </w:r>
                </w:p>
              </w:tc>
              <w:tc>
                <w:tcPr>
                  <w:tcW w:w="1683" w:type="dxa"/>
                  <w:tcBorders>
                    <w:tl2br w:val="nil"/>
                    <w:tr2bl w:val="nil"/>
                  </w:tcBorders>
                  <w:noWrap w:val="0"/>
                  <w:vAlign w:val="center"/>
                </w:tcPr>
                <w:p w14:paraId="23FDF291">
                  <w:pPr>
                    <w:keepNext w:val="0"/>
                    <w:keepLines w:val="0"/>
                    <w:suppressLineNumbers w:val="0"/>
                    <w:snapToGrid w:val="0"/>
                    <w:spacing w:before="0" w:beforeLines="10" w:beforeAutospacing="0" w:after="0" w:afterLines="10" w:afterAutospacing="0"/>
                    <w:ind w:left="0" w:right="0"/>
                    <w:jc w:val="center"/>
                    <w:rPr>
                      <w:rFonts w:hint="default" w:ascii="Times New Roman" w:hAnsi="Times New Roman" w:eastAsia="宋体" w:cs="Times New Roman"/>
                      <w:snapToGrid w:val="0"/>
                      <w:color w:val="auto"/>
                      <w:szCs w:val="21"/>
                    </w:rPr>
                  </w:pPr>
                  <w:r>
                    <w:rPr>
                      <w:rFonts w:hint="eastAsia" w:ascii="Times New Roman" w:hAnsi="Times New Roman" w:eastAsia="宋体" w:cs="Times New Roman"/>
                      <w:snapToGrid w:val="0"/>
                      <w:color w:val="auto"/>
                      <w:szCs w:val="21"/>
                    </w:rPr>
                    <w:t>0</w:t>
                  </w:r>
                </w:p>
              </w:tc>
              <w:tc>
                <w:tcPr>
                  <w:tcW w:w="1263" w:type="dxa"/>
                  <w:tcBorders>
                    <w:tl2br w:val="nil"/>
                    <w:tr2bl w:val="nil"/>
                  </w:tcBorders>
                  <w:noWrap w:val="0"/>
                  <w:vAlign w:val="center"/>
                </w:tcPr>
                <w:p w14:paraId="41AA0FB3">
                  <w:pPr>
                    <w:keepNext w:val="0"/>
                    <w:keepLines w:val="0"/>
                    <w:suppressLineNumbers w:val="0"/>
                    <w:snapToGrid w:val="0"/>
                    <w:spacing w:before="0" w:beforeLines="10" w:beforeAutospacing="0" w:after="0" w:afterLines="10" w:afterAutospacing="0"/>
                    <w:ind w:left="0" w:right="0"/>
                    <w:jc w:val="center"/>
                    <w:rPr>
                      <w:rFonts w:hint="default" w:ascii="Times New Roman" w:hAnsi="Times New Roman" w:eastAsia="宋体" w:cs="Times New Roman"/>
                      <w:snapToGrid w:val="0"/>
                      <w:color w:val="auto"/>
                      <w:szCs w:val="21"/>
                    </w:rPr>
                  </w:pPr>
                  <w:r>
                    <w:rPr>
                      <w:rFonts w:hint="eastAsia" w:ascii="Times New Roman" w:hAnsi="Times New Roman" w:eastAsia="宋体" w:cs="Times New Roman"/>
                      <w:snapToGrid w:val="0"/>
                      <w:color w:val="auto"/>
                      <w:szCs w:val="21"/>
                    </w:rPr>
                    <w:t>0</w:t>
                  </w:r>
                </w:p>
              </w:tc>
            </w:tr>
            <w:tr w14:paraId="00A4D6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1326" w:type="dxa"/>
                  <w:gridSpan w:val="2"/>
                  <w:tcBorders>
                    <w:tl2br w:val="nil"/>
                    <w:tr2bl w:val="nil"/>
                  </w:tcBorders>
                  <w:noWrap w:val="0"/>
                  <w:vAlign w:val="center"/>
                </w:tcPr>
                <w:p w14:paraId="40D28454">
                  <w:pPr>
                    <w:keepNext w:val="0"/>
                    <w:keepLines w:val="0"/>
                    <w:suppressLineNumbers w:val="0"/>
                    <w:snapToGrid w:val="0"/>
                    <w:spacing w:before="0" w:beforeLines="10" w:beforeAutospacing="0" w:after="0" w:afterLines="10" w:afterAutospacing="0"/>
                    <w:ind w:left="0" w:right="0"/>
                    <w:jc w:val="center"/>
                    <w:rPr>
                      <w:rFonts w:hint="default" w:ascii="Times New Roman" w:hAnsi="Times New Roman" w:eastAsia="宋体" w:cs="Times New Roman"/>
                      <w:snapToGrid w:val="0"/>
                      <w:color w:val="auto"/>
                      <w:szCs w:val="21"/>
                    </w:rPr>
                  </w:pPr>
                  <w:r>
                    <w:rPr>
                      <w:rFonts w:hint="default" w:ascii="Times New Roman" w:hAnsi="Times New Roman" w:eastAsia="宋体" w:cs="Times New Roman"/>
                      <w:color w:val="auto"/>
                      <w:szCs w:val="21"/>
                    </w:rPr>
                    <w:t>SO</w:t>
                  </w:r>
                  <w:r>
                    <w:rPr>
                      <w:rFonts w:hint="default" w:ascii="Times New Roman" w:hAnsi="Times New Roman" w:eastAsia="宋体" w:cs="Times New Roman"/>
                      <w:color w:val="auto"/>
                      <w:szCs w:val="21"/>
                      <w:vertAlign w:val="subscript"/>
                    </w:rPr>
                    <w:t>2</w:t>
                  </w:r>
                </w:p>
              </w:tc>
              <w:tc>
                <w:tcPr>
                  <w:tcW w:w="1266" w:type="dxa"/>
                  <w:tcBorders>
                    <w:tl2br w:val="nil"/>
                    <w:tr2bl w:val="nil"/>
                  </w:tcBorders>
                  <w:noWrap w:val="0"/>
                  <w:vAlign w:val="center"/>
                </w:tcPr>
                <w:p w14:paraId="7E0A9582">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napToGrid w:val="0"/>
                      <w:color w:val="auto"/>
                      <w:szCs w:val="21"/>
                      <w:lang w:val="en-US" w:eastAsia="zh-CN"/>
                    </w:rPr>
                  </w:pPr>
                  <w:r>
                    <w:rPr>
                      <w:rFonts w:hint="eastAsia" w:ascii="Times New Roman" w:hAnsi="Times New Roman" w:eastAsia="宋体" w:cs="Times New Roman"/>
                      <w:snapToGrid w:val="0"/>
                      <w:color w:val="auto"/>
                      <w:szCs w:val="21"/>
                    </w:rPr>
                    <w:t>0</w:t>
                  </w:r>
                </w:p>
              </w:tc>
              <w:tc>
                <w:tcPr>
                  <w:tcW w:w="1317" w:type="dxa"/>
                  <w:tcBorders>
                    <w:tl2br w:val="nil"/>
                    <w:tr2bl w:val="nil"/>
                  </w:tcBorders>
                  <w:noWrap w:val="0"/>
                  <w:vAlign w:val="center"/>
                </w:tcPr>
                <w:p w14:paraId="06F950AD">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zCs w:val="21"/>
                    </w:rPr>
                  </w:pPr>
                  <w:r>
                    <w:rPr>
                      <w:rFonts w:hint="eastAsia" w:ascii="Times New Roman" w:hAnsi="Times New Roman" w:eastAsia="宋体" w:cs="Times New Roman"/>
                      <w:snapToGrid w:val="0"/>
                      <w:color w:val="auto"/>
                      <w:szCs w:val="21"/>
                    </w:rPr>
                    <w:t>0</w:t>
                  </w:r>
                </w:p>
              </w:tc>
              <w:tc>
                <w:tcPr>
                  <w:tcW w:w="1350" w:type="dxa"/>
                  <w:tcBorders>
                    <w:tl2br w:val="nil"/>
                    <w:tr2bl w:val="nil"/>
                  </w:tcBorders>
                  <w:noWrap w:val="0"/>
                  <w:vAlign w:val="center"/>
                </w:tcPr>
                <w:p w14:paraId="1729A4C3">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napToGrid w:val="0"/>
                      <w:color w:val="auto"/>
                      <w:szCs w:val="21"/>
                    </w:rPr>
                  </w:pPr>
                  <w:r>
                    <w:rPr>
                      <w:rFonts w:hint="eastAsia" w:ascii="Times New Roman" w:hAnsi="Times New Roman" w:eastAsia="宋体" w:cs="Times New Roman"/>
                      <w:snapToGrid w:val="0"/>
                      <w:color w:val="auto"/>
                      <w:szCs w:val="21"/>
                    </w:rPr>
                    <w:t>0</w:t>
                  </w:r>
                </w:p>
              </w:tc>
              <w:tc>
                <w:tcPr>
                  <w:tcW w:w="1683" w:type="dxa"/>
                  <w:tcBorders>
                    <w:tl2br w:val="nil"/>
                    <w:tr2bl w:val="nil"/>
                  </w:tcBorders>
                  <w:noWrap w:val="0"/>
                  <w:vAlign w:val="center"/>
                </w:tcPr>
                <w:p w14:paraId="1FCA33B5">
                  <w:pPr>
                    <w:keepNext w:val="0"/>
                    <w:keepLines w:val="0"/>
                    <w:suppressLineNumbers w:val="0"/>
                    <w:spacing w:before="0" w:beforeAutospacing="0" w:after="0" w:afterAutospacing="0" w:line="0" w:lineRule="atLeast"/>
                    <w:ind w:left="0" w:right="0"/>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snapToGrid w:val="0"/>
                      <w:color w:val="auto"/>
                      <w:szCs w:val="21"/>
                      <w:lang w:val="en-US" w:eastAsia="zh-CN"/>
                    </w:rPr>
                    <w:t>0</w:t>
                  </w:r>
                </w:p>
              </w:tc>
              <w:tc>
                <w:tcPr>
                  <w:tcW w:w="1263" w:type="dxa"/>
                  <w:tcBorders>
                    <w:tl2br w:val="nil"/>
                    <w:tr2bl w:val="nil"/>
                  </w:tcBorders>
                  <w:noWrap w:val="0"/>
                  <w:vAlign w:val="center"/>
                </w:tcPr>
                <w:p w14:paraId="0693816F">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napToGrid w:val="0"/>
                      <w:color w:val="auto"/>
                      <w:szCs w:val="21"/>
                    </w:rPr>
                  </w:pPr>
                  <w:r>
                    <w:rPr>
                      <w:rFonts w:hint="eastAsia" w:ascii="Times New Roman" w:hAnsi="Times New Roman" w:eastAsia="宋体" w:cs="Times New Roman"/>
                      <w:snapToGrid w:val="0"/>
                      <w:color w:val="auto"/>
                      <w:szCs w:val="21"/>
                    </w:rPr>
                    <w:t>0</w:t>
                  </w:r>
                </w:p>
              </w:tc>
            </w:tr>
            <w:tr w14:paraId="7397BA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326" w:type="dxa"/>
                  <w:gridSpan w:val="2"/>
                  <w:tcBorders>
                    <w:tl2br w:val="nil"/>
                    <w:tr2bl w:val="nil"/>
                  </w:tcBorders>
                  <w:noWrap w:val="0"/>
                  <w:vAlign w:val="center"/>
                </w:tcPr>
                <w:p w14:paraId="067A1541">
                  <w:pPr>
                    <w:keepNext w:val="0"/>
                    <w:keepLines w:val="0"/>
                    <w:suppressLineNumbers w:val="0"/>
                    <w:snapToGrid w:val="0"/>
                    <w:spacing w:before="0" w:beforeLines="10" w:beforeAutospacing="0" w:after="0" w:afterLines="10" w:afterAutospacing="0"/>
                    <w:ind w:left="0" w:right="0"/>
                    <w:jc w:val="center"/>
                    <w:rPr>
                      <w:rFonts w:hint="default" w:ascii="Times New Roman" w:hAnsi="Times New Roman" w:eastAsia="宋体" w:cs="Times New Roman"/>
                      <w:snapToGrid w:val="0"/>
                      <w:color w:val="auto"/>
                      <w:szCs w:val="21"/>
                    </w:rPr>
                  </w:pPr>
                  <w:r>
                    <w:rPr>
                      <w:rFonts w:hint="default" w:ascii="Times New Roman" w:hAnsi="Times New Roman" w:eastAsia="宋体" w:cs="Times New Roman"/>
                      <w:snapToGrid w:val="0"/>
                      <w:color w:val="auto"/>
                      <w:szCs w:val="21"/>
                    </w:rPr>
                    <w:t>NO</w:t>
                  </w:r>
                  <w:r>
                    <w:rPr>
                      <w:rFonts w:hint="default" w:ascii="Times New Roman" w:hAnsi="Times New Roman" w:eastAsia="宋体" w:cs="Times New Roman"/>
                      <w:snapToGrid w:val="0"/>
                      <w:color w:val="auto"/>
                      <w:szCs w:val="21"/>
                      <w:vertAlign w:val="subscript"/>
                    </w:rPr>
                    <w:t>x</w:t>
                  </w:r>
                </w:p>
              </w:tc>
              <w:tc>
                <w:tcPr>
                  <w:tcW w:w="1266" w:type="dxa"/>
                  <w:tcBorders>
                    <w:tl2br w:val="nil"/>
                    <w:tr2bl w:val="nil"/>
                  </w:tcBorders>
                  <w:noWrap w:val="0"/>
                  <w:vAlign w:val="center"/>
                </w:tcPr>
                <w:p w14:paraId="71D1D2F9">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napToGrid w:val="0"/>
                      <w:color w:val="auto"/>
                      <w:szCs w:val="21"/>
                      <w:lang w:val="en-US" w:eastAsia="zh-CN"/>
                    </w:rPr>
                  </w:pPr>
                  <w:r>
                    <w:rPr>
                      <w:rFonts w:hint="eastAsia" w:ascii="Times New Roman" w:hAnsi="Times New Roman" w:eastAsia="宋体" w:cs="Times New Roman"/>
                      <w:snapToGrid w:val="0"/>
                      <w:color w:val="auto"/>
                      <w:szCs w:val="21"/>
                    </w:rPr>
                    <w:t>0</w:t>
                  </w:r>
                </w:p>
              </w:tc>
              <w:tc>
                <w:tcPr>
                  <w:tcW w:w="1317" w:type="dxa"/>
                  <w:tcBorders>
                    <w:tl2br w:val="nil"/>
                    <w:tr2bl w:val="nil"/>
                  </w:tcBorders>
                  <w:noWrap w:val="0"/>
                  <w:vAlign w:val="center"/>
                </w:tcPr>
                <w:p w14:paraId="5F03D9B4">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zCs w:val="21"/>
                    </w:rPr>
                  </w:pPr>
                  <w:r>
                    <w:rPr>
                      <w:rFonts w:hint="eastAsia" w:ascii="Times New Roman" w:hAnsi="Times New Roman" w:eastAsia="宋体" w:cs="Times New Roman"/>
                      <w:snapToGrid w:val="0"/>
                      <w:color w:val="auto"/>
                      <w:szCs w:val="21"/>
                    </w:rPr>
                    <w:t>0</w:t>
                  </w:r>
                </w:p>
              </w:tc>
              <w:tc>
                <w:tcPr>
                  <w:tcW w:w="1350" w:type="dxa"/>
                  <w:tcBorders>
                    <w:tl2br w:val="nil"/>
                    <w:tr2bl w:val="nil"/>
                  </w:tcBorders>
                  <w:noWrap w:val="0"/>
                  <w:vAlign w:val="center"/>
                </w:tcPr>
                <w:p w14:paraId="041963A2">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napToGrid w:val="0"/>
                      <w:color w:val="auto"/>
                      <w:szCs w:val="21"/>
                    </w:rPr>
                  </w:pPr>
                  <w:r>
                    <w:rPr>
                      <w:rFonts w:hint="eastAsia" w:ascii="Times New Roman" w:hAnsi="Times New Roman" w:eastAsia="宋体" w:cs="Times New Roman"/>
                      <w:snapToGrid w:val="0"/>
                      <w:color w:val="auto"/>
                      <w:szCs w:val="21"/>
                    </w:rPr>
                    <w:t>0</w:t>
                  </w:r>
                </w:p>
              </w:tc>
              <w:tc>
                <w:tcPr>
                  <w:tcW w:w="1683" w:type="dxa"/>
                  <w:tcBorders>
                    <w:tl2br w:val="nil"/>
                    <w:tr2bl w:val="nil"/>
                  </w:tcBorders>
                  <w:noWrap w:val="0"/>
                  <w:vAlign w:val="center"/>
                </w:tcPr>
                <w:p w14:paraId="0A040473">
                  <w:pPr>
                    <w:keepNext w:val="0"/>
                    <w:keepLines w:val="0"/>
                    <w:suppressLineNumbers w:val="0"/>
                    <w:spacing w:before="0" w:beforeAutospacing="0" w:after="0" w:afterAutospacing="0" w:line="0" w:lineRule="atLeast"/>
                    <w:ind w:left="0" w:right="0"/>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snapToGrid w:val="0"/>
                      <w:color w:val="auto"/>
                      <w:szCs w:val="21"/>
                      <w:lang w:val="en-US" w:eastAsia="zh-CN"/>
                    </w:rPr>
                    <w:t>0</w:t>
                  </w:r>
                </w:p>
              </w:tc>
              <w:tc>
                <w:tcPr>
                  <w:tcW w:w="1263" w:type="dxa"/>
                  <w:tcBorders>
                    <w:tl2br w:val="nil"/>
                    <w:tr2bl w:val="nil"/>
                  </w:tcBorders>
                  <w:noWrap w:val="0"/>
                  <w:vAlign w:val="center"/>
                </w:tcPr>
                <w:p w14:paraId="17A87334">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napToGrid w:val="0"/>
                      <w:color w:val="auto"/>
                      <w:szCs w:val="21"/>
                    </w:rPr>
                  </w:pPr>
                  <w:r>
                    <w:rPr>
                      <w:rFonts w:hint="eastAsia" w:ascii="Times New Roman" w:hAnsi="Times New Roman" w:eastAsia="宋体" w:cs="Times New Roman"/>
                      <w:snapToGrid w:val="0"/>
                      <w:color w:val="auto"/>
                      <w:szCs w:val="21"/>
                    </w:rPr>
                    <w:t>0</w:t>
                  </w:r>
                </w:p>
              </w:tc>
            </w:tr>
            <w:tr w14:paraId="3349CF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663" w:type="dxa"/>
                  <w:vMerge w:val="restart"/>
                  <w:tcBorders>
                    <w:tl2br w:val="nil"/>
                    <w:tr2bl w:val="nil"/>
                  </w:tcBorders>
                  <w:noWrap w:val="0"/>
                  <w:vAlign w:val="center"/>
                </w:tcPr>
                <w:p w14:paraId="27E3D1E8">
                  <w:pPr>
                    <w:keepNext w:val="0"/>
                    <w:keepLines w:val="0"/>
                    <w:suppressLineNumbers w:val="0"/>
                    <w:snapToGrid w:val="0"/>
                    <w:spacing w:before="0" w:beforeLines="10" w:beforeAutospacing="0" w:after="0" w:afterLines="10" w:afterAutospacing="0"/>
                    <w:ind w:left="0" w:right="0"/>
                    <w:jc w:val="center"/>
                    <w:rPr>
                      <w:rFonts w:hint="default" w:ascii="Times New Roman" w:hAnsi="Times New Roman" w:eastAsia="宋体" w:cs="Times New Roman"/>
                      <w:snapToGrid w:val="0"/>
                      <w:color w:val="auto"/>
                      <w:szCs w:val="21"/>
                      <w:highlight w:val="none"/>
                    </w:rPr>
                  </w:pPr>
                  <w:r>
                    <w:rPr>
                      <w:rFonts w:hint="eastAsia" w:ascii="Times New Roman" w:hAnsi="Times New Roman" w:eastAsia="宋体" w:cs="Times New Roman"/>
                      <w:snapToGrid w:val="0"/>
                      <w:color w:val="auto"/>
                      <w:szCs w:val="21"/>
                      <w:highlight w:val="none"/>
                    </w:rPr>
                    <w:t>非甲烷总烃</w:t>
                  </w:r>
                </w:p>
              </w:tc>
              <w:tc>
                <w:tcPr>
                  <w:tcW w:w="663" w:type="dxa"/>
                  <w:tcBorders>
                    <w:tl2br w:val="nil"/>
                    <w:tr2bl w:val="nil"/>
                  </w:tcBorders>
                  <w:noWrap w:val="0"/>
                  <w:vAlign w:val="center"/>
                </w:tcPr>
                <w:p w14:paraId="3E48173B">
                  <w:pPr>
                    <w:keepNext w:val="0"/>
                    <w:keepLines w:val="0"/>
                    <w:suppressLineNumbers w:val="0"/>
                    <w:adjustRightInd w:val="0"/>
                    <w:snapToGrid w:val="0"/>
                    <w:spacing w:before="0" w:beforeLines="0" w:beforeAutospacing="0" w:after="0" w:afterLines="0" w:afterAutospacing="0"/>
                    <w:ind w:left="0" w:right="0"/>
                    <w:jc w:val="center"/>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highlight w:val="none"/>
                      <w:lang w:val="en-US" w:eastAsia="zh-CN"/>
                    </w:rPr>
                    <w:t>标准浓度</w:t>
                  </w:r>
                </w:p>
              </w:tc>
              <w:tc>
                <w:tcPr>
                  <w:tcW w:w="1266" w:type="dxa"/>
                  <w:tcBorders>
                    <w:tl2br w:val="nil"/>
                    <w:tr2bl w:val="nil"/>
                  </w:tcBorders>
                  <w:noWrap w:val="0"/>
                  <w:vAlign w:val="center"/>
                </w:tcPr>
                <w:p w14:paraId="436F5BDA">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napToGrid w:val="0"/>
                      <w:color w:val="auto"/>
                      <w:szCs w:val="21"/>
                      <w:highlight w:val="none"/>
                      <w:lang w:val="en-US" w:eastAsia="zh-CN"/>
                    </w:rPr>
                  </w:pPr>
                  <w:r>
                    <w:rPr>
                      <w:rFonts w:hint="eastAsia" w:ascii="Times New Roman" w:hAnsi="Times New Roman" w:eastAsia="宋体" w:cs="Times New Roman"/>
                      <w:snapToGrid w:val="0"/>
                      <w:color w:val="auto"/>
                      <w:szCs w:val="21"/>
                      <w:highlight w:val="none"/>
                      <w:lang w:val="en-US" w:eastAsia="zh-CN"/>
                    </w:rPr>
                    <w:t>36</w:t>
                  </w:r>
                </w:p>
              </w:tc>
              <w:tc>
                <w:tcPr>
                  <w:tcW w:w="1317" w:type="dxa"/>
                  <w:tcBorders>
                    <w:tl2br w:val="nil"/>
                    <w:tr2bl w:val="nil"/>
                  </w:tcBorders>
                  <w:noWrap w:val="0"/>
                  <w:vAlign w:val="center"/>
                </w:tcPr>
                <w:p w14:paraId="4CFF4846">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napToGrid w:val="0"/>
                      <w:color w:val="auto"/>
                      <w:szCs w:val="21"/>
                      <w:highlight w:val="none"/>
                      <w:lang w:val="en-US" w:eastAsia="zh-CN"/>
                    </w:rPr>
                  </w:pPr>
                  <w:r>
                    <w:rPr>
                      <w:rFonts w:hint="eastAsia" w:cs="Times New Roman"/>
                      <w:color w:val="auto"/>
                      <w:sz w:val="21"/>
                      <w:szCs w:val="21"/>
                      <w:highlight w:val="none"/>
                      <w:lang w:val="en-US" w:eastAsia="zh-CN"/>
                    </w:rPr>
                    <w:t>23.594</w:t>
                  </w:r>
                </w:p>
              </w:tc>
              <w:tc>
                <w:tcPr>
                  <w:tcW w:w="1350" w:type="dxa"/>
                  <w:tcBorders>
                    <w:tl2br w:val="nil"/>
                    <w:tr2bl w:val="nil"/>
                  </w:tcBorders>
                  <w:noWrap w:val="0"/>
                  <w:vAlign w:val="center"/>
                </w:tcPr>
                <w:p w14:paraId="051B57E6">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napToGrid w:val="0"/>
                      <w:color w:val="auto"/>
                      <w:szCs w:val="21"/>
                      <w:highlight w:val="none"/>
                      <w:lang w:val="en-US" w:eastAsia="zh-CN"/>
                    </w:rPr>
                  </w:pPr>
                  <w:r>
                    <w:rPr>
                      <w:rFonts w:hint="eastAsia" w:ascii="Times New Roman" w:hAnsi="Times New Roman" w:eastAsia="宋体" w:cs="Times New Roman"/>
                      <w:snapToGrid w:val="0"/>
                      <w:color w:val="auto"/>
                      <w:szCs w:val="21"/>
                      <w:highlight w:val="none"/>
                      <w:lang w:val="en-US" w:eastAsia="zh-CN"/>
                    </w:rPr>
                    <w:t>36</w:t>
                  </w:r>
                </w:p>
              </w:tc>
              <w:tc>
                <w:tcPr>
                  <w:tcW w:w="1683" w:type="dxa"/>
                  <w:tcBorders>
                    <w:tl2br w:val="nil"/>
                    <w:tr2bl w:val="nil"/>
                  </w:tcBorders>
                  <w:noWrap w:val="0"/>
                  <w:vAlign w:val="center"/>
                </w:tcPr>
                <w:p w14:paraId="305130D7">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napToGrid w:val="0"/>
                      <w:color w:val="auto"/>
                      <w:szCs w:val="21"/>
                      <w:highlight w:val="none"/>
                      <w:lang w:val="en-US" w:eastAsia="zh-CN"/>
                    </w:rPr>
                  </w:pPr>
                  <w:r>
                    <w:rPr>
                      <w:rFonts w:hint="eastAsia" w:cs="Times New Roman"/>
                      <w:color w:val="auto"/>
                      <w:sz w:val="21"/>
                      <w:szCs w:val="21"/>
                      <w:highlight w:val="none"/>
                      <w:lang w:val="en-US" w:eastAsia="zh-CN"/>
                    </w:rPr>
                    <w:t>23.594</w:t>
                  </w:r>
                </w:p>
              </w:tc>
              <w:tc>
                <w:tcPr>
                  <w:tcW w:w="1263" w:type="dxa"/>
                  <w:tcBorders>
                    <w:tl2br w:val="nil"/>
                    <w:tr2bl w:val="nil"/>
                  </w:tcBorders>
                  <w:noWrap w:val="0"/>
                  <w:vAlign w:val="center"/>
                </w:tcPr>
                <w:p w14:paraId="7789E662">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napToGrid w:val="0"/>
                      <w:color w:val="auto"/>
                      <w:szCs w:val="21"/>
                      <w:highlight w:val="none"/>
                      <w:lang w:val="en-US"/>
                    </w:rPr>
                  </w:pPr>
                  <w:r>
                    <w:rPr>
                      <w:rFonts w:hint="eastAsia" w:cs="Times New Roman"/>
                      <w:snapToGrid w:val="0"/>
                      <w:color w:val="auto"/>
                      <w:szCs w:val="21"/>
                      <w:highlight w:val="none"/>
                      <w:lang w:val="en-US" w:eastAsia="zh-CN"/>
                    </w:rPr>
                    <w:t>-12.406</w:t>
                  </w:r>
                </w:p>
              </w:tc>
            </w:tr>
            <w:tr w14:paraId="5F260C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663" w:type="dxa"/>
                  <w:vMerge w:val="continue"/>
                  <w:tcBorders>
                    <w:tl2br w:val="nil"/>
                    <w:tr2bl w:val="nil"/>
                  </w:tcBorders>
                  <w:noWrap w:val="0"/>
                  <w:vAlign w:val="center"/>
                </w:tcPr>
                <w:p w14:paraId="38B71B6E">
                  <w:pPr>
                    <w:keepNext w:val="0"/>
                    <w:keepLines w:val="0"/>
                    <w:suppressLineNumbers w:val="0"/>
                    <w:snapToGrid w:val="0"/>
                    <w:spacing w:before="0" w:beforeLines="10" w:beforeAutospacing="0" w:after="0" w:afterLines="10" w:afterAutospacing="0"/>
                    <w:ind w:left="0" w:right="0"/>
                    <w:jc w:val="center"/>
                    <w:rPr>
                      <w:rFonts w:hint="eastAsia" w:ascii="Times New Roman" w:hAnsi="Times New Roman" w:eastAsia="宋体" w:cs="Times New Roman"/>
                      <w:snapToGrid w:val="0"/>
                      <w:color w:val="auto"/>
                      <w:szCs w:val="21"/>
                      <w:highlight w:val="none"/>
                    </w:rPr>
                  </w:pPr>
                </w:p>
              </w:tc>
              <w:tc>
                <w:tcPr>
                  <w:tcW w:w="663" w:type="dxa"/>
                  <w:tcBorders>
                    <w:tl2br w:val="nil"/>
                    <w:tr2bl w:val="nil"/>
                  </w:tcBorders>
                  <w:noWrap w:val="0"/>
                  <w:vAlign w:val="center"/>
                </w:tcPr>
                <w:p w14:paraId="48EBD5B4">
                  <w:pPr>
                    <w:keepNext w:val="0"/>
                    <w:keepLines w:val="0"/>
                    <w:suppressLineNumbers w:val="0"/>
                    <w:adjustRightInd w:val="0"/>
                    <w:snapToGrid w:val="0"/>
                    <w:spacing w:before="0" w:beforeLines="0" w:beforeAutospacing="0" w:after="0" w:afterLines="0" w:afterAutospacing="0"/>
                    <w:ind w:left="0" w:right="0"/>
                    <w:jc w:val="center"/>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cs="Times New Roman"/>
                      <w:color w:val="auto"/>
                      <w:highlight w:val="none"/>
                      <w:lang w:eastAsia="zh-CN"/>
                    </w:rPr>
                    <w:t>预测浓度</w:t>
                  </w:r>
                </w:p>
              </w:tc>
              <w:tc>
                <w:tcPr>
                  <w:tcW w:w="1266" w:type="dxa"/>
                  <w:tcBorders>
                    <w:tl2br w:val="nil"/>
                    <w:tr2bl w:val="nil"/>
                  </w:tcBorders>
                  <w:noWrap w:val="0"/>
                  <w:vAlign w:val="center"/>
                </w:tcPr>
                <w:p w14:paraId="4FCB3C24">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napToGrid w:val="0"/>
                      <w:color w:val="auto"/>
                      <w:szCs w:val="21"/>
                      <w:highlight w:val="none"/>
                      <w:lang w:val="en-US" w:eastAsia="zh-CN"/>
                    </w:rPr>
                  </w:pPr>
                  <w:r>
                    <w:rPr>
                      <w:rFonts w:hint="eastAsia" w:cs="Times New Roman"/>
                      <w:snapToGrid w:val="0"/>
                      <w:color w:val="auto"/>
                      <w:szCs w:val="21"/>
                      <w:highlight w:val="none"/>
                      <w:lang w:val="en-US" w:eastAsia="zh-CN"/>
                    </w:rPr>
                    <w:t>*1.135</w:t>
                  </w:r>
                </w:p>
              </w:tc>
              <w:tc>
                <w:tcPr>
                  <w:tcW w:w="1317" w:type="dxa"/>
                  <w:tcBorders>
                    <w:tl2br w:val="nil"/>
                    <w:tr2bl w:val="nil"/>
                  </w:tcBorders>
                  <w:noWrap w:val="0"/>
                  <w:vAlign w:val="center"/>
                </w:tcPr>
                <w:p w14:paraId="7C278475">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napToGrid w:val="0"/>
                      <w:color w:val="auto"/>
                      <w:szCs w:val="21"/>
                      <w:highlight w:val="none"/>
                      <w:lang w:val="en-US" w:eastAsia="zh-CN"/>
                    </w:rPr>
                  </w:pPr>
                  <w:r>
                    <w:rPr>
                      <w:rFonts w:hint="eastAsia" w:cs="Times New Roman"/>
                      <w:color w:val="auto"/>
                      <w:sz w:val="21"/>
                      <w:szCs w:val="21"/>
                      <w:highlight w:val="none"/>
                      <w:lang w:val="en-US" w:eastAsia="zh-CN"/>
                    </w:rPr>
                    <w:t>1.030</w:t>
                  </w:r>
                </w:p>
              </w:tc>
              <w:tc>
                <w:tcPr>
                  <w:tcW w:w="1350" w:type="dxa"/>
                  <w:tcBorders>
                    <w:tl2br w:val="nil"/>
                    <w:tr2bl w:val="nil"/>
                  </w:tcBorders>
                  <w:noWrap w:val="0"/>
                  <w:vAlign w:val="center"/>
                </w:tcPr>
                <w:p w14:paraId="2BD7B162">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napToGrid w:val="0"/>
                      <w:color w:val="auto"/>
                      <w:szCs w:val="21"/>
                      <w:highlight w:val="none"/>
                      <w:lang w:val="en-US" w:eastAsia="zh-CN"/>
                    </w:rPr>
                  </w:pPr>
                  <w:r>
                    <w:rPr>
                      <w:rFonts w:hint="eastAsia" w:cs="Times New Roman"/>
                      <w:snapToGrid w:val="0"/>
                      <w:color w:val="auto"/>
                      <w:szCs w:val="21"/>
                      <w:highlight w:val="none"/>
                      <w:lang w:val="en-US" w:eastAsia="zh-CN"/>
                    </w:rPr>
                    <w:t>1.135</w:t>
                  </w:r>
                </w:p>
              </w:tc>
              <w:tc>
                <w:tcPr>
                  <w:tcW w:w="1683" w:type="dxa"/>
                  <w:tcBorders>
                    <w:tl2br w:val="nil"/>
                    <w:tr2bl w:val="nil"/>
                  </w:tcBorders>
                  <w:noWrap w:val="0"/>
                  <w:vAlign w:val="center"/>
                </w:tcPr>
                <w:p w14:paraId="5E10C038">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napToGrid w:val="0"/>
                      <w:color w:val="auto"/>
                      <w:szCs w:val="21"/>
                      <w:highlight w:val="none"/>
                      <w:lang w:val="en-US" w:eastAsia="zh-CN"/>
                    </w:rPr>
                  </w:pPr>
                  <w:r>
                    <w:rPr>
                      <w:rFonts w:hint="eastAsia" w:cs="Times New Roman"/>
                      <w:color w:val="auto"/>
                      <w:sz w:val="21"/>
                      <w:szCs w:val="21"/>
                      <w:highlight w:val="none"/>
                      <w:lang w:val="en-US" w:eastAsia="zh-CN"/>
                    </w:rPr>
                    <w:t>1.030</w:t>
                  </w:r>
                </w:p>
              </w:tc>
              <w:tc>
                <w:tcPr>
                  <w:tcW w:w="1263" w:type="dxa"/>
                  <w:tcBorders>
                    <w:tl2br w:val="nil"/>
                    <w:tr2bl w:val="nil"/>
                  </w:tcBorders>
                  <w:noWrap w:val="0"/>
                  <w:vAlign w:val="center"/>
                </w:tcPr>
                <w:p w14:paraId="1AADC460">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napToGrid w:val="0"/>
                      <w:color w:val="auto"/>
                      <w:szCs w:val="21"/>
                      <w:highlight w:val="none"/>
                      <w:lang w:val="en-US" w:eastAsia="zh-CN"/>
                    </w:rPr>
                  </w:pPr>
                  <w:r>
                    <w:rPr>
                      <w:rFonts w:hint="eastAsia" w:ascii="Times New Roman" w:hAnsi="Times New Roman" w:eastAsia="宋体" w:cs="Times New Roman"/>
                      <w:snapToGrid w:val="0"/>
                      <w:color w:val="auto"/>
                      <w:szCs w:val="21"/>
                      <w:highlight w:val="none"/>
                      <w:lang w:val="en-US" w:eastAsia="zh-CN"/>
                    </w:rPr>
                    <w:t>-</w:t>
                  </w:r>
                  <w:r>
                    <w:rPr>
                      <w:rFonts w:hint="eastAsia" w:cs="Times New Roman"/>
                      <w:snapToGrid w:val="0"/>
                      <w:color w:val="auto"/>
                      <w:szCs w:val="21"/>
                      <w:highlight w:val="none"/>
                      <w:lang w:val="en-US" w:eastAsia="zh-CN"/>
                    </w:rPr>
                    <w:t>0.105</w:t>
                  </w:r>
                </w:p>
              </w:tc>
            </w:tr>
            <w:tr w14:paraId="27B7E9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8205" w:type="dxa"/>
                  <w:gridSpan w:val="7"/>
                  <w:tcBorders>
                    <w:tl2br w:val="nil"/>
                    <w:tr2bl w:val="nil"/>
                  </w:tcBorders>
                  <w:noWrap w:val="0"/>
                  <w:vAlign w:val="center"/>
                </w:tcPr>
                <w:p w14:paraId="21D625EF">
                  <w:pPr>
                    <w:keepNext w:val="0"/>
                    <w:keepLines w:val="0"/>
                    <w:suppressLineNumbers w:val="0"/>
                    <w:spacing w:before="0" w:beforeAutospacing="0" w:after="0" w:afterAutospacing="0" w:line="0" w:lineRule="atLeast"/>
                    <w:ind w:left="0" w:right="0"/>
                    <w:jc w:val="left"/>
                    <w:rPr>
                      <w:rFonts w:hint="default" w:ascii="Times New Roman" w:hAnsi="Times New Roman" w:eastAsia="宋体" w:cs="Times New Roman"/>
                      <w:snapToGrid w:val="0"/>
                      <w:color w:val="auto"/>
                      <w:szCs w:val="21"/>
                      <w:highlight w:val="none"/>
                      <w:lang w:val="en-US" w:eastAsia="zh-CN"/>
                    </w:rPr>
                  </w:pPr>
                  <w:r>
                    <w:rPr>
                      <w:rFonts w:hint="eastAsia" w:cs="Times New Roman"/>
                      <w:b/>
                      <w:bCs/>
                      <w:snapToGrid w:val="0"/>
                      <w:color w:val="auto"/>
                      <w:szCs w:val="21"/>
                      <w:highlight w:val="none"/>
                      <w:lang w:val="en-US" w:eastAsia="zh-CN"/>
                    </w:rPr>
                    <w:t>注：*由现有工程检测报告计算得出</w:t>
                  </w:r>
                </w:p>
              </w:tc>
            </w:tr>
          </w:tbl>
          <w:p w14:paraId="5F7C1812">
            <w:pPr>
              <w:keepNext w:val="0"/>
              <w:keepLines w:val="0"/>
              <w:suppressLineNumbers w:val="0"/>
              <w:adjustRightInd w:val="0"/>
              <w:snapToGrid w:val="0"/>
              <w:spacing w:before="0" w:beforeAutospacing="0" w:after="0" w:afterAutospacing="0" w:line="440" w:lineRule="exact"/>
              <w:ind w:left="0" w:right="0"/>
              <w:jc w:val="left"/>
              <w:rPr>
                <w:rFonts w:hint="eastAsia" w:ascii="Times New Roman" w:hAnsi="Times New Roman" w:eastAsia="宋体" w:cs="Times New Roman"/>
                <w:color w:val="FF0000"/>
                <w:sz w:val="24"/>
                <w:lang w:val="en-US" w:eastAsia="zh-CN"/>
              </w:rPr>
            </w:pPr>
          </w:p>
          <w:p w14:paraId="78EFA4A1">
            <w:pPr>
              <w:keepNext w:val="0"/>
              <w:keepLines w:val="0"/>
              <w:suppressLineNumbers w:val="0"/>
              <w:adjustRightInd w:val="0"/>
              <w:snapToGrid w:val="0"/>
              <w:spacing w:before="0" w:beforeAutospacing="0" w:after="0" w:afterAutospacing="0" w:line="440" w:lineRule="exact"/>
              <w:ind w:left="0" w:right="0"/>
              <w:jc w:val="left"/>
              <w:rPr>
                <w:rFonts w:hint="eastAsia" w:ascii="Times New Roman" w:hAnsi="Times New Roman" w:eastAsia="宋体" w:cs="Times New Roman"/>
                <w:sz w:val="24"/>
                <w:lang w:val="en-US" w:eastAsia="zh-CN"/>
              </w:rPr>
            </w:pPr>
          </w:p>
          <w:p w14:paraId="6A421770">
            <w:pPr>
              <w:keepNext w:val="0"/>
              <w:keepLines w:val="0"/>
              <w:suppressLineNumbers w:val="0"/>
              <w:adjustRightInd w:val="0"/>
              <w:snapToGrid w:val="0"/>
              <w:spacing w:before="0" w:beforeAutospacing="0" w:after="0" w:afterAutospacing="0" w:line="440" w:lineRule="exact"/>
              <w:ind w:left="0" w:right="0"/>
              <w:jc w:val="left"/>
              <w:rPr>
                <w:rFonts w:hint="eastAsia" w:ascii="Times New Roman" w:hAnsi="Times New Roman" w:eastAsia="宋体" w:cs="Times New Roman"/>
                <w:sz w:val="24"/>
                <w:lang w:val="en-US" w:eastAsia="zh-CN"/>
              </w:rPr>
            </w:pPr>
          </w:p>
          <w:p w14:paraId="54291E5B">
            <w:pPr>
              <w:keepNext w:val="0"/>
              <w:keepLines w:val="0"/>
              <w:suppressLineNumbers w:val="0"/>
              <w:adjustRightInd w:val="0"/>
              <w:snapToGrid w:val="0"/>
              <w:spacing w:before="0" w:beforeAutospacing="0" w:after="0" w:afterAutospacing="0" w:line="440" w:lineRule="exact"/>
              <w:ind w:left="0" w:right="0"/>
              <w:jc w:val="left"/>
              <w:rPr>
                <w:rFonts w:hint="eastAsia" w:ascii="Times New Roman" w:hAnsi="Times New Roman" w:eastAsia="宋体" w:cs="Times New Roman"/>
                <w:sz w:val="24"/>
                <w:lang w:val="en-US" w:eastAsia="zh-CN"/>
              </w:rPr>
            </w:pPr>
          </w:p>
          <w:p w14:paraId="3891C45C">
            <w:pPr>
              <w:keepNext w:val="0"/>
              <w:keepLines w:val="0"/>
              <w:suppressLineNumbers w:val="0"/>
              <w:adjustRightInd w:val="0"/>
              <w:snapToGrid w:val="0"/>
              <w:spacing w:before="0" w:beforeAutospacing="0" w:after="0" w:afterAutospacing="0" w:line="440" w:lineRule="exact"/>
              <w:ind w:left="0" w:right="0"/>
              <w:jc w:val="left"/>
              <w:rPr>
                <w:rFonts w:hint="eastAsia" w:ascii="Times New Roman" w:hAnsi="Times New Roman" w:eastAsia="宋体" w:cs="Times New Roman"/>
                <w:sz w:val="24"/>
                <w:lang w:val="en-US" w:eastAsia="zh-CN"/>
              </w:rPr>
            </w:pPr>
          </w:p>
          <w:p w14:paraId="3BE3615D">
            <w:pPr>
              <w:keepNext w:val="0"/>
              <w:keepLines w:val="0"/>
              <w:suppressLineNumbers w:val="0"/>
              <w:adjustRightInd w:val="0"/>
              <w:snapToGrid w:val="0"/>
              <w:spacing w:before="0" w:beforeAutospacing="0" w:after="0" w:afterAutospacing="0" w:line="440" w:lineRule="exact"/>
              <w:ind w:left="0" w:right="0"/>
              <w:jc w:val="left"/>
              <w:rPr>
                <w:rFonts w:hint="default" w:ascii="Times New Roman" w:hAnsi="Times New Roman" w:eastAsia="宋体" w:cs="Times New Roman"/>
                <w:sz w:val="24"/>
                <w:lang w:val="en-US" w:eastAsia="zh-CN"/>
              </w:rPr>
            </w:pPr>
          </w:p>
        </w:tc>
      </w:tr>
    </w:tbl>
    <w:p w14:paraId="0718771E">
      <w:pPr>
        <w:pStyle w:val="34"/>
        <w:spacing w:before="0" w:beforeAutospacing="0" w:after="0" w:afterAutospacing="0" w:line="240" w:lineRule="atLeast"/>
        <w:jc w:val="center"/>
        <w:outlineLvl w:val="0"/>
        <w:rPr>
          <w:rFonts w:ascii="Times New Roman" w:hAnsi="Times New Roman" w:eastAsia="黑体"/>
          <w:snapToGrid w:val="0"/>
          <w:sz w:val="30"/>
          <w:szCs w:val="30"/>
        </w:rPr>
      </w:pPr>
      <w:r>
        <w:rPr>
          <w:rFonts w:ascii="Times New Roman" w:hAnsi="Times New Roman" w:eastAsia="黑体"/>
          <w:snapToGrid w:val="0"/>
          <w:sz w:val="30"/>
          <w:szCs w:val="30"/>
        </w:rPr>
        <w:t>四、主要环境影响和保护措施</w:t>
      </w:r>
    </w:p>
    <w:tbl>
      <w:tblPr>
        <w:tblStyle w:val="3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58"/>
        <w:gridCol w:w="8450"/>
      </w:tblGrid>
      <w:tr w14:paraId="6AB4CD1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540" w:hRule="atLeast"/>
          <w:jc w:val="center"/>
        </w:trPr>
        <w:tc>
          <w:tcPr>
            <w:tcW w:w="458" w:type="dxa"/>
            <w:noWrap w:val="0"/>
            <w:tcMar>
              <w:left w:w="28" w:type="dxa"/>
              <w:right w:w="28" w:type="dxa"/>
            </w:tcMar>
            <w:vAlign w:val="center"/>
          </w:tcPr>
          <w:p w14:paraId="0F40926F">
            <w:pPr>
              <w:pStyle w:val="34"/>
              <w:keepNext w:val="0"/>
              <w:keepLines w:val="0"/>
              <w:suppressLineNumbers w:val="0"/>
              <w:adjustRightInd w:val="0"/>
              <w:snapToGrid w:val="0"/>
              <w:spacing w:before="0" w:beforeAutospacing="0" w:after="0" w:afterAutospacing="0" w:line="360" w:lineRule="auto"/>
              <w:ind w:left="0" w:right="0"/>
              <w:jc w:val="center"/>
              <w:rPr>
                <w:rFonts w:hint="default" w:ascii="Times New Roman" w:hAnsi="Times New Roman" w:cs="Times New Roman"/>
                <w:b/>
                <w:kern w:val="2"/>
                <w:szCs w:val="24"/>
                <w:lang w:val="en-US" w:eastAsia="zh-CN"/>
              </w:rPr>
            </w:pPr>
            <w:r>
              <w:rPr>
                <w:rFonts w:hint="default" w:ascii="Times New Roman" w:hAnsi="Times New Roman" w:cs="Times New Roman"/>
                <w:b/>
                <w:kern w:val="2"/>
                <w:szCs w:val="24"/>
                <w:lang w:val="en-US" w:eastAsia="zh-CN"/>
              </w:rPr>
              <w:t>施工</w:t>
            </w:r>
          </w:p>
          <w:p w14:paraId="0C39036A">
            <w:pPr>
              <w:pStyle w:val="34"/>
              <w:keepNext w:val="0"/>
              <w:keepLines w:val="0"/>
              <w:suppressLineNumbers w:val="0"/>
              <w:adjustRightInd w:val="0"/>
              <w:snapToGrid w:val="0"/>
              <w:spacing w:before="0" w:beforeAutospacing="0" w:after="0" w:afterAutospacing="0" w:line="360" w:lineRule="auto"/>
              <w:ind w:left="0" w:right="0"/>
              <w:jc w:val="center"/>
              <w:rPr>
                <w:rFonts w:hint="default" w:ascii="Times New Roman" w:hAnsi="Times New Roman" w:cs="Times New Roman"/>
                <w:b/>
                <w:kern w:val="2"/>
                <w:szCs w:val="24"/>
                <w:lang w:val="en-US" w:eastAsia="zh-CN"/>
              </w:rPr>
            </w:pPr>
            <w:r>
              <w:rPr>
                <w:rFonts w:hint="default" w:ascii="Times New Roman" w:hAnsi="Times New Roman" w:cs="Times New Roman"/>
                <w:b/>
                <w:kern w:val="2"/>
                <w:szCs w:val="24"/>
                <w:lang w:val="en-US" w:eastAsia="zh-CN"/>
              </w:rPr>
              <w:t>期环</w:t>
            </w:r>
          </w:p>
          <w:p w14:paraId="3CD16406">
            <w:pPr>
              <w:pStyle w:val="34"/>
              <w:keepNext w:val="0"/>
              <w:keepLines w:val="0"/>
              <w:suppressLineNumbers w:val="0"/>
              <w:adjustRightInd w:val="0"/>
              <w:snapToGrid w:val="0"/>
              <w:spacing w:before="0" w:beforeAutospacing="0" w:after="0" w:afterAutospacing="0" w:line="360" w:lineRule="auto"/>
              <w:ind w:left="0" w:right="0"/>
              <w:jc w:val="center"/>
              <w:rPr>
                <w:rFonts w:hint="default" w:ascii="Times New Roman" w:hAnsi="Times New Roman" w:cs="Times New Roman"/>
                <w:b/>
                <w:kern w:val="2"/>
                <w:szCs w:val="24"/>
                <w:lang w:val="en-US" w:eastAsia="zh-CN"/>
              </w:rPr>
            </w:pPr>
            <w:r>
              <w:rPr>
                <w:rFonts w:hint="default" w:ascii="Times New Roman" w:hAnsi="Times New Roman" w:cs="Times New Roman"/>
                <w:b/>
                <w:kern w:val="2"/>
                <w:szCs w:val="24"/>
                <w:lang w:val="en-US" w:eastAsia="zh-CN"/>
              </w:rPr>
              <w:t>境保</w:t>
            </w:r>
          </w:p>
          <w:p w14:paraId="063C8D7D">
            <w:pPr>
              <w:pStyle w:val="34"/>
              <w:keepNext w:val="0"/>
              <w:keepLines w:val="0"/>
              <w:suppressLineNumbers w:val="0"/>
              <w:adjustRightInd w:val="0"/>
              <w:snapToGrid w:val="0"/>
              <w:spacing w:before="0" w:beforeAutospacing="0" w:after="0" w:afterAutospacing="0" w:line="360" w:lineRule="auto"/>
              <w:ind w:left="0" w:right="0"/>
              <w:jc w:val="center"/>
              <w:rPr>
                <w:rFonts w:hint="default" w:ascii="Times New Roman" w:hAnsi="Times New Roman" w:cs="Times New Roman"/>
                <w:b/>
                <w:kern w:val="2"/>
                <w:szCs w:val="24"/>
                <w:lang w:val="en-US" w:eastAsia="zh-CN"/>
              </w:rPr>
            </w:pPr>
            <w:r>
              <w:rPr>
                <w:rFonts w:hint="default" w:ascii="Times New Roman" w:hAnsi="Times New Roman" w:cs="Times New Roman"/>
                <w:b/>
                <w:kern w:val="2"/>
                <w:szCs w:val="24"/>
                <w:lang w:val="en-US" w:eastAsia="zh-CN"/>
              </w:rPr>
              <w:t>护措</w:t>
            </w:r>
          </w:p>
          <w:p w14:paraId="0EDAD172">
            <w:pPr>
              <w:pStyle w:val="34"/>
              <w:keepNext w:val="0"/>
              <w:keepLines w:val="0"/>
              <w:suppressLineNumbers w:val="0"/>
              <w:adjustRightInd w:val="0"/>
              <w:snapToGrid w:val="0"/>
              <w:spacing w:before="0" w:beforeAutospacing="0" w:after="0" w:afterAutospacing="0" w:line="360" w:lineRule="auto"/>
              <w:ind w:left="0" w:right="0"/>
              <w:jc w:val="center"/>
              <w:rPr>
                <w:rFonts w:hint="default" w:ascii="Times New Roman" w:hAnsi="Times New Roman" w:cs="Times New Roman"/>
                <w:bCs/>
                <w:kern w:val="2"/>
                <w:sz w:val="21"/>
                <w:szCs w:val="21"/>
                <w:lang w:val="en-US" w:eastAsia="zh-CN"/>
              </w:rPr>
            </w:pPr>
            <w:r>
              <w:rPr>
                <w:rFonts w:hint="default" w:ascii="Times New Roman" w:hAnsi="Times New Roman" w:cs="Times New Roman"/>
                <w:b/>
                <w:kern w:val="2"/>
                <w:szCs w:val="24"/>
                <w:lang w:val="en-US" w:eastAsia="zh-CN"/>
              </w:rPr>
              <w:t>施</w:t>
            </w:r>
          </w:p>
        </w:tc>
        <w:tc>
          <w:tcPr>
            <w:tcW w:w="8450" w:type="dxa"/>
            <w:noWrap w:val="0"/>
            <w:vAlign w:val="center"/>
          </w:tcPr>
          <w:p w14:paraId="6450A2A1">
            <w:pPr>
              <w:keepNext w:val="0"/>
              <w:keepLines w:val="0"/>
              <w:widowControl/>
              <w:suppressLineNumbers w:val="0"/>
              <w:adjustRightInd w:val="0"/>
              <w:snapToGrid w:val="0"/>
              <w:spacing w:before="0" w:beforeAutospacing="0" w:after="0" w:afterAutospacing="0" w:line="440" w:lineRule="exact"/>
              <w:ind w:left="0" w:right="0" w:firstLine="480" w:firstLineChars="200"/>
              <w:rPr>
                <w:rFonts w:hint="eastAsia" w:ascii="Times New Roman" w:hAnsi="Times New Roman" w:cs="Times New Roman"/>
                <w:sz w:val="24"/>
              </w:rPr>
            </w:pPr>
            <w:r>
              <w:rPr>
                <w:rFonts w:hint="eastAsia" w:ascii="Times New Roman" w:hAnsi="Times New Roman" w:cs="Times New Roman"/>
                <w:sz w:val="24"/>
              </w:rPr>
              <w:t>本项目利用园区现有厂房进行建设，</w:t>
            </w:r>
            <w:r>
              <w:rPr>
                <w:rFonts w:hint="eastAsia" w:cs="Times New Roman"/>
                <w:sz w:val="24"/>
                <w:lang w:eastAsia="zh-CN"/>
              </w:rPr>
              <w:t>涉及防渗层改造、</w:t>
            </w:r>
            <w:r>
              <w:rPr>
                <w:rFonts w:hint="eastAsia" w:ascii="Times New Roman" w:hAnsi="Times New Roman" w:cs="Times New Roman"/>
                <w:sz w:val="24"/>
                <w:lang w:eastAsia="zh-CN"/>
              </w:rPr>
              <w:t>车间隔间、</w:t>
            </w:r>
            <w:r>
              <w:rPr>
                <w:rFonts w:hint="eastAsia" w:ascii="Times New Roman" w:hAnsi="Times New Roman" w:cs="Times New Roman"/>
                <w:sz w:val="24"/>
              </w:rPr>
              <w:t>设备安装。施工期对周围环境</w:t>
            </w:r>
            <w:r>
              <w:rPr>
                <w:rFonts w:hint="eastAsia" w:ascii="Times New Roman" w:hAnsi="Times New Roman" w:cs="Times New Roman"/>
                <w:sz w:val="24"/>
                <w:lang w:val="en-US" w:eastAsia="zh-CN"/>
              </w:rPr>
              <w:t>主要为</w:t>
            </w:r>
            <w:r>
              <w:rPr>
                <w:rFonts w:hint="eastAsia" w:cs="Times New Roman"/>
                <w:sz w:val="24"/>
                <w:lang w:val="en-US" w:eastAsia="zh-CN"/>
              </w:rPr>
              <w:t>防渗层改造</w:t>
            </w:r>
            <w:r>
              <w:rPr>
                <w:rFonts w:hint="eastAsia" w:ascii="Times New Roman" w:hAnsi="Times New Roman" w:cs="Times New Roman"/>
                <w:sz w:val="24"/>
                <w:lang w:val="en-US" w:eastAsia="zh-CN"/>
              </w:rPr>
              <w:t>的少量扬尘，</w:t>
            </w:r>
            <w:r>
              <w:rPr>
                <w:rFonts w:hint="eastAsia" w:ascii="Times New Roman" w:hAnsi="Times New Roman" w:cs="Times New Roman"/>
                <w:sz w:val="24"/>
              </w:rPr>
              <w:t>施工作业噪声</w:t>
            </w:r>
            <w:r>
              <w:rPr>
                <w:rFonts w:hint="eastAsia" w:cs="Times New Roman"/>
                <w:sz w:val="24"/>
                <w:lang w:eastAsia="zh-CN"/>
              </w:rPr>
              <w:t>，</w:t>
            </w:r>
            <w:r>
              <w:rPr>
                <w:rFonts w:hint="eastAsia" w:ascii="Times New Roman" w:hAnsi="Times New Roman" w:cs="Times New Roman"/>
                <w:sz w:val="24"/>
                <w:lang w:val="en-US" w:eastAsia="zh-CN"/>
              </w:rPr>
              <w:t>施工人员产生的生活</w:t>
            </w:r>
            <w:r>
              <w:rPr>
                <w:rFonts w:hint="eastAsia" w:cs="Times New Roman"/>
                <w:sz w:val="24"/>
                <w:lang w:val="en-US" w:eastAsia="zh-CN"/>
              </w:rPr>
              <w:t>污水</w:t>
            </w:r>
            <w:r>
              <w:rPr>
                <w:rFonts w:hint="eastAsia" w:ascii="Times New Roman" w:hAnsi="Times New Roman" w:cs="Times New Roman"/>
                <w:sz w:val="24"/>
                <w:lang w:val="en-US" w:eastAsia="zh-CN"/>
              </w:rPr>
              <w:t>及生活垃圾</w:t>
            </w:r>
            <w:r>
              <w:rPr>
                <w:rFonts w:hint="eastAsia" w:ascii="Times New Roman" w:hAnsi="Times New Roman" w:cs="Times New Roman"/>
                <w:sz w:val="24"/>
              </w:rPr>
              <w:t>，</w:t>
            </w:r>
            <w:r>
              <w:rPr>
                <w:rFonts w:hint="eastAsia" w:ascii="Times New Roman" w:hAnsi="Times New Roman" w:cs="Times New Roman"/>
                <w:sz w:val="24"/>
                <w:lang w:val="en-US" w:eastAsia="zh-CN"/>
              </w:rPr>
              <w:t>环境影响是局部的、</w:t>
            </w:r>
            <w:r>
              <w:rPr>
                <w:rFonts w:hint="eastAsia" w:ascii="Times New Roman" w:hAnsi="Times New Roman" w:cs="Times New Roman"/>
                <w:sz w:val="24"/>
              </w:rPr>
              <w:t>暂时的，随着工程的建成完工而消失。</w:t>
            </w:r>
          </w:p>
          <w:p w14:paraId="21DB7E8D">
            <w:pPr>
              <w:keepNext w:val="0"/>
              <w:keepLines w:val="0"/>
              <w:widowControl/>
              <w:suppressLineNumbers w:val="0"/>
              <w:adjustRightInd w:val="0"/>
              <w:snapToGrid w:val="0"/>
              <w:spacing w:before="0" w:beforeAutospacing="0" w:after="0" w:afterAutospacing="0" w:line="440" w:lineRule="exact"/>
              <w:ind w:left="0" w:right="0" w:firstLine="480" w:firstLineChars="200"/>
              <w:rPr>
                <w:rFonts w:hint="eastAsia" w:ascii="Times New Roman" w:hAnsi="Times New Roman" w:eastAsia="宋体" w:cs="Times New Roman"/>
                <w:sz w:val="24"/>
                <w:lang w:eastAsia="zh-CN"/>
              </w:rPr>
            </w:pPr>
            <w:r>
              <w:rPr>
                <w:rFonts w:hint="eastAsia" w:ascii="Times New Roman" w:hAnsi="Times New Roman" w:cs="Times New Roman"/>
                <w:sz w:val="24"/>
              </w:rPr>
              <w:t>（1）</w:t>
            </w:r>
            <w:r>
              <w:rPr>
                <w:rFonts w:hint="eastAsia" w:cs="Times New Roman"/>
                <w:sz w:val="24"/>
                <w:lang w:eastAsia="zh-CN"/>
              </w:rPr>
              <w:t>扬尘</w:t>
            </w:r>
          </w:p>
          <w:p w14:paraId="1A6B91F0">
            <w:pPr>
              <w:keepNext w:val="0"/>
              <w:keepLines w:val="0"/>
              <w:suppressLineNumbers w:val="0"/>
              <w:spacing w:before="0" w:beforeAutospacing="0" w:after="0" w:afterAutospacing="0" w:line="500" w:lineRule="exact"/>
              <w:ind w:left="0" w:right="0" w:firstLine="480" w:firstLineChars="200"/>
              <w:rPr>
                <w:rFonts w:hint="eastAsia"/>
                <w:color w:val="auto"/>
                <w:sz w:val="24"/>
              </w:rPr>
            </w:pPr>
            <w:r>
              <w:rPr>
                <w:rFonts w:hint="eastAsia"/>
                <w:color w:val="auto"/>
                <w:sz w:val="24"/>
                <w:lang w:eastAsia="zh-CN"/>
              </w:rPr>
              <w:t>本</w:t>
            </w:r>
            <w:r>
              <w:rPr>
                <w:rFonts w:hint="eastAsia"/>
                <w:color w:val="auto"/>
                <w:sz w:val="24"/>
              </w:rPr>
              <w:t>项目在</w:t>
            </w:r>
            <w:r>
              <w:rPr>
                <w:rFonts w:hint="eastAsia"/>
                <w:color w:val="auto"/>
                <w:sz w:val="24"/>
                <w:lang w:val="en-US" w:eastAsia="zh-CN"/>
              </w:rPr>
              <w:t>建设防渗层改造</w:t>
            </w:r>
            <w:r>
              <w:rPr>
                <w:rFonts w:hint="eastAsia"/>
                <w:color w:val="auto"/>
                <w:sz w:val="24"/>
              </w:rPr>
              <w:t>期间会产生一定的扬尘污染，主要来自以下几个方面：土方的挖掘及现场堆放；建筑材料（灰、砂、水泥等）的现场搬运及堆放；施工垃圾的清理及堆放；车辆及施工机械往来造成的道路扬尘。施工现场的扬尘大小与施工现场的条件、管理水平、机械化强度及施工季节、建设地区土质及天气情况等诸多因素有关。为保护好空气环境质量，降低施工区域的扬尘污染，根据《关于印发&lt;河北省建筑施工扬尘治理方案&gt;的通知》(冀建安[2017]9号)、《防治城市扬尘污染技术规范》(HJ/T 393-2007)、《河北省大气污染防治实施行动计划》(冀发[2013]23号)、《河北省大气污染防治条例》(2016年1月13日)、《关于印发&lt;关于进一步加强建筑工程施工扬尘治理的若干规定&gt;的通知》(冀建法[2013]28号)、《施工场地扬尘排放标准》（DB13/2934-2019）表3要求、《河北省扬尘污染防治办法》（2020年4月1日施行）、《沧州市重污染天气应急预案》及同类施工场地采取的抑尘措施，对道路施工提出扬尘控制要求。本评价提出在施工中必须采取如下措施，来减轻扬尘对周围环境的影响：</w:t>
            </w:r>
          </w:p>
          <w:p w14:paraId="4E01C010">
            <w:pPr>
              <w:keepNext w:val="0"/>
              <w:keepLines w:val="0"/>
              <w:suppressLineNumbers w:val="0"/>
              <w:spacing w:before="0" w:beforeAutospacing="0" w:after="0" w:afterAutospacing="0" w:line="500" w:lineRule="exact"/>
              <w:ind w:left="0" w:right="0" w:firstLine="480" w:firstLineChars="200"/>
              <w:rPr>
                <w:rFonts w:hint="eastAsia"/>
                <w:color w:val="auto"/>
                <w:sz w:val="24"/>
              </w:rPr>
            </w:pPr>
            <w:r>
              <w:rPr>
                <w:rFonts w:hint="eastAsia"/>
                <w:color w:val="auto"/>
                <w:sz w:val="24"/>
                <w:lang w:val="en-US" w:eastAsia="zh-CN"/>
              </w:rPr>
              <w:t>①</w:t>
            </w:r>
            <w:r>
              <w:rPr>
                <w:rFonts w:hint="eastAsia"/>
                <w:color w:val="auto"/>
                <w:sz w:val="24"/>
              </w:rPr>
              <w:t>施工现场必须封闭围挡，严禁围挡不严或敞开式施工。</w:t>
            </w:r>
          </w:p>
          <w:p w14:paraId="131CF039">
            <w:pPr>
              <w:keepNext w:val="0"/>
              <w:keepLines w:val="0"/>
              <w:suppressLineNumbers w:val="0"/>
              <w:spacing w:before="0" w:beforeAutospacing="0" w:after="0" w:afterAutospacing="0" w:line="500" w:lineRule="exact"/>
              <w:ind w:left="0" w:right="0" w:firstLine="480" w:firstLineChars="200"/>
              <w:rPr>
                <w:rFonts w:hint="eastAsia"/>
                <w:color w:val="auto"/>
                <w:sz w:val="24"/>
              </w:rPr>
            </w:pPr>
            <w:r>
              <w:rPr>
                <w:rFonts w:hint="eastAsia"/>
                <w:color w:val="auto"/>
                <w:sz w:val="24"/>
                <w:lang w:val="en-US" w:eastAsia="zh-CN"/>
              </w:rPr>
              <w:t>②</w:t>
            </w:r>
            <w:r>
              <w:rPr>
                <w:rFonts w:hint="eastAsia"/>
                <w:color w:val="auto"/>
                <w:sz w:val="24"/>
              </w:rPr>
              <w:t>工程施工前，施工现场出入口和场内主要道路必须混凝土硬化，严禁使用其他软质材料铺设。</w:t>
            </w:r>
          </w:p>
          <w:p w14:paraId="059BBC32">
            <w:pPr>
              <w:keepNext w:val="0"/>
              <w:keepLines w:val="0"/>
              <w:suppressLineNumbers w:val="0"/>
              <w:spacing w:before="0" w:beforeAutospacing="0" w:after="0" w:afterAutospacing="0" w:line="500" w:lineRule="exact"/>
              <w:ind w:left="0" w:right="0" w:firstLine="480" w:firstLineChars="200"/>
              <w:rPr>
                <w:rFonts w:hint="eastAsia"/>
                <w:color w:val="auto"/>
                <w:sz w:val="24"/>
              </w:rPr>
            </w:pPr>
            <w:r>
              <w:rPr>
                <w:rFonts w:hint="eastAsia"/>
                <w:color w:val="auto"/>
                <w:sz w:val="24"/>
                <w:lang w:val="en-US" w:eastAsia="zh-CN"/>
              </w:rPr>
              <w:t>③</w:t>
            </w:r>
            <w:r>
              <w:rPr>
                <w:rFonts w:hint="eastAsia"/>
                <w:color w:val="auto"/>
                <w:sz w:val="24"/>
              </w:rPr>
              <w:t>施工现场出入口必须配备车辆冲洗设施，加强雨天土方运输管理，严禁车体带泥上路。</w:t>
            </w:r>
          </w:p>
          <w:p w14:paraId="539522F8">
            <w:pPr>
              <w:keepNext w:val="0"/>
              <w:keepLines w:val="0"/>
              <w:suppressLineNumbers w:val="0"/>
              <w:spacing w:before="0" w:beforeAutospacing="0" w:after="0" w:afterAutospacing="0" w:line="500" w:lineRule="exact"/>
              <w:ind w:left="0" w:right="0" w:firstLine="480" w:firstLineChars="200"/>
              <w:rPr>
                <w:rFonts w:hint="eastAsia"/>
                <w:color w:val="auto"/>
                <w:sz w:val="24"/>
              </w:rPr>
            </w:pPr>
            <w:r>
              <w:rPr>
                <w:rFonts w:hint="eastAsia"/>
                <w:color w:val="auto"/>
                <w:sz w:val="24"/>
                <w:lang w:val="en-US" w:eastAsia="zh-CN"/>
              </w:rPr>
              <w:t>④</w:t>
            </w:r>
            <w:r>
              <w:rPr>
                <w:rFonts w:hint="eastAsia"/>
                <w:color w:val="auto"/>
                <w:sz w:val="24"/>
              </w:rPr>
              <w:t>施工现场集中堆放的土方和闲置场地必须覆盖、固化或绿化，严禁裸露。</w:t>
            </w:r>
          </w:p>
          <w:p w14:paraId="0602C5C7">
            <w:pPr>
              <w:keepNext w:val="0"/>
              <w:keepLines w:val="0"/>
              <w:suppressLineNumbers w:val="0"/>
              <w:spacing w:before="0" w:beforeAutospacing="0" w:after="0" w:afterAutospacing="0" w:line="500" w:lineRule="exact"/>
              <w:ind w:left="0" w:right="0" w:firstLine="480" w:firstLineChars="200"/>
              <w:rPr>
                <w:rFonts w:hint="eastAsia"/>
                <w:color w:val="auto"/>
                <w:sz w:val="24"/>
              </w:rPr>
            </w:pPr>
            <w:r>
              <w:rPr>
                <w:rFonts w:hint="eastAsia"/>
                <w:color w:val="auto"/>
                <w:sz w:val="24"/>
                <w:lang w:val="en-US" w:eastAsia="zh-CN"/>
              </w:rPr>
              <w:t>⑤</w:t>
            </w:r>
            <w:r>
              <w:rPr>
                <w:rFonts w:hint="eastAsia"/>
                <w:color w:val="auto"/>
                <w:sz w:val="24"/>
              </w:rPr>
              <w:t>施工现场运送土方、渣土的车辆必须封闭或遮盖，严禁沿路遗撒。</w:t>
            </w:r>
          </w:p>
          <w:p w14:paraId="37299C72">
            <w:pPr>
              <w:keepNext w:val="0"/>
              <w:keepLines w:val="0"/>
              <w:suppressLineNumbers w:val="0"/>
              <w:spacing w:before="0" w:beforeAutospacing="0" w:after="0" w:afterAutospacing="0" w:line="500" w:lineRule="exact"/>
              <w:ind w:left="0" w:right="0" w:firstLine="480" w:firstLineChars="200"/>
              <w:rPr>
                <w:rFonts w:hint="eastAsia"/>
                <w:color w:val="auto"/>
                <w:sz w:val="24"/>
              </w:rPr>
            </w:pPr>
            <w:r>
              <w:rPr>
                <w:rFonts w:hint="eastAsia"/>
                <w:color w:val="auto"/>
                <w:sz w:val="24"/>
                <w:lang w:val="en-US" w:eastAsia="zh-CN"/>
              </w:rPr>
              <w:t>⑥</w:t>
            </w:r>
            <w:r>
              <w:rPr>
                <w:rFonts w:hint="eastAsia"/>
                <w:color w:val="auto"/>
                <w:sz w:val="24"/>
              </w:rPr>
              <w:t>施工现场必须设置垃圾存放点，集中堆放并覆盖，及时清运，严禁随意丢弃。</w:t>
            </w:r>
          </w:p>
          <w:p w14:paraId="4AC4EF7F">
            <w:pPr>
              <w:keepNext w:val="0"/>
              <w:keepLines w:val="0"/>
              <w:suppressLineNumbers w:val="0"/>
              <w:spacing w:before="0" w:beforeAutospacing="0" w:after="0" w:afterAutospacing="0" w:line="500" w:lineRule="exact"/>
              <w:ind w:left="0" w:right="0" w:firstLine="480" w:firstLineChars="200"/>
              <w:rPr>
                <w:rFonts w:hint="eastAsia"/>
                <w:color w:val="auto"/>
                <w:sz w:val="24"/>
              </w:rPr>
            </w:pPr>
            <w:r>
              <w:rPr>
                <w:rFonts w:hint="eastAsia"/>
                <w:color w:val="auto"/>
                <w:sz w:val="24"/>
                <w:lang w:val="en-US" w:eastAsia="zh-CN"/>
              </w:rPr>
              <w:t>⑦</w:t>
            </w:r>
            <w:r>
              <w:rPr>
                <w:rFonts w:hint="eastAsia"/>
                <w:color w:val="auto"/>
                <w:sz w:val="24"/>
              </w:rPr>
              <w:t>施工现场的水泥和其他易飞扬的细颗粒建筑材料必须密闭存放或覆盖，严禁露天放置。</w:t>
            </w:r>
          </w:p>
          <w:p w14:paraId="2CF3CE80">
            <w:pPr>
              <w:keepNext w:val="0"/>
              <w:keepLines w:val="0"/>
              <w:suppressLineNumbers w:val="0"/>
              <w:spacing w:before="0" w:beforeAutospacing="0" w:after="0" w:afterAutospacing="0" w:line="500" w:lineRule="exact"/>
              <w:ind w:left="0" w:right="0" w:firstLine="480" w:firstLineChars="200"/>
              <w:rPr>
                <w:rFonts w:hint="eastAsia"/>
                <w:color w:val="auto"/>
                <w:sz w:val="24"/>
              </w:rPr>
            </w:pPr>
            <w:r>
              <w:rPr>
                <w:rFonts w:hint="eastAsia"/>
                <w:color w:val="auto"/>
                <w:sz w:val="24"/>
                <w:lang w:val="en-US" w:eastAsia="zh-CN"/>
              </w:rPr>
              <w:t>⑧</w:t>
            </w:r>
            <w:r>
              <w:rPr>
                <w:rFonts w:hint="eastAsia"/>
                <w:color w:val="auto"/>
                <w:sz w:val="24"/>
              </w:rPr>
              <w:t>施工层建筑垃圾必须采用装袋清运。</w:t>
            </w:r>
          </w:p>
          <w:p w14:paraId="0BB2A5D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60" w:lineRule="exact"/>
              <w:ind w:left="0" w:right="0" w:firstLine="480" w:firstLineChars="200"/>
              <w:jc w:val="both"/>
              <w:textAlignment w:val="auto"/>
              <w:rPr>
                <w:rFonts w:hint="default" w:ascii="Times New Roman" w:hAnsi="Times New Roman" w:eastAsia="宋体" w:cs="Times New Roman"/>
                <w:kern w:val="0"/>
                <w:sz w:val="24"/>
                <w:lang w:eastAsia="zh-CN" w:bidi="en-US"/>
              </w:rPr>
            </w:pPr>
            <w:r>
              <w:rPr>
                <w:rFonts w:hint="eastAsia" w:ascii="Times New Roman" w:hAnsi="Times New Roman" w:eastAsia="宋体" w:cs="Times New Roman"/>
                <w:color w:val="auto"/>
                <w:kern w:val="2"/>
                <w:sz w:val="24"/>
                <w:lang w:eastAsia="zh-CN" w:bidi="en-US"/>
              </w:rPr>
              <w:fldChar w:fldCharType="begin"/>
            </w:r>
            <w:r>
              <w:rPr>
                <w:rFonts w:hint="eastAsia" w:ascii="Times New Roman" w:hAnsi="Times New Roman" w:eastAsia="宋体" w:cs="Times New Roman"/>
                <w:color w:val="auto"/>
                <w:kern w:val="2"/>
                <w:sz w:val="24"/>
                <w:lang w:eastAsia="zh-CN" w:bidi="en-US"/>
              </w:rPr>
              <w:instrText xml:space="preserve"> = 9 \* GB3 \* MERGEFORMAT </w:instrText>
            </w:r>
            <w:r>
              <w:rPr>
                <w:rFonts w:hint="eastAsia" w:ascii="Times New Roman" w:hAnsi="Times New Roman" w:eastAsia="宋体" w:cs="Times New Roman"/>
                <w:color w:val="auto"/>
                <w:kern w:val="2"/>
                <w:sz w:val="24"/>
                <w:lang w:eastAsia="zh-CN" w:bidi="en-US"/>
              </w:rPr>
              <w:fldChar w:fldCharType="separate"/>
            </w:r>
            <w:r>
              <w:rPr>
                <w:rFonts w:hint="eastAsia" w:ascii="Times New Roman" w:hAnsi="Times New Roman" w:eastAsia="宋体" w:cs="Times New Roman"/>
                <w:color w:val="auto"/>
                <w:sz w:val="24"/>
              </w:rPr>
              <w:t>⑨</w:t>
            </w:r>
            <w:r>
              <w:rPr>
                <w:rFonts w:hint="eastAsia" w:ascii="Times New Roman" w:hAnsi="Times New Roman" w:eastAsia="宋体" w:cs="Times New Roman"/>
                <w:color w:val="auto"/>
                <w:kern w:val="2"/>
                <w:sz w:val="24"/>
                <w:lang w:eastAsia="zh-CN" w:bidi="en-US"/>
              </w:rPr>
              <w:fldChar w:fldCharType="end"/>
            </w:r>
            <w:r>
              <w:rPr>
                <w:rFonts w:hint="default" w:ascii="Times New Roman" w:hAnsi="Times New Roman" w:eastAsia="宋体" w:cs="Times New Roman"/>
                <w:kern w:val="0"/>
                <w:sz w:val="24"/>
                <w:lang w:eastAsia="zh-CN" w:bidi="en-US"/>
              </w:rPr>
              <w:t>施工期场地扬尘监测设置及浓度限值</w:t>
            </w:r>
          </w:p>
          <w:p w14:paraId="498CD7E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460" w:lineRule="exact"/>
              <w:ind w:left="0" w:right="0" w:firstLine="480" w:firstLineChars="200"/>
              <w:jc w:val="left"/>
              <w:textAlignment w:val="auto"/>
              <w:rPr>
                <w:rFonts w:hint="default" w:ascii="Times New Roman" w:hAnsi="Times New Roman" w:eastAsia="宋体" w:cs="Times New Roman"/>
                <w:kern w:val="0"/>
                <w:sz w:val="24"/>
                <w:lang w:eastAsia="zh-CN" w:bidi="en-US"/>
              </w:rPr>
            </w:pPr>
            <w:r>
              <w:rPr>
                <w:rFonts w:hint="default" w:ascii="Times New Roman" w:hAnsi="Times New Roman" w:eastAsia="宋体" w:cs="Times New Roman"/>
                <w:kern w:val="0"/>
                <w:sz w:val="24"/>
                <w:highlight w:val="none"/>
                <w:lang w:eastAsia="zh-CN" w:bidi="en-US"/>
              </w:rPr>
              <w:t>根据</w:t>
            </w:r>
            <w:bookmarkStart w:id="6" w:name="_Hlk196147506"/>
            <w:r>
              <w:rPr>
                <w:rFonts w:hint="default" w:ascii="Times New Roman" w:hAnsi="Times New Roman" w:eastAsia="宋体" w:cs="Times New Roman"/>
                <w:kern w:val="0"/>
                <w:sz w:val="24"/>
                <w:highlight w:val="none"/>
                <w:lang w:eastAsia="zh-CN" w:bidi="en-US"/>
              </w:rPr>
              <w:t>《施工场地扬尘排放标准》（DB13/2934-2019）</w:t>
            </w:r>
            <w:bookmarkEnd w:id="6"/>
            <w:r>
              <w:rPr>
                <w:rFonts w:hint="default" w:ascii="Times New Roman" w:hAnsi="Times New Roman" w:eastAsia="宋体" w:cs="Times New Roman"/>
                <w:kern w:val="0"/>
                <w:sz w:val="24"/>
                <w:highlight w:val="none"/>
                <w:lang w:eastAsia="zh-CN" w:bidi="en-US"/>
              </w:rPr>
              <w:t>要求，本项目占地面积</w:t>
            </w:r>
            <w:r>
              <w:rPr>
                <w:rFonts w:hint="eastAsia" w:ascii="Times New Roman" w:hAnsi="Times New Roman" w:eastAsia="宋体" w:cs="Times New Roman"/>
                <w:kern w:val="0"/>
                <w:sz w:val="24"/>
                <w:highlight w:val="none"/>
                <w:lang w:val="en-US" w:eastAsia="zh-CN" w:bidi="en-US"/>
              </w:rPr>
              <w:t>20013.75</w:t>
            </w:r>
            <w:r>
              <w:rPr>
                <w:rFonts w:hint="default" w:ascii="Times New Roman" w:hAnsi="Times New Roman" w:eastAsia="宋体" w:cs="Times New Roman"/>
                <w:kern w:val="0"/>
                <w:sz w:val="24"/>
                <w:highlight w:val="none"/>
                <w:lang w:eastAsia="zh-CN" w:bidi="en-US"/>
              </w:rPr>
              <w:t>m</w:t>
            </w:r>
            <w:r>
              <w:rPr>
                <w:rFonts w:hint="default" w:ascii="Times New Roman" w:hAnsi="Times New Roman" w:eastAsia="宋体" w:cs="Times New Roman"/>
                <w:kern w:val="0"/>
                <w:sz w:val="24"/>
                <w:highlight w:val="none"/>
                <w:vertAlign w:val="superscript"/>
                <w:lang w:eastAsia="zh-CN" w:bidi="en-US"/>
              </w:rPr>
              <w:t>2</w:t>
            </w:r>
            <w:r>
              <w:rPr>
                <w:rFonts w:hint="default" w:ascii="Times New Roman" w:hAnsi="Times New Roman" w:eastAsia="宋体" w:cs="Times New Roman"/>
                <w:kern w:val="0"/>
                <w:sz w:val="24"/>
                <w:highlight w:val="none"/>
                <w:lang w:eastAsia="zh-CN" w:bidi="en-US"/>
              </w:rPr>
              <w:t>，</w:t>
            </w:r>
            <w:r>
              <w:rPr>
                <w:rFonts w:hint="eastAsia" w:ascii="Times New Roman" w:hAnsi="Times New Roman" w:eastAsia="宋体" w:cs="Times New Roman"/>
                <w:kern w:val="0"/>
                <w:sz w:val="24"/>
                <w:highlight w:val="none"/>
                <w:lang w:val="en-US" w:eastAsia="zh-CN" w:bidi="en-US"/>
              </w:rPr>
              <w:t>10000</w:t>
            </w:r>
            <w:r>
              <w:rPr>
                <w:rFonts w:hint="default" w:ascii="Times New Roman" w:hAnsi="Times New Roman" w:eastAsia="宋体" w:cs="Times New Roman"/>
                <w:kern w:val="0"/>
                <w:sz w:val="24"/>
                <w:highlight w:val="none"/>
                <w:lang w:val="en-US" w:eastAsia="zh-CN" w:bidi="en-US"/>
              </w:rPr>
              <w:t>&lt;</w:t>
            </w:r>
            <w:r>
              <w:rPr>
                <w:rFonts w:hint="default" w:ascii="Times New Roman" w:hAnsi="Times New Roman" w:eastAsia="宋体" w:cs="Times New Roman"/>
                <w:kern w:val="0"/>
                <w:sz w:val="24"/>
                <w:lang w:eastAsia="zh-CN" w:bidi="en-US"/>
              </w:rPr>
              <w:t>S≤</w:t>
            </w:r>
            <w:r>
              <w:rPr>
                <w:rFonts w:hint="eastAsia" w:ascii="Times New Roman" w:hAnsi="Times New Roman" w:eastAsia="宋体" w:cs="Times New Roman"/>
                <w:kern w:val="0"/>
                <w:sz w:val="24"/>
                <w:lang w:val="en-US" w:eastAsia="zh-CN" w:bidi="en-US"/>
              </w:rPr>
              <w:t>100000</w:t>
            </w:r>
            <w:r>
              <w:rPr>
                <w:rFonts w:hint="default" w:ascii="Times New Roman" w:hAnsi="Times New Roman" w:eastAsia="宋体" w:cs="Times New Roman"/>
                <w:kern w:val="0"/>
                <w:sz w:val="24"/>
                <w:lang w:eastAsia="zh-CN" w:bidi="en-US"/>
              </w:rPr>
              <w:t>m</w:t>
            </w:r>
            <w:r>
              <w:rPr>
                <w:rFonts w:hint="default" w:ascii="Times New Roman" w:hAnsi="Times New Roman" w:eastAsia="宋体" w:cs="Times New Roman"/>
                <w:kern w:val="0"/>
                <w:sz w:val="24"/>
                <w:vertAlign w:val="superscript"/>
                <w:lang w:eastAsia="zh-CN" w:bidi="en-US"/>
              </w:rPr>
              <w:t>2</w:t>
            </w:r>
            <w:r>
              <w:rPr>
                <w:rFonts w:hint="default" w:ascii="Times New Roman" w:hAnsi="Times New Roman" w:eastAsia="宋体" w:cs="Times New Roman"/>
                <w:kern w:val="0"/>
                <w:sz w:val="24"/>
                <w:lang w:eastAsia="zh-CN" w:bidi="en-US"/>
              </w:rPr>
              <w:t>，施工场地扬尘监测点数应≥</w:t>
            </w:r>
            <w:r>
              <w:rPr>
                <w:rFonts w:hint="eastAsia" w:ascii="Times New Roman" w:hAnsi="Times New Roman" w:eastAsia="宋体" w:cs="Times New Roman"/>
                <w:kern w:val="0"/>
                <w:sz w:val="24"/>
                <w:lang w:val="en-US" w:eastAsia="zh-CN" w:bidi="en-US"/>
              </w:rPr>
              <w:t>4</w:t>
            </w:r>
            <w:r>
              <w:rPr>
                <w:rFonts w:hint="default" w:ascii="Times New Roman" w:hAnsi="Times New Roman" w:eastAsia="宋体" w:cs="Times New Roman"/>
                <w:kern w:val="0"/>
                <w:sz w:val="24"/>
                <w:lang w:eastAsia="zh-CN" w:bidi="en-US"/>
              </w:rPr>
              <w:t>，监测点位宜设置于施工区域围栏安全范围内，可直接监控施工场地主要施工活动，优先设置于车辆进出口处，监测点数量多于车辆进出口数量时，其它监测点位应结合常年主导风向，设置在工地所在区域主导风向下风向的施工场地边界，兼顾扬尘最大落地浓度。采取以上防尘抑尘措施后，监测点浓度限值需满足《施工场地扬尘排放标准》（DB13/2934-2019）中规定的PM</w:t>
            </w:r>
            <w:r>
              <w:rPr>
                <w:rFonts w:hint="default" w:ascii="Times New Roman" w:hAnsi="Times New Roman" w:eastAsia="宋体" w:cs="Times New Roman"/>
                <w:kern w:val="0"/>
                <w:sz w:val="24"/>
                <w:vertAlign w:val="subscript"/>
                <w:lang w:eastAsia="zh-CN" w:bidi="en-US"/>
              </w:rPr>
              <w:t>10</w:t>
            </w:r>
            <w:r>
              <w:rPr>
                <w:rFonts w:hint="default" w:ascii="Times New Roman" w:hAnsi="Times New Roman" w:eastAsia="宋体" w:cs="Times New Roman"/>
                <w:kern w:val="0"/>
                <w:sz w:val="24"/>
                <w:lang w:eastAsia="zh-CN" w:bidi="en-US"/>
              </w:rPr>
              <w:t>≤80µg/m</w:t>
            </w:r>
            <w:r>
              <w:rPr>
                <w:rFonts w:hint="default" w:ascii="Times New Roman" w:hAnsi="Times New Roman" w:eastAsia="宋体" w:cs="Times New Roman"/>
                <w:kern w:val="0"/>
                <w:sz w:val="24"/>
                <w:vertAlign w:val="superscript"/>
                <w:lang w:eastAsia="zh-CN" w:bidi="en-US"/>
              </w:rPr>
              <w:t>3</w:t>
            </w:r>
            <w:r>
              <w:rPr>
                <w:rFonts w:hint="default" w:ascii="Times New Roman" w:hAnsi="Times New Roman" w:eastAsia="宋体" w:cs="Times New Roman"/>
                <w:kern w:val="0"/>
                <w:sz w:val="24"/>
                <w:lang w:eastAsia="zh-CN" w:bidi="en-US"/>
              </w:rPr>
              <w:t>（达标判定依据≤2次/天，监测点浓度限值指监测点PM</w:t>
            </w:r>
            <w:r>
              <w:rPr>
                <w:rFonts w:hint="default" w:ascii="Times New Roman" w:hAnsi="Times New Roman" w:eastAsia="宋体" w:cs="Times New Roman"/>
                <w:kern w:val="0"/>
                <w:sz w:val="24"/>
                <w:vertAlign w:val="subscript"/>
                <w:lang w:eastAsia="zh-CN" w:bidi="en-US"/>
              </w:rPr>
              <w:t>10</w:t>
            </w:r>
            <w:r>
              <w:rPr>
                <w:rFonts w:hint="default" w:ascii="Times New Roman" w:hAnsi="Times New Roman" w:eastAsia="宋体" w:cs="Times New Roman"/>
                <w:kern w:val="0"/>
                <w:sz w:val="24"/>
                <w:lang w:eastAsia="zh-CN" w:bidi="en-US"/>
              </w:rPr>
              <w:t>小时平均浓度实测值与同时段所属县（市、区）PM</w:t>
            </w:r>
            <w:r>
              <w:rPr>
                <w:rFonts w:hint="default" w:ascii="Times New Roman" w:hAnsi="Times New Roman" w:eastAsia="宋体" w:cs="Times New Roman"/>
                <w:kern w:val="0"/>
                <w:sz w:val="24"/>
                <w:vertAlign w:val="subscript"/>
                <w:lang w:eastAsia="zh-CN" w:bidi="en-US"/>
              </w:rPr>
              <w:t>10</w:t>
            </w:r>
            <w:r>
              <w:rPr>
                <w:rFonts w:hint="default" w:ascii="Times New Roman" w:hAnsi="Times New Roman" w:eastAsia="宋体" w:cs="Times New Roman"/>
                <w:kern w:val="0"/>
                <w:sz w:val="24"/>
                <w:lang w:eastAsia="zh-CN" w:bidi="en-US"/>
              </w:rPr>
              <w:t>小时平均浓度的差值，当县（市、区）PM</w:t>
            </w:r>
            <w:r>
              <w:rPr>
                <w:rFonts w:hint="default" w:ascii="Times New Roman" w:hAnsi="Times New Roman" w:eastAsia="宋体" w:cs="Times New Roman"/>
                <w:kern w:val="0"/>
                <w:sz w:val="24"/>
                <w:vertAlign w:val="subscript"/>
                <w:lang w:eastAsia="zh-CN" w:bidi="en-US"/>
              </w:rPr>
              <w:t>10</w:t>
            </w:r>
            <w:r>
              <w:rPr>
                <w:rFonts w:hint="default" w:ascii="Times New Roman" w:hAnsi="Times New Roman" w:eastAsia="宋体" w:cs="Times New Roman"/>
                <w:kern w:val="0"/>
                <w:sz w:val="24"/>
                <w:lang w:eastAsia="zh-CN" w:bidi="en-US"/>
              </w:rPr>
              <w:t>小时平均浓度值大于150µg/m</w:t>
            </w:r>
            <w:r>
              <w:rPr>
                <w:rFonts w:hint="default" w:ascii="Times New Roman" w:hAnsi="Times New Roman" w:eastAsia="宋体" w:cs="Times New Roman"/>
                <w:kern w:val="0"/>
                <w:sz w:val="24"/>
                <w:vertAlign w:val="superscript"/>
                <w:lang w:eastAsia="zh-CN" w:bidi="en-US"/>
              </w:rPr>
              <w:t>3</w:t>
            </w:r>
            <w:r>
              <w:rPr>
                <w:rFonts w:hint="default" w:ascii="Times New Roman" w:hAnsi="Times New Roman" w:eastAsia="宋体" w:cs="Times New Roman"/>
                <w:kern w:val="0"/>
                <w:sz w:val="24"/>
                <w:lang w:eastAsia="zh-CN" w:bidi="en-US"/>
              </w:rPr>
              <w:t>时，以150µg/m</w:t>
            </w:r>
            <w:r>
              <w:rPr>
                <w:rFonts w:hint="default" w:ascii="Times New Roman" w:hAnsi="Times New Roman" w:eastAsia="宋体" w:cs="Times New Roman"/>
                <w:kern w:val="0"/>
                <w:sz w:val="24"/>
                <w:vertAlign w:val="superscript"/>
                <w:lang w:eastAsia="zh-CN" w:bidi="en-US"/>
              </w:rPr>
              <w:t>3</w:t>
            </w:r>
            <w:r>
              <w:rPr>
                <w:rFonts w:hint="default" w:ascii="Times New Roman" w:hAnsi="Times New Roman" w:eastAsia="宋体" w:cs="Times New Roman"/>
                <w:kern w:val="0"/>
                <w:sz w:val="24"/>
                <w:lang w:eastAsia="zh-CN" w:bidi="en-US"/>
              </w:rPr>
              <w:t>计）。</w:t>
            </w:r>
          </w:p>
          <w:p w14:paraId="30EBFF71">
            <w:pPr>
              <w:keepNext w:val="0"/>
              <w:keepLines w:val="0"/>
              <w:widowControl/>
              <w:suppressLineNumbers w:val="0"/>
              <w:adjustRightInd w:val="0"/>
              <w:snapToGrid w:val="0"/>
              <w:spacing w:before="0" w:beforeAutospacing="0" w:after="0" w:afterAutospacing="0" w:line="440" w:lineRule="exact"/>
              <w:ind w:left="0" w:right="0" w:firstLine="480" w:firstLineChars="200"/>
              <w:rPr>
                <w:rFonts w:hint="eastAsia"/>
                <w:color w:val="auto"/>
                <w:sz w:val="24"/>
              </w:rPr>
            </w:pPr>
            <w:r>
              <w:rPr>
                <w:rFonts w:hint="eastAsia"/>
                <w:color w:val="auto"/>
                <w:sz w:val="24"/>
              </w:rPr>
              <w:t>经采取以上措施后，施工期扬尘可以满足河北省地方标准《施工场地扬尘排放标准》（DB13/2934-2019）表1</w:t>
            </w:r>
            <w:r>
              <w:rPr>
                <w:rFonts w:hint="default" w:ascii="Times New Roman" w:hAnsi="Times New Roman" w:eastAsia="宋体" w:cs="Times New Roman"/>
                <w:kern w:val="0"/>
                <w:sz w:val="24"/>
                <w:highlight w:val="none"/>
                <w:lang w:eastAsia="zh-CN" w:bidi="en-US"/>
              </w:rPr>
              <w:t>要求及表</w:t>
            </w:r>
            <w:r>
              <w:rPr>
                <w:rFonts w:hint="default" w:ascii="Times New Roman" w:hAnsi="Times New Roman" w:eastAsia="宋体" w:cs="Times New Roman"/>
                <w:kern w:val="0"/>
                <w:sz w:val="24"/>
                <w:highlight w:val="none"/>
                <w:lang w:val="en-US" w:eastAsia="zh-CN" w:bidi="en-US"/>
              </w:rPr>
              <w:t>3</w:t>
            </w:r>
            <w:r>
              <w:rPr>
                <w:rFonts w:hint="default" w:ascii="Times New Roman" w:hAnsi="Times New Roman" w:eastAsia="宋体" w:cs="Times New Roman"/>
                <w:kern w:val="0"/>
                <w:sz w:val="24"/>
                <w:highlight w:val="none"/>
                <w:lang w:eastAsia="zh-CN" w:bidi="en-US"/>
              </w:rPr>
              <w:t>监测点位数量设置要求</w:t>
            </w:r>
            <w:r>
              <w:rPr>
                <w:rFonts w:hint="eastAsia"/>
                <w:color w:val="auto"/>
                <w:sz w:val="24"/>
              </w:rPr>
              <w:t>。</w:t>
            </w:r>
          </w:p>
          <w:p w14:paraId="50F0DA13">
            <w:pPr>
              <w:keepNext w:val="0"/>
              <w:keepLines w:val="0"/>
              <w:widowControl/>
              <w:suppressLineNumbers w:val="0"/>
              <w:adjustRightInd w:val="0"/>
              <w:snapToGrid w:val="0"/>
              <w:spacing w:before="0" w:beforeAutospacing="0" w:after="0" w:afterAutospacing="0" w:line="440" w:lineRule="exact"/>
              <w:ind w:left="0" w:right="0" w:firstLine="480" w:firstLineChars="200"/>
              <w:rPr>
                <w:rFonts w:hint="eastAsia" w:ascii="Times New Roman" w:hAnsi="Times New Roman" w:cs="Times New Roman"/>
                <w:sz w:val="24"/>
              </w:rPr>
            </w:pPr>
            <w:r>
              <w:rPr>
                <w:rFonts w:hint="eastAsia" w:cs="Times New Roman"/>
                <w:sz w:val="24"/>
                <w:lang w:eastAsia="zh-CN"/>
              </w:rPr>
              <w:t>（</w:t>
            </w:r>
            <w:r>
              <w:rPr>
                <w:rFonts w:hint="eastAsia" w:cs="Times New Roman"/>
                <w:sz w:val="24"/>
                <w:lang w:val="en-US" w:eastAsia="zh-CN"/>
              </w:rPr>
              <w:t>2）</w:t>
            </w:r>
            <w:r>
              <w:rPr>
                <w:rFonts w:hint="eastAsia" w:ascii="Times New Roman" w:hAnsi="Times New Roman" w:cs="Times New Roman"/>
                <w:sz w:val="24"/>
              </w:rPr>
              <w:t>废水</w:t>
            </w:r>
          </w:p>
          <w:p w14:paraId="45DCCABB">
            <w:pPr>
              <w:keepNext w:val="0"/>
              <w:keepLines w:val="0"/>
              <w:widowControl/>
              <w:suppressLineNumbers w:val="0"/>
              <w:adjustRightInd w:val="0"/>
              <w:snapToGrid w:val="0"/>
              <w:spacing w:before="0" w:beforeAutospacing="0" w:after="0" w:afterAutospacing="0" w:line="440" w:lineRule="exact"/>
              <w:ind w:left="0" w:right="0" w:firstLine="480" w:firstLineChars="200"/>
              <w:rPr>
                <w:rFonts w:hint="eastAsia" w:ascii="Times New Roman" w:hAnsi="Times New Roman" w:cs="Times New Roman"/>
                <w:sz w:val="24"/>
              </w:rPr>
            </w:pPr>
            <w:r>
              <w:rPr>
                <w:rFonts w:hint="eastAsia" w:ascii="Times New Roman" w:hAnsi="Times New Roman" w:cs="Times New Roman"/>
                <w:sz w:val="24"/>
              </w:rPr>
              <w:t>施工期废水主要为设备安装工人的生活污水，废水中主要污染物为SS、COD、氨氮，生活污水</w:t>
            </w:r>
            <w:r>
              <w:rPr>
                <w:rFonts w:hint="eastAsia" w:ascii="Times New Roman" w:hAnsi="Times New Roman" w:cs="Times New Roman"/>
                <w:sz w:val="24"/>
                <w:lang w:eastAsia="zh-CN"/>
              </w:rPr>
              <w:t>经厂区</w:t>
            </w:r>
            <w:r>
              <w:rPr>
                <w:rFonts w:hint="eastAsia" w:ascii="Times New Roman" w:hAnsi="Times New Roman" w:cs="Times New Roman"/>
                <w:bCs/>
                <w:sz w:val="24"/>
                <w:szCs w:val="20"/>
                <w:lang w:eastAsia="zh-CN"/>
              </w:rPr>
              <w:t>化粪池处理后进入园区污水处理厂</w:t>
            </w:r>
            <w:r>
              <w:rPr>
                <w:rFonts w:hint="eastAsia" w:ascii="Times New Roman" w:hAnsi="Times New Roman" w:cs="Times New Roman"/>
                <w:sz w:val="24"/>
              </w:rPr>
              <w:t>。</w:t>
            </w:r>
          </w:p>
          <w:p w14:paraId="131AE249">
            <w:pPr>
              <w:keepNext w:val="0"/>
              <w:keepLines w:val="0"/>
              <w:widowControl/>
              <w:suppressLineNumbers w:val="0"/>
              <w:adjustRightInd w:val="0"/>
              <w:snapToGrid w:val="0"/>
              <w:spacing w:before="0" w:beforeAutospacing="0" w:after="0" w:afterAutospacing="0" w:line="440" w:lineRule="exact"/>
              <w:ind w:left="0" w:right="0" w:firstLine="480" w:firstLineChars="200"/>
              <w:rPr>
                <w:rFonts w:hint="eastAsia" w:ascii="Times New Roman" w:hAnsi="Times New Roman" w:cs="Times New Roman"/>
                <w:sz w:val="24"/>
              </w:rPr>
            </w:pPr>
            <w:r>
              <w:rPr>
                <w:rFonts w:hint="eastAsia" w:ascii="Times New Roman" w:hAnsi="Times New Roman" w:cs="Times New Roman"/>
                <w:sz w:val="24"/>
              </w:rPr>
              <w:t>（</w:t>
            </w:r>
            <w:r>
              <w:rPr>
                <w:rFonts w:hint="eastAsia" w:cs="Times New Roman"/>
                <w:sz w:val="24"/>
                <w:lang w:val="en-US" w:eastAsia="zh-CN"/>
              </w:rPr>
              <w:t>3</w:t>
            </w:r>
            <w:r>
              <w:rPr>
                <w:rFonts w:hint="eastAsia" w:ascii="Times New Roman" w:hAnsi="Times New Roman" w:cs="Times New Roman"/>
                <w:sz w:val="24"/>
              </w:rPr>
              <w:t>）噪声</w:t>
            </w:r>
          </w:p>
          <w:p w14:paraId="7E4DA1F9">
            <w:pPr>
              <w:keepNext w:val="0"/>
              <w:keepLines w:val="0"/>
              <w:widowControl/>
              <w:suppressLineNumbers w:val="0"/>
              <w:adjustRightInd w:val="0"/>
              <w:snapToGrid w:val="0"/>
              <w:spacing w:before="0" w:beforeAutospacing="0" w:after="0" w:afterAutospacing="0" w:line="440" w:lineRule="exact"/>
              <w:ind w:left="0" w:right="0" w:firstLine="480" w:firstLineChars="200"/>
              <w:rPr>
                <w:rFonts w:hint="eastAsia" w:ascii="Times New Roman" w:hAnsi="Times New Roman"/>
                <w:snapToGrid w:val="0"/>
                <w:color w:val="000000" w:themeColor="text1"/>
                <w:kern w:val="0"/>
                <w:sz w:val="24"/>
                <w:szCs w:val="24"/>
                <w:lang w:eastAsia="zh-CN"/>
                <w14:textFill>
                  <w14:solidFill>
                    <w14:schemeClr w14:val="tx1"/>
                  </w14:solidFill>
                </w14:textFill>
              </w:rPr>
            </w:pPr>
            <w:r>
              <w:rPr>
                <w:rFonts w:hint="eastAsia" w:ascii="Times New Roman" w:hAnsi="Times New Roman" w:cs="Times New Roman"/>
                <w:sz w:val="24"/>
              </w:rPr>
              <w:t>主要环境影响为设备安装过程产生的噪声。主要来源于包括施工现场的各类机械设备、设备装卸碰撞噪声和机械设备调试噪声。</w:t>
            </w:r>
            <w:r>
              <w:rPr>
                <w:rFonts w:hint="eastAsia" w:ascii="Times New Roman" w:hAnsi="Times New Roman"/>
                <w:snapToGrid w:val="0"/>
                <w:color w:val="000000" w:themeColor="text1"/>
                <w:kern w:val="0"/>
                <w:sz w:val="24"/>
                <w:szCs w:val="24"/>
                <w:lang w:eastAsia="zh-CN"/>
                <w14:textFill>
                  <w14:solidFill>
                    <w14:schemeClr w14:val="tx1"/>
                  </w14:solidFill>
                </w14:textFill>
              </w:rPr>
              <w:t>现就施工期噪声控制提出以下防治措施和建议：</w:t>
            </w:r>
          </w:p>
          <w:p w14:paraId="09E4267D">
            <w:pPr>
              <w:keepNext w:val="0"/>
              <w:keepLines w:val="0"/>
              <w:widowControl/>
              <w:suppressLineNumbers w:val="0"/>
              <w:adjustRightInd w:val="0"/>
              <w:snapToGrid w:val="0"/>
              <w:spacing w:before="0" w:beforeAutospacing="0" w:after="0" w:afterAutospacing="0" w:line="440" w:lineRule="exact"/>
              <w:ind w:left="0" w:right="0" w:firstLine="480" w:firstLineChars="200"/>
              <w:rPr>
                <w:rFonts w:hint="eastAsia" w:ascii="Times New Roman" w:hAnsi="Times New Roman"/>
                <w:snapToGrid w:val="0"/>
                <w:color w:val="000000" w:themeColor="text1"/>
                <w:kern w:val="0"/>
                <w:sz w:val="24"/>
                <w:szCs w:val="24"/>
                <w:highlight w:val="none"/>
                <w:lang w:eastAsia="zh-CN"/>
                <w14:textFill>
                  <w14:solidFill>
                    <w14:schemeClr w14:val="tx1"/>
                  </w14:solidFill>
                </w14:textFill>
              </w:rPr>
            </w:pPr>
            <w:r>
              <w:rPr>
                <w:rFonts w:hint="default" w:ascii="Times New Roman" w:hAnsi="Times New Roman" w:eastAsia="微软雅黑" w:cs="Times New Roman"/>
                <w:snapToGrid w:val="0"/>
                <w:color w:val="000000" w:themeColor="text1"/>
                <w:kern w:val="0"/>
                <w:sz w:val="24"/>
                <w:szCs w:val="24"/>
                <w:highlight w:val="none"/>
                <w:lang w:eastAsia="zh-CN"/>
                <w14:textFill>
                  <w14:solidFill>
                    <w14:schemeClr w14:val="tx1"/>
                  </w14:solidFill>
                </w14:textFill>
              </w:rPr>
              <w:t>①</w:t>
            </w:r>
            <w:r>
              <w:rPr>
                <w:rFonts w:hint="eastAsia" w:ascii="Times New Roman" w:hAnsi="Times New Roman"/>
                <w:snapToGrid w:val="0"/>
                <w:color w:val="000000" w:themeColor="text1"/>
                <w:kern w:val="0"/>
                <w:sz w:val="24"/>
                <w:szCs w:val="24"/>
                <w:highlight w:val="none"/>
                <w:lang w:eastAsia="zh-CN"/>
                <w14:textFill>
                  <w14:solidFill>
                    <w14:schemeClr w14:val="tx1"/>
                  </w14:solidFill>
                </w14:textFill>
              </w:rPr>
              <w:t>合理布置施工场地，固定振动源相对集中放置并安置在施工场地临时房内，必要时房屋内设隔音板；</w:t>
            </w:r>
          </w:p>
          <w:p w14:paraId="4AED8A32">
            <w:pPr>
              <w:keepNext w:val="0"/>
              <w:keepLines w:val="0"/>
              <w:widowControl/>
              <w:suppressLineNumbers w:val="0"/>
              <w:adjustRightInd w:val="0"/>
              <w:snapToGrid w:val="0"/>
              <w:spacing w:before="0" w:beforeAutospacing="0" w:after="0" w:afterAutospacing="0" w:line="440" w:lineRule="exact"/>
              <w:ind w:left="0" w:right="0" w:firstLine="480" w:firstLineChars="200"/>
              <w:rPr>
                <w:rFonts w:hint="default" w:ascii="Times New Roman" w:hAnsi="Times New Roman" w:cs="Times New Roman"/>
                <w:snapToGrid w:val="0"/>
                <w:color w:val="000000" w:themeColor="text1"/>
                <w:kern w:val="0"/>
                <w:sz w:val="24"/>
                <w:szCs w:val="24"/>
                <w:highlight w:val="none"/>
                <w:lang w:eastAsia="zh-CN"/>
                <w14:textFill>
                  <w14:solidFill>
                    <w14:schemeClr w14:val="tx1"/>
                  </w14:solidFill>
                </w14:textFill>
              </w:rPr>
            </w:pPr>
            <w:r>
              <w:rPr>
                <w:rFonts w:hint="default" w:ascii="Times New Roman" w:hAnsi="Times New Roman" w:eastAsia="微软雅黑" w:cs="Times New Roman"/>
                <w:snapToGrid w:val="0"/>
                <w:color w:val="000000" w:themeColor="text1"/>
                <w:kern w:val="0"/>
                <w:sz w:val="24"/>
                <w:szCs w:val="24"/>
                <w:highlight w:val="none"/>
                <w:lang w:eastAsia="zh-CN"/>
                <w14:textFill>
                  <w14:solidFill>
                    <w14:schemeClr w14:val="tx1"/>
                  </w14:solidFill>
                </w14:textFill>
              </w:rPr>
              <w:t>②</w:t>
            </w:r>
            <w:r>
              <w:rPr>
                <w:rFonts w:hint="eastAsia" w:ascii="Times New Roman" w:hAnsi="Times New Roman"/>
                <w:snapToGrid w:val="0"/>
                <w:color w:val="000000" w:themeColor="text1"/>
                <w:kern w:val="0"/>
                <w:sz w:val="24"/>
                <w:szCs w:val="24"/>
                <w:highlight w:val="none"/>
                <w:lang w:eastAsia="zh-CN"/>
                <w14:textFill>
                  <w14:solidFill>
                    <w14:schemeClr w14:val="tx1"/>
                  </w14:solidFill>
                </w14:textFill>
              </w:rPr>
              <w:t>施工单位必须选用符合国家有关标准的施工机械和车辆，尽量采用低噪声的施工机械和工艺，振动较大的固定机械设备应加装减振机座，固定强噪声源应考虑加装隔音罩（如发电车等），同时应加强各类施工设备的维护和保养，保持其良好的运转，以便从根本上降低噪声源强；</w:t>
            </w:r>
          </w:p>
          <w:p w14:paraId="56CD6E18">
            <w:pPr>
              <w:keepNext w:val="0"/>
              <w:keepLines w:val="0"/>
              <w:widowControl/>
              <w:suppressLineNumbers w:val="0"/>
              <w:adjustRightInd w:val="0"/>
              <w:snapToGrid w:val="0"/>
              <w:spacing w:before="0" w:beforeAutospacing="0" w:after="0" w:afterAutospacing="0" w:line="440" w:lineRule="exact"/>
              <w:ind w:left="0" w:right="0" w:firstLine="480" w:firstLineChars="200"/>
              <w:rPr>
                <w:rFonts w:hint="eastAsia" w:ascii="Times New Roman" w:hAnsi="Times New Roman" w:cs="Times New Roman"/>
                <w:sz w:val="24"/>
                <w:lang w:eastAsia="zh-CN"/>
              </w:rPr>
            </w:pPr>
            <w:r>
              <w:rPr>
                <w:rFonts w:hint="default" w:ascii="Times New Roman" w:hAnsi="Times New Roman" w:eastAsia="微软雅黑" w:cs="Times New Roman"/>
                <w:snapToGrid w:val="0"/>
                <w:color w:val="000000" w:themeColor="text1"/>
                <w:kern w:val="0"/>
                <w:sz w:val="24"/>
                <w:lang w:eastAsia="zh-CN"/>
                <w14:textFill>
                  <w14:solidFill>
                    <w14:schemeClr w14:val="tx1"/>
                  </w14:solidFill>
                </w14:textFill>
              </w:rPr>
              <w:t>③</w:t>
            </w:r>
            <w:r>
              <w:rPr>
                <w:rFonts w:hint="eastAsia" w:ascii="Times New Roman" w:hAnsi="Times New Roman" w:cs="Times New Roman"/>
                <w:sz w:val="24"/>
                <w:lang w:eastAsia="zh-CN"/>
              </w:rPr>
              <w:t>施工车辆在经过各敏感点路段时禁止鸣笛并减速行驶；</w:t>
            </w:r>
          </w:p>
          <w:p w14:paraId="14E5B829">
            <w:pPr>
              <w:keepNext w:val="0"/>
              <w:keepLines w:val="0"/>
              <w:widowControl/>
              <w:suppressLineNumbers w:val="0"/>
              <w:adjustRightInd w:val="0"/>
              <w:snapToGrid w:val="0"/>
              <w:spacing w:before="0" w:beforeAutospacing="0" w:after="0" w:afterAutospacing="0" w:line="440" w:lineRule="exact"/>
              <w:ind w:left="0" w:right="0" w:firstLine="480" w:firstLineChars="200"/>
              <w:rPr>
                <w:rFonts w:hint="eastAsia" w:ascii="Times New Roman" w:hAnsi="Times New Roman" w:cs="Times New Roman"/>
                <w:sz w:val="24"/>
                <w:lang w:eastAsia="zh-CN"/>
              </w:rPr>
            </w:pPr>
            <w:r>
              <w:rPr>
                <w:rFonts w:hint="default" w:ascii="Times New Roman" w:hAnsi="Times New Roman" w:eastAsia="微软雅黑" w:cs="Times New Roman"/>
                <w:snapToGrid w:val="0"/>
                <w:color w:val="000000" w:themeColor="text1"/>
                <w:kern w:val="0"/>
                <w:sz w:val="24"/>
                <w:lang w:val="en-US" w:eastAsia="zh-CN"/>
                <w14:textFill>
                  <w14:solidFill>
                    <w14:schemeClr w14:val="tx1"/>
                  </w14:solidFill>
                </w14:textFill>
              </w:rPr>
              <w:t>④</w:t>
            </w:r>
            <w:r>
              <w:rPr>
                <w:rFonts w:hint="eastAsia" w:ascii="Times New Roman" w:hAnsi="Times New Roman" w:cs="Times New Roman"/>
                <w:sz w:val="24"/>
                <w:lang w:eastAsia="zh-CN"/>
              </w:rPr>
              <w:t>施工期的噪声主要通过减少高噪声设备的使用、合理安排施工时间和加强对一线操作人员的环境意识教育来控制，高噪声设备（如挖土机、搅拌机等）的施工时间应安排在日间，避免夜间施工；</w:t>
            </w:r>
          </w:p>
          <w:p w14:paraId="13964443">
            <w:pPr>
              <w:keepNext w:val="0"/>
              <w:keepLines w:val="0"/>
              <w:widowControl/>
              <w:suppressLineNumbers w:val="0"/>
              <w:adjustRightInd w:val="0"/>
              <w:snapToGrid w:val="0"/>
              <w:spacing w:before="0" w:beforeAutospacing="0" w:after="0" w:afterAutospacing="0" w:line="440" w:lineRule="exact"/>
              <w:ind w:left="0" w:right="0" w:firstLine="480" w:firstLineChars="200"/>
              <w:rPr>
                <w:rFonts w:hint="eastAsia" w:ascii="Times New Roman" w:hAnsi="Times New Roman" w:cs="Times New Roman"/>
                <w:sz w:val="24"/>
                <w:lang w:eastAsia="zh-CN"/>
              </w:rPr>
            </w:pPr>
            <w:r>
              <w:rPr>
                <w:rFonts w:hint="default" w:ascii="Times New Roman" w:hAnsi="Times New Roman" w:eastAsia="微软雅黑" w:cs="Times New Roman"/>
                <w:snapToGrid w:val="0"/>
                <w:color w:val="000000" w:themeColor="text1"/>
                <w:kern w:val="0"/>
                <w:sz w:val="24"/>
                <w:lang w:val="en-US" w:eastAsia="zh-CN"/>
                <w14:textFill>
                  <w14:solidFill>
                    <w14:schemeClr w14:val="tx1"/>
                  </w14:solidFill>
                </w14:textFill>
              </w:rPr>
              <w:t>⑤</w:t>
            </w:r>
            <w:r>
              <w:rPr>
                <w:rFonts w:hint="eastAsia" w:ascii="Times New Roman" w:hAnsi="Times New Roman" w:cs="Times New Roman"/>
                <w:sz w:val="24"/>
                <w:lang w:eastAsia="zh-CN"/>
              </w:rPr>
              <w:t>材料轻卸轻搬，禁止从车上往下扔材料，应按规范采用人工搬运或吊车吊运。</w:t>
            </w:r>
          </w:p>
          <w:p w14:paraId="68D0B844">
            <w:pPr>
              <w:keepNext w:val="0"/>
              <w:keepLines w:val="0"/>
              <w:widowControl/>
              <w:suppressLineNumbers w:val="0"/>
              <w:adjustRightInd w:val="0"/>
              <w:snapToGrid w:val="0"/>
              <w:spacing w:before="0" w:beforeAutospacing="0" w:after="0" w:afterAutospacing="0" w:line="440" w:lineRule="exact"/>
              <w:ind w:left="0" w:right="0" w:firstLine="480" w:firstLineChars="200"/>
              <w:rPr>
                <w:rFonts w:hint="eastAsia" w:ascii="Times New Roman" w:hAnsi="Times New Roman" w:cs="Times New Roman"/>
                <w:sz w:val="24"/>
              </w:rPr>
            </w:pPr>
            <w:r>
              <w:rPr>
                <w:rFonts w:hint="eastAsia" w:ascii="Times New Roman" w:hAnsi="Times New Roman" w:cs="Times New Roman"/>
                <w:sz w:val="24"/>
                <w:lang w:eastAsia="zh-CN"/>
              </w:rPr>
              <w:t>综上所述，工程在严格落实以上措施的前提下，可以有效降低施工噪声对施工场地周边声环境的不良影响，噪声污染防治措施可行。</w:t>
            </w:r>
            <w:r>
              <w:rPr>
                <w:rFonts w:hint="eastAsia" w:ascii="Times New Roman" w:hAnsi="Times New Roman" w:cs="Times New Roman"/>
                <w:sz w:val="24"/>
              </w:rPr>
              <w:t>项目施工噪声满足标准《建筑施工噪声排放标准》（GB12523-20</w:t>
            </w:r>
            <w:r>
              <w:rPr>
                <w:rFonts w:hint="eastAsia" w:cs="Times New Roman"/>
                <w:sz w:val="24"/>
                <w:lang w:val="en-US" w:eastAsia="zh-CN"/>
              </w:rPr>
              <w:t>25</w:t>
            </w:r>
            <w:r>
              <w:rPr>
                <w:rFonts w:hint="eastAsia" w:ascii="Times New Roman" w:hAnsi="Times New Roman" w:cs="Times New Roman"/>
                <w:sz w:val="24"/>
              </w:rPr>
              <w:t>）要求，对周边环境影响较小，随着施工结束，影响将消失。</w:t>
            </w:r>
          </w:p>
          <w:p w14:paraId="1A70E813">
            <w:pPr>
              <w:keepNext w:val="0"/>
              <w:keepLines w:val="0"/>
              <w:widowControl/>
              <w:suppressLineNumbers w:val="0"/>
              <w:adjustRightInd w:val="0"/>
              <w:snapToGrid w:val="0"/>
              <w:spacing w:before="0" w:beforeAutospacing="0" w:after="0" w:afterAutospacing="0" w:line="440" w:lineRule="exact"/>
              <w:ind w:left="0" w:right="0" w:firstLine="480" w:firstLineChars="200"/>
              <w:rPr>
                <w:rFonts w:hint="eastAsia" w:ascii="Times New Roman" w:hAnsi="Times New Roman" w:cs="Times New Roman"/>
                <w:sz w:val="24"/>
              </w:rPr>
            </w:pPr>
            <w:r>
              <w:rPr>
                <w:rFonts w:hint="eastAsia" w:ascii="Times New Roman" w:hAnsi="Times New Roman" w:cs="Times New Roman"/>
                <w:sz w:val="24"/>
              </w:rPr>
              <w:t>（</w:t>
            </w:r>
            <w:r>
              <w:rPr>
                <w:rFonts w:hint="eastAsia" w:cs="Times New Roman"/>
                <w:sz w:val="24"/>
                <w:lang w:val="en-US" w:eastAsia="zh-CN"/>
              </w:rPr>
              <w:t>4</w:t>
            </w:r>
            <w:r>
              <w:rPr>
                <w:rFonts w:hint="eastAsia" w:ascii="Times New Roman" w:hAnsi="Times New Roman" w:cs="Times New Roman"/>
                <w:sz w:val="24"/>
              </w:rPr>
              <w:t>）固体废物</w:t>
            </w:r>
          </w:p>
          <w:p w14:paraId="26685471">
            <w:pPr>
              <w:keepNext w:val="0"/>
              <w:keepLines w:val="0"/>
              <w:widowControl/>
              <w:suppressLineNumbers w:val="0"/>
              <w:adjustRightInd w:val="0"/>
              <w:snapToGrid w:val="0"/>
              <w:spacing w:before="0" w:beforeAutospacing="0" w:after="0" w:afterAutospacing="0" w:line="440" w:lineRule="exact"/>
              <w:ind w:left="0" w:right="0" w:firstLine="480" w:firstLineChars="200"/>
              <w:rPr>
                <w:rFonts w:hint="eastAsia" w:ascii="Times New Roman" w:hAnsi="Times New Roman" w:cs="Times New Roman"/>
                <w:sz w:val="24"/>
              </w:rPr>
            </w:pPr>
            <w:r>
              <w:rPr>
                <w:rFonts w:hint="eastAsia" w:ascii="Times New Roman" w:hAnsi="Times New Roman" w:cs="Times New Roman"/>
                <w:sz w:val="24"/>
              </w:rPr>
              <w:t>施工期固体废物主要为建筑垃圾和安装人员的生活垃圾。</w:t>
            </w:r>
          </w:p>
          <w:p w14:paraId="56B2CEC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80" w:lineRule="atLeast"/>
              <w:ind w:left="0" w:right="0" w:firstLine="480" w:firstLineChars="200"/>
              <w:jc w:val="both"/>
              <w:textAlignment w:val="auto"/>
              <w:rPr>
                <w:rFonts w:hint="eastAsia" w:ascii="Times New Roman" w:hAnsi="Times New Roman" w:cs="Times New Roman"/>
                <w:sz w:val="24"/>
                <w:lang w:eastAsia="zh-CN"/>
              </w:rPr>
            </w:pPr>
            <w:r>
              <w:rPr>
                <w:rFonts w:hint="eastAsia" w:ascii="Times New Roman" w:hAnsi="Times New Roman" w:cs="Times New Roman"/>
                <w:sz w:val="24"/>
              </w:rPr>
              <w:t>建筑垃圾中可回收废料如废包装、废木板等将尽量由施工单位回收利用，其它不可回收的建筑垃圾运至建筑垃圾填埋场处理；现场安置垃圾箱，将生活垃圾集中收集后，送环卫部门指定地点处置。</w:t>
            </w:r>
          </w:p>
          <w:p w14:paraId="14F90FD0">
            <w:pPr>
              <w:keepNext w:val="0"/>
              <w:keepLines w:val="0"/>
              <w:widowControl/>
              <w:suppressLineNumbers w:val="0"/>
              <w:adjustRightInd w:val="0"/>
              <w:snapToGrid w:val="0"/>
              <w:spacing w:before="0" w:beforeAutospacing="0" w:after="0" w:afterAutospacing="0" w:line="440" w:lineRule="exact"/>
              <w:ind w:left="0" w:right="0" w:firstLine="480" w:firstLineChars="200"/>
              <w:rPr>
                <w:rFonts w:hint="eastAsia" w:ascii="Times New Roman" w:hAnsi="Times New Roman" w:cs="Times New Roman"/>
                <w:snapToGrid w:val="0"/>
                <w:sz w:val="24"/>
                <w:lang w:val="en-US" w:eastAsia="zh-CN"/>
              </w:rPr>
            </w:pPr>
          </w:p>
          <w:p w14:paraId="7850A644">
            <w:pPr>
              <w:keepNext w:val="0"/>
              <w:keepLines w:val="0"/>
              <w:widowControl/>
              <w:suppressLineNumbers w:val="0"/>
              <w:adjustRightInd w:val="0"/>
              <w:snapToGrid w:val="0"/>
              <w:spacing w:before="0" w:beforeAutospacing="0" w:after="0" w:afterAutospacing="0" w:line="440" w:lineRule="exact"/>
              <w:ind w:left="0" w:right="0" w:firstLine="480" w:firstLineChars="200"/>
              <w:rPr>
                <w:rFonts w:hint="eastAsia" w:ascii="Times New Roman" w:hAnsi="Times New Roman" w:cs="Times New Roman"/>
                <w:snapToGrid w:val="0"/>
                <w:sz w:val="24"/>
                <w:lang w:val="en-US" w:eastAsia="zh-CN"/>
              </w:rPr>
            </w:pPr>
          </w:p>
          <w:p w14:paraId="7897223F">
            <w:pPr>
              <w:keepNext w:val="0"/>
              <w:keepLines w:val="0"/>
              <w:widowControl/>
              <w:suppressLineNumbers w:val="0"/>
              <w:adjustRightInd w:val="0"/>
              <w:snapToGrid w:val="0"/>
              <w:spacing w:before="0" w:beforeAutospacing="0" w:after="0" w:afterAutospacing="0" w:line="440" w:lineRule="exact"/>
              <w:ind w:left="0" w:right="0" w:firstLine="480" w:firstLineChars="200"/>
              <w:rPr>
                <w:rFonts w:hint="eastAsia" w:ascii="Times New Roman" w:hAnsi="Times New Roman" w:cs="Times New Roman"/>
                <w:snapToGrid w:val="0"/>
                <w:sz w:val="24"/>
                <w:lang w:val="en-US" w:eastAsia="zh-CN"/>
              </w:rPr>
            </w:pPr>
          </w:p>
          <w:p w14:paraId="206E21FD">
            <w:pPr>
              <w:keepNext w:val="0"/>
              <w:keepLines w:val="0"/>
              <w:widowControl/>
              <w:suppressLineNumbers w:val="0"/>
              <w:adjustRightInd w:val="0"/>
              <w:snapToGrid w:val="0"/>
              <w:spacing w:before="0" w:beforeAutospacing="0" w:after="0" w:afterAutospacing="0" w:line="440" w:lineRule="exact"/>
              <w:ind w:left="0" w:right="0" w:firstLine="480" w:firstLineChars="200"/>
              <w:rPr>
                <w:rFonts w:hint="eastAsia" w:ascii="Times New Roman" w:hAnsi="Times New Roman" w:cs="Times New Roman"/>
                <w:snapToGrid w:val="0"/>
                <w:sz w:val="24"/>
                <w:lang w:val="en-US" w:eastAsia="zh-CN"/>
              </w:rPr>
            </w:pPr>
          </w:p>
          <w:p w14:paraId="7245DA47">
            <w:pPr>
              <w:keepNext w:val="0"/>
              <w:keepLines w:val="0"/>
              <w:widowControl/>
              <w:suppressLineNumbers w:val="0"/>
              <w:adjustRightInd w:val="0"/>
              <w:snapToGrid w:val="0"/>
              <w:spacing w:before="0" w:beforeAutospacing="0" w:after="0" w:afterAutospacing="0" w:line="440" w:lineRule="exact"/>
              <w:ind w:left="0" w:right="0" w:firstLine="480" w:firstLineChars="200"/>
              <w:rPr>
                <w:rFonts w:hint="eastAsia" w:ascii="Times New Roman" w:hAnsi="Times New Roman" w:cs="Times New Roman"/>
                <w:snapToGrid w:val="0"/>
                <w:sz w:val="24"/>
                <w:lang w:val="en-US" w:eastAsia="zh-CN"/>
              </w:rPr>
            </w:pPr>
          </w:p>
          <w:p w14:paraId="4E63B756">
            <w:pPr>
              <w:keepNext w:val="0"/>
              <w:keepLines w:val="0"/>
              <w:widowControl/>
              <w:suppressLineNumbers w:val="0"/>
              <w:adjustRightInd w:val="0"/>
              <w:snapToGrid w:val="0"/>
              <w:spacing w:before="0" w:beforeAutospacing="0" w:after="0" w:afterAutospacing="0" w:line="440" w:lineRule="exact"/>
              <w:ind w:left="0" w:right="0"/>
              <w:rPr>
                <w:rFonts w:hint="eastAsia" w:ascii="Times New Roman" w:hAnsi="Times New Roman" w:cs="Times New Roman"/>
                <w:snapToGrid w:val="0"/>
                <w:kern w:val="0"/>
                <w:sz w:val="24"/>
              </w:rPr>
            </w:pPr>
          </w:p>
        </w:tc>
      </w:tr>
      <w:tr w14:paraId="77EE43D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978" w:hRule="atLeast"/>
          <w:jc w:val="center"/>
        </w:trPr>
        <w:tc>
          <w:tcPr>
            <w:tcW w:w="458" w:type="dxa"/>
            <w:noWrap w:val="0"/>
            <w:tcMar>
              <w:left w:w="28" w:type="dxa"/>
              <w:right w:w="28" w:type="dxa"/>
            </w:tcMar>
            <w:vAlign w:val="center"/>
          </w:tcPr>
          <w:p w14:paraId="08FBE958">
            <w:pPr>
              <w:keepNext w:val="0"/>
              <w:keepLines w:val="0"/>
              <w:suppressLineNumbers w:val="0"/>
              <w:adjustRightInd w:val="0"/>
              <w:snapToGrid w:val="0"/>
              <w:spacing w:before="0" w:beforeAutospacing="0" w:after="0" w:afterAutospacing="0" w:line="360" w:lineRule="auto"/>
              <w:ind w:left="0" w:right="0"/>
              <w:jc w:val="center"/>
              <w:rPr>
                <w:rFonts w:hint="default" w:ascii="Times New Roman" w:hAnsi="Times New Roman" w:cs="Times New Roman"/>
                <w:b/>
                <w:bCs/>
                <w:sz w:val="24"/>
              </w:rPr>
            </w:pPr>
            <w:r>
              <w:rPr>
                <w:rFonts w:hint="default" w:ascii="Times New Roman" w:hAnsi="Times New Roman" w:cs="Times New Roman"/>
                <w:b/>
                <w:bCs/>
                <w:sz w:val="24"/>
              </w:rPr>
              <w:t>运营</w:t>
            </w:r>
          </w:p>
          <w:p w14:paraId="1E788413">
            <w:pPr>
              <w:keepNext w:val="0"/>
              <w:keepLines w:val="0"/>
              <w:suppressLineNumbers w:val="0"/>
              <w:adjustRightInd w:val="0"/>
              <w:snapToGrid w:val="0"/>
              <w:spacing w:before="0" w:beforeAutospacing="0" w:after="0" w:afterAutospacing="0" w:line="360" w:lineRule="auto"/>
              <w:ind w:left="0" w:right="0"/>
              <w:jc w:val="center"/>
              <w:rPr>
                <w:rFonts w:hint="default" w:ascii="Times New Roman" w:hAnsi="Times New Roman" w:cs="Times New Roman"/>
                <w:b/>
                <w:bCs/>
                <w:sz w:val="24"/>
              </w:rPr>
            </w:pPr>
            <w:r>
              <w:rPr>
                <w:rFonts w:hint="default" w:ascii="Times New Roman" w:hAnsi="Times New Roman" w:cs="Times New Roman"/>
                <w:b/>
                <w:bCs/>
                <w:sz w:val="24"/>
              </w:rPr>
              <w:t>期环</w:t>
            </w:r>
          </w:p>
          <w:p w14:paraId="0E3BF16F">
            <w:pPr>
              <w:keepNext w:val="0"/>
              <w:keepLines w:val="0"/>
              <w:suppressLineNumbers w:val="0"/>
              <w:adjustRightInd w:val="0"/>
              <w:snapToGrid w:val="0"/>
              <w:spacing w:before="0" w:beforeAutospacing="0" w:after="0" w:afterAutospacing="0" w:line="360" w:lineRule="auto"/>
              <w:ind w:left="0" w:right="0"/>
              <w:jc w:val="center"/>
              <w:rPr>
                <w:rFonts w:hint="default" w:ascii="Times New Roman" w:hAnsi="Times New Roman" w:cs="Times New Roman"/>
                <w:b/>
                <w:bCs/>
                <w:sz w:val="24"/>
              </w:rPr>
            </w:pPr>
            <w:r>
              <w:rPr>
                <w:rFonts w:hint="default" w:ascii="Times New Roman" w:hAnsi="Times New Roman" w:cs="Times New Roman"/>
                <w:b/>
                <w:bCs/>
                <w:sz w:val="24"/>
              </w:rPr>
              <w:t>境影</w:t>
            </w:r>
          </w:p>
          <w:p w14:paraId="0B2D836B">
            <w:pPr>
              <w:keepNext w:val="0"/>
              <w:keepLines w:val="0"/>
              <w:suppressLineNumbers w:val="0"/>
              <w:adjustRightInd w:val="0"/>
              <w:snapToGrid w:val="0"/>
              <w:spacing w:before="0" w:beforeAutospacing="0" w:after="0" w:afterAutospacing="0" w:line="360" w:lineRule="auto"/>
              <w:ind w:left="0" w:right="0"/>
              <w:jc w:val="center"/>
              <w:rPr>
                <w:rFonts w:hint="default" w:ascii="Times New Roman" w:hAnsi="Times New Roman" w:cs="Times New Roman"/>
                <w:b/>
                <w:bCs/>
                <w:sz w:val="24"/>
              </w:rPr>
            </w:pPr>
            <w:r>
              <w:rPr>
                <w:rFonts w:hint="default" w:ascii="Times New Roman" w:hAnsi="Times New Roman" w:cs="Times New Roman"/>
                <w:b/>
                <w:bCs/>
                <w:sz w:val="24"/>
              </w:rPr>
              <w:t>响和</w:t>
            </w:r>
          </w:p>
          <w:p w14:paraId="5FB1312E">
            <w:pPr>
              <w:keepNext w:val="0"/>
              <w:keepLines w:val="0"/>
              <w:suppressLineNumbers w:val="0"/>
              <w:adjustRightInd w:val="0"/>
              <w:snapToGrid w:val="0"/>
              <w:spacing w:before="0" w:beforeAutospacing="0" w:after="0" w:afterAutospacing="0" w:line="360" w:lineRule="auto"/>
              <w:ind w:left="0" w:right="0"/>
              <w:jc w:val="center"/>
              <w:rPr>
                <w:rFonts w:hint="default" w:ascii="Times New Roman" w:hAnsi="Times New Roman" w:cs="Times New Roman"/>
                <w:b/>
                <w:bCs/>
                <w:sz w:val="24"/>
              </w:rPr>
            </w:pPr>
            <w:r>
              <w:rPr>
                <w:rFonts w:hint="default" w:ascii="Times New Roman" w:hAnsi="Times New Roman" w:cs="Times New Roman"/>
                <w:b/>
                <w:bCs/>
                <w:sz w:val="24"/>
              </w:rPr>
              <w:t>保护</w:t>
            </w:r>
          </w:p>
          <w:p w14:paraId="038EB437">
            <w:pPr>
              <w:keepNext w:val="0"/>
              <w:keepLines w:val="0"/>
              <w:suppressLineNumbers w:val="0"/>
              <w:adjustRightInd w:val="0"/>
              <w:snapToGrid w:val="0"/>
              <w:spacing w:before="0" w:beforeAutospacing="0" w:after="0" w:afterAutospacing="0" w:line="360" w:lineRule="auto"/>
              <w:ind w:left="0" w:right="0"/>
              <w:jc w:val="center"/>
              <w:rPr>
                <w:rFonts w:hint="default" w:ascii="Times New Roman" w:hAnsi="Times New Roman" w:cs="Times New Roman"/>
                <w:bCs/>
                <w:szCs w:val="21"/>
              </w:rPr>
            </w:pPr>
            <w:r>
              <w:rPr>
                <w:rFonts w:hint="default" w:ascii="Times New Roman" w:hAnsi="Times New Roman" w:cs="Times New Roman"/>
                <w:b/>
                <w:bCs/>
                <w:sz w:val="24"/>
              </w:rPr>
              <w:t>措施</w:t>
            </w:r>
          </w:p>
        </w:tc>
        <w:tc>
          <w:tcPr>
            <w:tcW w:w="8450" w:type="dxa"/>
            <w:noWrap w:val="0"/>
            <w:vAlign w:val="center"/>
          </w:tcPr>
          <w:p w14:paraId="4B4C4BF0">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outlineLvl w:val="2"/>
              <w:rPr>
                <w:rFonts w:hint="default" w:ascii="Times New Roman" w:hAnsi="Times New Roman" w:eastAsia="宋体" w:cs="Times New Roman"/>
                <w:b/>
                <w:bCs/>
                <w:sz w:val="24"/>
                <w:szCs w:val="22"/>
              </w:rPr>
            </w:pPr>
            <w:r>
              <w:rPr>
                <w:rFonts w:hint="default" w:ascii="Times New Roman" w:hAnsi="Times New Roman" w:eastAsia="宋体" w:cs="Times New Roman"/>
                <w:b/>
                <w:bCs/>
                <w:sz w:val="24"/>
                <w:szCs w:val="22"/>
              </w:rPr>
              <w:t>1、</w:t>
            </w:r>
            <w:r>
              <w:rPr>
                <w:rFonts w:hint="default" w:ascii="Times New Roman" w:hAnsi="Times New Roman" w:eastAsia="宋体" w:cs="Times New Roman"/>
                <w:b/>
                <w:bCs/>
                <w:snapToGrid w:val="0"/>
                <w:kern w:val="0"/>
                <w:sz w:val="24"/>
                <w:szCs w:val="22"/>
                <w:lang w:eastAsia="zh-CN"/>
              </w:rPr>
              <w:t>大气环境影响分析</w:t>
            </w:r>
          </w:p>
          <w:p w14:paraId="77E648F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b w:val="0"/>
                <w:bCs w:val="0"/>
                <w:color w:val="auto"/>
                <w:kern w:val="0"/>
                <w:sz w:val="24"/>
                <w:lang w:val="en-US" w:eastAsia="zh-CN" w:bidi="en-US"/>
              </w:rPr>
            </w:pPr>
            <w:r>
              <w:rPr>
                <w:rFonts w:hint="default" w:ascii="Times New Roman" w:hAnsi="Times New Roman" w:eastAsia="宋体" w:cs="Times New Roman"/>
                <w:b w:val="0"/>
                <w:bCs w:val="0"/>
                <w:color w:val="auto"/>
                <w:kern w:val="0"/>
                <w:sz w:val="24"/>
                <w:lang w:val="en-US" w:eastAsia="zh-CN" w:bidi="en-US"/>
              </w:rPr>
              <w:t>技改项目依托现有工程生产车间进行建设，位于生产车间东</w:t>
            </w:r>
            <w:r>
              <w:rPr>
                <w:rFonts w:hint="default" w:cs="Times New Roman"/>
                <w:b w:val="0"/>
                <w:bCs w:val="0"/>
                <w:color w:val="auto"/>
                <w:kern w:val="0"/>
                <w:sz w:val="24"/>
                <w:lang w:val="en-US" w:eastAsia="zh-CN" w:bidi="en-US"/>
              </w:rPr>
              <w:t>部</w:t>
            </w:r>
            <w:r>
              <w:rPr>
                <w:rFonts w:hint="default" w:ascii="Times New Roman" w:hAnsi="Times New Roman" w:eastAsia="宋体" w:cs="Times New Roman"/>
                <w:b w:val="0"/>
                <w:bCs w:val="0"/>
                <w:color w:val="auto"/>
                <w:kern w:val="0"/>
                <w:sz w:val="24"/>
                <w:lang w:val="en-US" w:eastAsia="zh-CN" w:bidi="en-US"/>
              </w:rPr>
              <w:t>中心位置建设洁净车间，增加印刷机1台、无溶剂复合机1台、固化室3组、高速分切机1台（利旧），以上工程产生的废气经集气装置+二级活性炭吸附装置进行治理后，由1根15m高排气筒DA003</w:t>
            </w:r>
            <w:r>
              <w:rPr>
                <w:rFonts w:hint="default" w:cs="Times New Roman"/>
                <w:b w:val="0"/>
                <w:bCs w:val="0"/>
                <w:color w:val="auto"/>
                <w:kern w:val="0"/>
                <w:sz w:val="24"/>
                <w:lang w:val="en-US" w:eastAsia="zh-CN" w:bidi="en-US"/>
              </w:rPr>
              <w:t>（新增）</w:t>
            </w:r>
            <w:r>
              <w:rPr>
                <w:rFonts w:hint="default" w:ascii="Times New Roman" w:hAnsi="Times New Roman" w:eastAsia="宋体" w:cs="Times New Roman"/>
                <w:b w:val="0"/>
                <w:bCs w:val="0"/>
                <w:color w:val="auto"/>
                <w:kern w:val="0"/>
                <w:sz w:val="24"/>
                <w:lang w:val="en-US" w:eastAsia="zh-CN" w:bidi="en-US"/>
              </w:rPr>
              <w:t>排放。非洁净车间吹膜、印刷、复合工序产生的废气经集气装置+二级活性炭吸附装置进行治理后，由1根15m高排气筒DA001</w:t>
            </w:r>
            <w:r>
              <w:rPr>
                <w:rFonts w:hint="default" w:cs="Times New Roman"/>
                <w:b w:val="0"/>
                <w:bCs w:val="0"/>
                <w:color w:val="auto"/>
                <w:kern w:val="0"/>
                <w:sz w:val="24"/>
                <w:lang w:val="en-US" w:eastAsia="zh-CN" w:bidi="en-US"/>
              </w:rPr>
              <w:t>（依托）</w:t>
            </w:r>
            <w:r>
              <w:rPr>
                <w:rFonts w:hint="default" w:ascii="Times New Roman" w:hAnsi="Times New Roman" w:eastAsia="宋体" w:cs="Times New Roman"/>
                <w:b w:val="0"/>
                <w:bCs w:val="0"/>
                <w:color w:val="auto"/>
                <w:kern w:val="0"/>
                <w:sz w:val="24"/>
                <w:lang w:val="en-US" w:eastAsia="zh-CN" w:bidi="en-US"/>
              </w:rPr>
              <w:t>排放；非洁净车间印刷、复合、固化工序</w:t>
            </w:r>
            <w:r>
              <w:rPr>
                <w:rFonts w:hint="default" w:cs="Times New Roman"/>
                <w:b w:val="0"/>
                <w:bCs w:val="0"/>
                <w:color w:val="auto"/>
                <w:kern w:val="0"/>
                <w:sz w:val="24"/>
                <w:lang w:val="en-US" w:eastAsia="zh-CN" w:bidi="en-US"/>
              </w:rPr>
              <w:t>产生的废气与洁净车间水性油墨配制</w:t>
            </w:r>
            <w:r>
              <w:rPr>
                <w:rFonts w:hint="eastAsia" w:cs="Times New Roman"/>
                <w:b w:val="0"/>
                <w:bCs w:val="0"/>
                <w:color w:val="auto"/>
                <w:kern w:val="0"/>
                <w:sz w:val="24"/>
                <w:lang w:val="en-US" w:eastAsia="zh-CN" w:bidi="en-US"/>
              </w:rPr>
              <w:t>、擦拭</w:t>
            </w:r>
            <w:r>
              <w:rPr>
                <w:rFonts w:hint="default" w:ascii="Times New Roman" w:hAnsi="Times New Roman" w:eastAsia="宋体" w:cs="Times New Roman"/>
                <w:b w:val="0"/>
                <w:bCs w:val="0"/>
                <w:color w:val="auto"/>
                <w:kern w:val="0"/>
                <w:sz w:val="24"/>
                <w:lang w:val="en-US" w:eastAsia="zh-CN" w:bidi="en-US"/>
              </w:rPr>
              <w:t>产生的废气经集气装置+二级活性炭吸附装置进行治理后，由1根15m高排气筒DA002</w:t>
            </w:r>
            <w:r>
              <w:rPr>
                <w:rFonts w:hint="default" w:cs="Times New Roman"/>
                <w:b w:val="0"/>
                <w:bCs w:val="0"/>
                <w:color w:val="auto"/>
                <w:kern w:val="0"/>
                <w:sz w:val="24"/>
                <w:lang w:val="en-US" w:eastAsia="zh-CN" w:bidi="en-US"/>
              </w:rPr>
              <w:t>（依托）</w:t>
            </w:r>
            <w:r>
              <w:rPr>
                <w:rFonts w:hint="default" w:ascii="Times New Roman" w:hAnsi="Times New Roman" w:eastAsia="宋体" w:cs="Times New Roman"/>
                <w:b w:val="0"/>
                <w:bCs w:val="0"/>
                <w:color w:val="auto"/>
                <w:kern w:val="0"/>
                <w:sz w:val="24"/>
                <w:lang w:val="en-US" w:eastAsia="zh-CN" w:bidi="en-US"/>
              </w:rPr>
              <w:t>排放。</w:t>
            </w:r>
          </w:p>
          <w:p w14:paraId="7F67B9D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firstLine="422" w:firstLineChars="200"/>
              <w:jc w:val="center"/>
              <w:textAlignment w:val="auto"/>
              <w:rPr>
                <w:rFonts w:hint="default" w:ascii="Times New Roman" w:hAnsi="Times New Roman" w:eastAsia="宋体" w:cs="Times New Roman"/>
                <w:b w:val="0"/>
                <w:bCs w:val="0"/>
                <w:color w:val="auto"/>
                <w:kern w:val="0"/>
                <w:sz w:val="21"/>
                <w:szCs w:val="21"/>
                <w:lang w:val="en-US" w:eastAsia="zh-CN" w:bidi="en-US"/>
              </w:rPr>
            </w:pPr>
            <w:r>
              <w:rPr>
                <w:rFonts w:hint="default" w:ascii="Times New Roman" w:hAnsi="Times New Roman" w:eastAsia="宋体" w:cs="Times New Roman"/>
                <w:b/>
                <w:bCs/>
                <w:color w:val="auto"/>
                <w:kern w:val="0"/>
                <w:sz w:val="21"/>
                <w:szCs w:val="21"/>
                <w:lang w:eastAsia="en-US" w:bidi="en-US"/>
              </w:rPr>
              <w:t>项目废气污染物产排及治理情况一览表</w:t>
            </w:r>
          </w:p>
          <w:tbl>
            <w:tblPr>
              <w:tblStyle w:val="3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63"/>
              <w:gridCol w:w="1800"/>
              <w:gridCol w:w="1716"/>
              <w:gridCol w:w="767"/>
              <w:gridCol w:w="3278"/>
            </w:tblGrid>
            <w:tr w14:paraId="59BC6F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403" w:type="pct"/>
                  <w:noWrap w:val="0"/>
                  <w:vAlign w:val="center"/>
                </w:tcPr>
                <w:p w14:paraId="49DDB4BB">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bCs/>
                      <w:color w:val="auto"/>
                      <w:spacing w:val="-6"/>
                      <w:kern w:val="0"/>
                      <w:sz w:val="21"/>
                      <w:szCs w:val="21"/>
                      <w:lang w:eastAsia="en-US" w:bidi="en-US"/>
                    </w:rPr>
                  </w:pPr>
                  <w:r>
                    <w:rPr>
                      <w:rFonts w:hint="default" w:ascii="Times New Roman" w:hAnsi="Times New Roman" w:eastAsia="宋体" w:cs="Times New Roman"/>
                      <w:bCs/>
                      <w:color w:val="auto"/>
                      <w:spacing w:val="-6"/>
                      <w:kern w:val="0"/>
                      <w:sz w:val="21"/>
                      <w:szCs w:val="21"/>
                      <w:lang w:eastAsia="en-US" w:bidi="en-US"/>
                    </w:rPr>
                    <w:t>污染</w:t>
                  </w:r>
                </w:p>
                <w:p w14:paraId="658E004B">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bCs/>
                      <w:color w:val="auto"/>
                      <w:spacing w:val="-6"/>
                      <w:kern w:val="0"/>
                      <w:sz w:val="21"/>
                      <w:szCs w:val="21"/>
                      <w:lang w:eastAsia="en-US" w:bidi="en-US"/>
                    </w:rPr>
                  </w:pPr>
                  <w:r>
                    <w:rPr>
                      <w:rFonts w:hint="default" w:ascii="Times New Roman" w:hAnsi="Times New Roman" w:eastAsia="宋体" w:cs="Times New Roman"/>
                      <w:bCs/>
                      <w:color w:val="auto"/>
                      <w:spacing w:val="-6"/>
                      <w:kern w:val="0"/>
                      <w:sz w:val="21"/>
                      <w:szCs w:val="21"/>
                      <w:lang w:eastAsia="en-US" w:bidi="en-US"/>
                    </w:rPr>
                    <w:t>类型</w:t>
                  </w:r>
                </w:p>
              </w:tc>
              <w:tc>
                <w:tcPr>
                  <w:tcW w:w="1094" w:type="pct"/>
                  <w:noWrap w:val="0"/>
                  <w:vAlign w:val="center"/>
                </w:tcPr>
                <w:p w14:paraId="30EFC5A7">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bCs/>
                      <w:color w:val="auto"/>
                      <w:spacing w:val="-6"/>
                      <w:kern w:val="0"/>
                      <w:sz w:val="21"/>
                      <w:szCs w:val="21"/>
                      <w:lang w:eastAsia="en-US" w:bidi="en-US"/>
                    </w:rPr>
                  </w:pPr>
                  <w:r>
                    <w:rPr>
                      <w:rFonts w:hint="default" w:ascii="Times New Roman" w:hAnsi="Times New Roman" w:eastAsia="宋体" w:cs="Times New Roman"/>
                      <w:bCs/>
                      <w:color w:val="auto"/>
                      <w:spacing w:val="-6"/>
                      <w:kern w:val="0"/>
                      <w:sz w:val="21"/>
                      <w:szCs w:val="21"/>
                      <w:lang w:eastAsia="en-US" w:bidi="en-US"/>
                    </w:rPr>
                    <w:t>污染源名称</w:t>
                  </w:r>
                </w:p>
              </w:tc>
              <w:tc>
                <w:tcPr>
                  <w:tcW w:w="1043" w:type="pct"/>
                  <w:noWrap w:val="0"/>
                  <w:vAlign w:val="center"/>
                </w:tcPr>
                <w:p w14:paraId="50596F9A">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bCs/>
                      <w:color w:val="auto"/>
                      <w:spacing w:val="-6"/>
                      <w:kern w:val="0"/>
                      <w:sz w:val="21"/>
                      <w:szCs w:val="21"/>
                      <w:lang w:eastAsia="en-US" w:bidi="en-US"/>
                    </w:rPr>
                  </w:pPr>
                  <w:r>
                    <w:rPr>
                      <w:rFonts w:hint="default" w:ascii="Times New Roman" w:hAnsi="Times New Roman" w:eastAsia="宋体" w:cs="Times New Roman"/>
                      <w:bCs/>
                      <w:color w:val="auto"/>
                      <w:spacing w:val="-6"/>
                      <w:kern w:val="0"/>
                      <w:sz w:val="21"/>
                      <w:szCs w:val="21"/>
                      <w:lang w:eastAsia="en-US" w:bidi="en-US"/>
                    </w:rPr>
                    <w:t>主要污染物</w:t>
                  </w:r>
                </w:p>
              </w:tc>
              <w:tc>
                <w:tcPr>
                  <w:tcW w:w="466" w:type="pct"/>
                  <w:noWrap w:val="0"/>
                  <w:vAlign w:val="center"/>
                </w:tcPr>
                <w:p w14:paraId="3D6BF2CB">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bCs/>
                      <w:color w:val="auto"/>
                      <w:spacing w:val="-6"/>
                      <w:kern w:val="0"/>
                      <w:sz w:val="21"/>
                      <w:szCs w:val="21"/>
                      <w:lang w:eastAsia="en-US" w:bidi="en-US"/>
                    </w:rPr>
                  </w:pPr>
                  <w:r>
                    <w:rPr>
                      <w:rFonts w:hint="default" w:ascii="Times New Roman" w:hAnsi="Times New Roman" w:eastAsia="宋体" w:cs="Times New Roman"/>
                      <w:bCs/>
                      <w:color w:val="auto"/>
                      <w:spacing w:val="-6"/>
                      <w:kern w:val="0"/>
                      <w:sz w:val="21"/>
                      <w:szCs w:val="21"/>
                      <w:lang w:eastAsia="en-US" w:bidi="en-US"/>
                    </w:rPr>
                    <w:t>产生</w:t>
                  </w:r>
                </w:p>
                <w:p w14:paraId="31C0E8D6">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bCs/>
                      <w:color w:val="auto"/>
                      <w:spacing w:val="-6"/>
                      <w:kern w:val="0"/>
                      <w:sz w:val="21"/>
                      <w:szCs w:val="21"/>
                      <w:lang w:eastAsia="en-US" w:bidi="en-US"/>
                    </w:rPr>
                  </w:pPr>
                  <w:r>
                    <w:rPr>
                      <w:rFonts w:hint="default" w:ascii="Times New Roman" w:hAnsi="Times New Roman" w:eastAsia="宋体" w:cs="Times New Roman"/>
                      <w:bCs/>
                      <w:color w:val="auto"/>
                      <w:spacing w:val="-6"/>
                      <w:kern w:val="0"/>
                      <w:sz w:val="21"/>
                      <w:szCs w:val="21"/>
                      <w:lang w:eastAsia="en-US" w:bidi="en-US"/>
                    </w:rPr>
                    <w:t>规律</w:t>
                  </w:r>
                </w:p>
              </w:tc>
              <w:tc>
                <w:tcPr>
                  <w:tcW w:w="1992" w:type="pct"/>
                  <w:noWrap w:val="0"/>
                  <w:vAlign w:val="center"/>
                </w:tcPr>
                <w:p w14:paraId="3EBBD4D9">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bCs/>
                      <w:color w:val="auto"/>
                      <w:spacing w:val="-6"/>
                      <w:kern w:val="0"/>
                      <w:sz w:val="21"/>
                      <w:szCs w:val="21"/>
                      <w:lang w:eastAsia="en-US" w:bidi="en-US"/>
                    </w:rPr>
                  </w:pPr>
                  <w:r>
                    <w:rPr>
                      <w:rFonts w:hint="default" w:ascii="Times New Roman" w:hAnsi="Times New Roman" w:eastAsia="宋体" w:cs="Times New Roman"/>
                      <w:bCs/>
                      <w:color w:val="auto"/>
                      <w:spacing w:val="-6"/>
                      <w:kern w:val="0"/>
                      <w:sz w:val="21"/>
                      <w:szCs w:val="21"/>
                      <w:lang w:eastAsia="zh-CN" w:bidi="en-US"/>
                    </w:rPr>
                    <w:t>治理措施及</w:t>
                  </w:r>
                  <w:r>
                    <w:rPr>
                      <w:rFonts w:hint="default" w:ascii="Times New Roman" w:hAnsi="Times New Roman" w:eastAsia="宋体" w:cs="Times New Roman"/>
                      <w:bCs/>
                      <w:color w:val="auto"/>
                      <w:spacing w:val="-6"/>
                      <w:kern w:val="0"/>
                      <w:sz w:val="21"/>
                      <w:szCs w:val="21"/>
                      <w:lang w:eastAsia="en-US" w:bidi="en-US"/>
                    </w:rPr>
                    <w:t>排放去向</w:t>
                  </w:r>
                </w:p>
              </w:tc>
            </w:tr>
            <w:tr w14:paraId="462780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6" w:hRule="atLeast"/>
              </w:trPr>
              <w:tc>
                <w:tcPr>
                  <w:tcW w:w="403" w:type="pct"/>
                  <w:vMerge w:val="restart"/>
                  <w:noWrap w:val="0"/>
                  <w:vAlign w:val="center"/>
                </w:tcPr>
                <w:p w14:paraId="29223F4B">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bCs/>
                      <w:color w:val="auto"/>
                      <w:spacing w:val="-6"/>
                      <w:kern w:val="0"/>
                      <w:sz w:val="21"/>
                      <w:szCs w:val="21"/>
                      <w:lang w:eastAsia="en-US" w:bidi="en-US"/>
                    </w:rPr>
                  </w:pPr>
                  <w:r>
                    <w:rPr>
                      <w:rFonts w:hint="default" w:ascii="Times New Roman" w:hAnsi="Times New Roman" w:eastAsia="宋体" w:cs="Times New Roman"/>
                      <w:bCs/>
                      <w:color w:val="auto"/>
                      <w:spacing w:val="-6"/>
                      <w:kern w:val="0"/>
                      <w:sz w:val="21"/>
                      <w:szCs w:val="21"/>
                      <w:lang w:eastAsia="en-US" w:bidi="en-US"/>
                    </w:rPr>
                    <w:t>废气</w:t>
                  </w:r>
                </w:p>
              </w:tc>
              <w:tc>
                <w:tcPr>
                  <w:tcW w:w="1094" w:type="pct"/>
                  <w:noWrap w:val="0"/>
                  <w:vAlign w:val="center"/>
                </w:tcPr>
                <w:p w14:paraId="799014C1">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bCs/>
                      <w:color w:val="auto"/>
                      <w:spacing w:val="-6"/>
                      <w:kern w:val="0"/>
                      <w:sz w:val="21"/>
                      <w:szCs w:val="21"/>
                      <w:lang w:val="en-US" w:eastAsia="zh-CN" w:bidi="en-US"/>
                    </w:rPr>
                  </w:pPr>
                  <w:r>
                    <w:rPr>
                      <w:rFonts w:hint="default" w:ascii="Times New Roman" w:hAnsi="Times New Roman" w:eastAsia="宋体" w:cs="Times New Roman"/>
                      <w:bCs/>
                      <w:color w:val="auto"/>
                      <w:spacing w:val="-6"/>
                      <w:kern w:val="0"/>
                      <w:sz w:val="21"/>
                      <w:szCs w:val="21"/>
                      <w:lang w:val="en-US" w:eastAsia="zh-CN" w:bidi="en-US"/>
                    </w:rPr>
                    <w:t>非洁净车间吹膜、印刷、复合工序</w:t>
                  </w:r>
                </w:p>
              </w:tc>
              <w:tc>
                <w:tcPr>
                  <w:tcW w:w="1043" w:type="pct"/>
                  <w:vMerge w:val="restart"/>
                  <w:noWrap w:val="0"/>
                  <w:vAlign w:val="center"/>
                </w:tcPr>
                <w:p w14:paraId="36344C38">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bCs/>
                      <w:color w:val="auto"/>
                      <w:spacing w:val="-6"/>
                      <w:kern w:val="0"/>
                      <w:sz w:val="21"/>
                      <w:szCs w:val="21"/>
                      <w:lang w:val="en-US" w:eastAsia="zh-CN" w:bidi="en-US"/>
                    </w:rPr>
                  </w:pPr>
                  <w:r>
                    <w:rPr>
                      <w:rFonts w:hint="default" w:ascii="Times New Roman" w:hAnsi="Times New Roman" w:eastAsia="宋体" w:cs="Times New Roman"/>
                      <w:bCs/>
                      <w:color w:val="auto"/>
                      <w:spacing w:val="-6"/>
                      <w:kern w:val="0"/>
                      <w:sz w:val="21"/>
                      <w:szCs w:val="21"/>
                      <w:lang w:eastAsia="en-US" w:bidi="en-US"/>
                    </w:rPr>
                    <w:t>非甲烷总烃</w:t>
                  </w:r>
                  <w:r>
                    <w:rPr>
                      <w:rFonts w:hint="default" w:ascii="Times New Roman" w:hAnsi="Times New Roman" w:eastAsia="宋体" w:cs="Times New Roman"/>
                      <w:bCs/>
                      <w:color w:val="auto"/>
                      <w:spacing w:val="-6"/>
                      <w:kern w:val="0"/>
                      <w:sz w:val="21"/>
                      <w:szCs w:val="21"/>
                      <w:lang w:eastAsia="zh-CN" w:bidi="en-US"/>
                    </w:rPr>
                    <w:t>、</w:t>
                  </w:r>
                  <w:r>
                    <w:rPr>
                      <w:rFonts w:hint="default" w:ascii="Times New Roman" w:hAnsi="Times New Roman" w:eastAsia="宋体" w:cs="Times New Roman"/>
                      <w:bCs/>
                      <w:color w:val="auto"/>
                      <w:spacing w:val="-6"/>
                      <w:kern w:val="0"/>
                      <w:sz w:val="21"/>
                      <w:szCs w:val="21"/>
                      <w:lang w:val="en-US" w:eastAsia="zh-CN" w:bidi="en-US"/>
                    </w:rPr>
                    <w:t>二苯基甲烷二异氰酸酯（MDI）</w:t>
                  </w:r>
                  <w:r>
                    <w:rPr>
                      <w:rFonts w:hint="default" w:cs="Times New Roman"/>
                      <w:bCs/>
                      <w:color w:val="auto"/>
                      <w:spacing w:val="-6"/>
                      <w:kern w:val="0"/>
                      <w:sz w:val="21"/>
                      <w:szCs w:val="21"/>
                      <w:lang w:val="en-US" w:eastAsia="zh-CN" w:bidi="en-US"/>
                    </w:rPr>
                    <w:t>、臭气浓度</w:t>
                  </w:r>
                </w:p>
              </w:tc>
              <w:tc>
                <w:tcPr>
                  <w:tcW w:w="466" w:type="pct"/>
                  <w:noWrap w:val="0"/>
                  <w:vAlign w:val="center"/>
                </w:tcPr>
                <w:p w14:paraId="6AFB32D0">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bCs/>
                      <w:color w:val="auto"/>
                      <w:spacing w:val="-6"/>
                      <w:kern w:val="0"/>
                      <w:sz w:val="21"/>
                      <w:szCs w:val="21"/>
                      <w:lang w:val="en-US" w:eastAsia="zh-CN" w:bidi="en-US"/>
                    </w:rPr>
                  </w:pPr>
                  <w:r>
                    <w:rPr>
                      <w:rFonts w:hint="default" w:ascii="Times New Roman" w:hAnsi="Times New Roman" w:eastAsia="宋体" w:cs="Times New Roman"/>
                      <w:bCs/>
                      <w:color w:val="auto"/>
                      <w:spacing w:val="-6"/>
                      <w:kern w:val="0"/>
                      <w:sz w:val="21"/>
                      <w:szCs w:val="21"/>
                      <w:lang w:val="en-US" w:eastAsia="zh-CN" w:bidi="en-US"/>
                    </w:rPr>
                    <w:t>连续</w:t>
                  </w:r>
                </w:p>
              </w:tc>
              <w:tc>
                <w:tcPr>
                  <w:tcW w:w="1992" w:type="pct"/>
                  <w:noWrap w:val="0"/>
                  <w:vAlign w:val="center"/>
                </w:tcPr>
                <w:p w14:paraId="0FEA1AB5">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bCs/>
                      <w:color w:val="auto"/>
                      <w:spacing w:val="-6"/>
                      <w:kern w:val="0"/>
                      <w:sz w:val="21"/>
                      <w:szCs w:val="21"/>
                      <w:lang w:val="en-US" w:eastAsia="zh-CN" w:bidi="en-US"/>
                    </w:rPr>
                  </w:pPr>
                  <w:r>
                    <w:rPr>
                      <w:rFonts w:hint="default" w:ascii="Times New Roman" w:hAnsi="Times New Roman" w:eastAsia="宋体" w:cs="Times New Roman"/>
                      <w:bCs/>
                      <w:color w:val="auto"/>
                      <w:spacing w:val="-6"/>
                      <w:kern w:val="0"/>
                      <w:sz w:val="21"/>
                      <w:szCs w:val="21"/>
                      <w:lang w:eastAsia="en-US" w:bidi="en-US"/>
                    </w:rPr>
                    <w:t>集气</w:t>
                  </w:r>
                  <w:r>
                    <w:rPr>
                      <w:rFonts w:hint="default" w:ascii="Times New Roman" w:hAnsi="Times New Roman" w:eastAsia="宋体" w:cs="Times New Roman"/>
                      <w:bCs/>
                      <w:color w:val="auto"/>
                      <w:spacing w:val="-6"/>
                      <w:kern w:val="0"/>
                      <w:sz w:val="21"/>
                      <w:szCs w:val="21"/>
                      <w:lang w:eastAsia="zh-CN" w:bidi="en-US"/>
                    </w:rPr>
                    <w:t>装置</w:t>
                  </w:r>
                  <w:r>
                    <w:rPr>
                      <w:rFonts w:hint="default" w:ascii="Times New Roman" w:hAnsi="Times New Roman" w:eastAsia="宋体" w:cs="Times New Roman"/>
                      <w:bCs/>
                      <w:color w:val="auto"/>
                      <w:spacing w:val="-6"/>
                      <w:kern w:val="0"/>
                      <w:sz w:val="21"/>
                      <w:szCs w:val="21"/>
                      <w:lang w:val="en-US" w:eastAsia="zh-CN" w:bidi="en-US"/>
                    </w:rPr>
                    <w:t>+二级活性炭吸附装置+</w:t>
                  </w:r>
                  <w:r>
                    <w:rPr>
                      <w:rFonts w:hint="default" w:ascii="Times New Roman" w:hAnsi="Times New Roman" w:eastAsia="宋体" w:cs="Times New Roman"/>
                      <w:bCs/>
                      <w:color w:val="auto"/>
                      <w:spacing w:val="-6"/>
                      <w:kern w:val="0"/>
                      <w:sz w:val="21"/>
                      <w:szCs w:val="21"/>
                      <w:lang w:eastAsia="en-US" w:bidi="en-US"/>
                    </w:rPr>
                    <w:t>15m排气筒（</w:t>
                  </w:r>
                  <w:r>
                    <w:rPr>
                      <w:rFonts w:hint="default" w:ascii="Times New Roman" w:hAnsi="Times New Roman" w:eastAsia="宋体" w:cs="Times New Roman"/>
                      <w:bCs/>
                      <w:color w:val="auto"/>
                      <w:spacing w:val="-6"/>
                      <w:kern w:val="0"/>
                      <w:sz w:val="21"/>
                      <w:szCs w:val="21"/>
                      <w:lang w:eastAsia="zh-CN" w:bidi="en-US"/>
                    </w:rPr>
                    <w:t>DA00</w:t>
                  </w:r>
                  <w:r>
                    <w:rPr>
                      <w:rFonts w:hint="default" w:ascii="Times New Roman" w:hAnsi="Times New Roman" w:eastAsia="宋体" w:cs="Times New Roman"/>
                      <w:bCs/>
                      <w:color w:val="auto"/>
                      <w:spacing w:val="-6"/>
                      <w:kern w:val="0"/>
                      <w:sz w:val="21"/>
                      <w:szCs w:val="21"/>
                      <w:lang w:val="en-US" w:eastAsia="zh-CN" w:bidi="en-US"/>
                    </w:rPr>
                    <w:t>1</w:t>
                  </w:r>
                  <w:r>
                    <w:rPr>
                      <w:rFonts w:hint="default" w:cs="Times New Roman"/>
                      <w:bCs/>
                      <w:color w:val="auto"/>
                      <w:spacing w:val="-6"/>
                      <w:kern w:val="0"/>
                      <w:sz w:val="21"/>
                      <w:szCs w:val="21"/>
                      <w:lang w:val="en-US" w:eastAsia="zh-CN" w:bidi="en-US"/>
                    </w:rPr>
                    <w:t>依托</w:t>
                  </w:r>
                  <w:r>
                    <w:rPr>
                      <w:rFonts w:hint="default" w:ascii="Times New Roman" w:hAnsi="Times New Roman" w:eastAsia="宋体" w:cs="Times New Roman"/>
                      <w:bCs/>
                      <w:color w:val="auto"/>
                      <w:spacing w:val="-6"/>
                      <w:kern w:val="0"/>
                      <w:sz w:val="21"/>
                      <w:szCs w:val="21"/>
                      <w:lang w:eastAsia="en-US" w:bidi="en-US"/>
                    </w:rPr>
                    <w:t>）</w:t>
                  </w:r>
                </w:p>
              </w:tc>
            </w:tr>
            <w:tr w14:paraId="23739C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0" w:hRule="atLeast"/>
              </w:trPr>
              <w:tc>
                <w:tcPr>
                  <w:tcW w:w="403" w:type="pct"/>
                  <w:vMerge w:val="continue"/>
                  <w:noWrap w:val="0"/>
                  <w:vAlign w:val="center"/>
                </w:tcPr>
                <w:p w14:paraId="01305FC0">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bCs/>
                      <w:color w:val="auto"/>
                      <w:spacing w:val="-6"/>
                      <w:kern w:val="0"/>
                      <w:sz w:val="21"/>
                      <w:szCs w:val="21"/>
                      <w:lang w:eastAsia="en-US" w:bidi="en-US"/>
                    </w:rPr>
                  </w:pPr>
                </w:p>
              </w:tc>
              <w:tc>
                <w:tcPr>
                  <w:tcW w:w="1094" w:type="pct"/>
                  <w:noWrap w:val="0"/>
                  <w:vAlign w:val="center"/>
                </w:tcPr>
                <w:p w14:paraId="0A11D038">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bCs/>
                      <w:color w:val="auto"/>
                      <w:spacing w:val="-6"/>
                      <w:kern w:val="0"/>
                      <w:sz w:val="21"/>
                      <w:szCs w:val="21"/>
                      <w:lang w:val="en-US" w:eastAsia="zh-CN" w:bidi="en-US"/>
                    </w:rPr>
                  </w:pPr>
                  <w:r>
                    <w:rPr>
                      <w:rFonts w:hint="default" w:ascii="Times New Roman" w:hAnsi="Times New Roman" w:eastAsia="宋体" w:cs="Times New Roman"/>
                      <w:bCs/>
                      <w:color w:val="auto"/>
                      <w:spacing w:val="-6"/>
                      <w:kern w:val="0"/>
                      <w:sz w:val="21"/>
                      <w:szCs w:val="21"/>
                      <w:lang w:val="en-US" w:eastAsia="zh-CN" w:bidi="en-US"/>
                    </w:rPr>
                    <w:t>非洁净车间印刷、复合、固化工序</w:t>
                  </w:r>
                  <w:r>
                    <w:rPr>
                      <w:rFonts w:hint="default" w:cs="Times New Roman"/>
                      <w:bCs/>
                      <w:color w:val="auto"/>
                      <w:spacing w:val="-6"/>
                      <w:kern w:val="0"/>
                      <w:sz w:val="21"/>
                      <w:szCs w:val="21"/>
                      <w:lang w:val="en-US" w:eastAsia="zh-CN" w:bidi="en-US"/>
                    </w:rPr>
                    <w:t>；洁净车间水性油墨配制</w:t>
                  </w:r>
                  <w:r>
                    <w:rPr>
                      <w:rFonts w:hint="eastAsia" w:cs="Times New Roman"/>
                      <w:bCs/>
                      <w:color w:val="auto"/>
                      <w:spacing w:val="-6"/>
                      <w:kern w:val="0"/>
                      <w:sz w:val="21"/>
                      <w:szCs w:val="21"/>
                      <w:lang w:val="en-US" w:eastAsia="zh-CN" w:bidi="en-US"/>
                    </w:rPr>
                    <w:t>、擦拭</w:t>
                  </w:r>
                </w:p>
              </w:tc>
              <w:tc>
                <w:tcPr>
                  <w:tcW w:w="1043" w:type="pct"/>
                  <w:vMerge w:val="continue"/>
                  <w:noWrap w:val="0"/>
                  <w:vAlign w:val="center"/>
                </w:tcPr>
                <w:p w14:paraId="314B14AE">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bCs/>
                      <w:color w:val="auto"/>
                      <w:spacing w:val="-6"/>
                      <w:kern w:val="0"/>
                      <w:sz w:val="21"/>
                      <w:szCs w:val="21"/>
                      <w:lang w:val="en-US" w:eastAsia="zh-CN" w:bidi="en-US"/>
                    </w:rPr>
                  </w:pPr>
                </w:p>
              </w:tc>
              <w:tc>
                <w:tcPr>
                  <w:tcW w:w="466" w:type="pct"/>
                  <w:noWrap w:val="0"/>
                  <w:vAlign w:val="center"/>
                </w:tcPr>
                <w:p w14:paraId="5EC7260A">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bCs/>
                      <w:color w:val="auto"/>
                      <w:spacing w:val="-6"/>
                      <w:kern w:val="0"/>
                      <w:sz w:val="21"/>
                      <w:szCs w:val="21"/>
                      <w:lang w:val="en-US" w:eastAsia="zh-CN" w:bidi="en-US"/>
                    </w:rPr>
                  </w:pPr>
                  <w:r>
                    <w:rPr>
                      <w:rFonts w:hint="default" w:ascii="Times New Roman" w:hAnsi="Times New Roman" w:eastAsia="宋体" w:cs="Times New Roman"/>
                      <w:bCs/>
                      <w:color w:val="auto"/>
                      <w:spacing w:val="-6"/>
                      <w:kern w:val="0"/>
                      <w:sz w:val="21"/>
                      <w:szCs w:val="21"/>
                      <w:lang w:eastAsia="en-US" w:bidi="en-US"/>
                    </w:rPr>
                    <w:t>连续</w:t>
                  </w:r>
                </w:p>
              </w:tc>
              <w:tc>
                <w:tcPr>
                  <w:tcW w:w="1992" w:type="pct"/>
                  <w:noWrap w:val="0"/>
                  <w:vAlign w:val="center"/>
                </w:tcPr>
                <w:p w14:paraId="70677196">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bCs/>
                      <w:color w:val="auto"/>
                      <w:spacing w:val="-6"/>
                      <w:kern w:val="0"/>
                      <w:sz w:val="21"/>
                      <w:szCs w:val="21"/>
                      <w:lang w:eastAsia="en-US" w:bidi="en-US"/>
                    </w:rPr>
                  </w:pPr>
                  <w:r>
                    <w:rPr>
                      <w:rFonts w:hint="default" w:ascii="Times New Roman" w:hAnsi="Times New Roman" w:eastAsia="宋体" w:cs="Times New Roman"/>
                      <w:bCs/>
                      <w:color w:val="auto"/>
                      <w:spacing w:val="-6"/>
                      <w:kern w:val="0"/>
                      <w:sz w:val="21"/>
                      <w:szCs w:val="21"/>
                      <w:lang w:eastAsia="en-US" w:bidi="en-US"/>
                    </w:rPr>
                    <w:t>集气</w:t>
                  </w:r>
                  <w:r>
                    <w:rPr>
                      <w:rFonts w:hint="default" w:ascii="Times New Roman" w:hAnsi="Times New Roman" w:eastAsia="宋体" w:cs="Times New Roman"/>
                      <w:bCs/>
                      <w:color w:val="auto"/>
                      <w:spacing w:val="-6"/>
                      <w:kern w:val="0"/>
                      <w:sz w:val="21"/>
                      <w:szCs w:val="21"/>
                      <w:lang w:eastAsia="zh-CN" w:bidi="en-US"/>
                    </w:rPr>
                    <w:t>装置</w:t>
                  </w:r>
                  <w:r>
                    <w:rPr>
                      <w:rFonts w:hint="default" w:ascii="Times New Roman" w:hAnsi="Times New Roman" w:eastAsia="宋体" w:cs="Times New Roman"/>
                      <w:bCs/>
                      <w:color w:val="auto"/>
                      <w:spacing w:val="-6"/>
                      <w:kern w:val="0"/>
                      <w:sz w:val="21"/>
                      <w:szCs w:val="21"/>
                      <w:lang w:val="en-US" w:eastAsia="zh-CN" w:bidi="en-US"/>
                    </w:rPr>
                    <w:t>+二级活性炭吸附装置+</w:t>
                  </w:r>
                  <w:r>
                    <w:rPr>
                      <w:rFonts w:hint="default" w:ascii="Times New Roman" w:hAnsi="Times New Roman" w:eastAsia="宋体" w:cs="Times New Roman"/>
                      <w:bCs/>
                      <w:color w:val="auto"/>
                      <w:spacing w:val="-6"/>
                      <w:kern w:val="0"/>
                      <w:sz w:val="21"/>
                      <w:szCs w:val="21"/>
                      <w:lang w:eastAsia="en-US" w:bidi="en-US"/>
                    </w:rPr>
                    <w:t>15m排气筒（</w:t>
                  </w:r>
                  <w:r>
                    <w:rPr>
                      <w:rFonts w:hint="default" w:ascii="Times New Roman" w:hAnsi="Times New Roman" w:eastAsia="宋体" w:cs="Times New Roman"/>
                      <w:bCs/>
                      <w:color w:val="auto"/>
                      <w:spacing w:val="-6"/>
                      <w:kern w:val="0"/>
                      <w:sz w:val="21"/>
                      <w:szCs w:val="21"/>
                      <w:lang w:eastAsia="zh-CN" w:bidi="en-US"/>
                    </w:rPr>
                    <w:t>DA00</w:t>
                  </w:r>
                  <w:r>
                    <w:rPr>
                      <w:rFonts w:hint="default" w:ascii="Times New Roman" w:hAnsi="Times New Roman" w:eastAsia="宋体" w:cs="Times New Roman"/>
                      <w:bCs/>
                      <w:color w:val="auto"/>
                      <w:spacing w:val="-6"/>
                      <w:kern w:val="0"/>
                      <w:sz w:val="21"/>
                      <w:szCs w:val="21"/>
                      <w:lang w:val="en-US" w:eastAsia="zh-CN" w:bidi="en-US"/>
                    </w:rPr>
                    <w:t>2</w:t>
                  </w:r>
                  <w:r>
                    <w:rPr>
                      <w:rFonts w:hint="default" w:cs="Times New Roman"/>
                      <w:bCs/>
                      <w:color w:val="auto"/>
                      <w:spacing w:val="-6"/>
                      <w:kern w:val="0"/>
                      <w:sz w:val="21"/>
                      <w:szCs w:val="21"/>
                      <w:lang w:val="en-US" w:eastAsia="zh-CN" w:bidi="en-US"/>
                    </w:rPr>
                    <w:t>依托</w:t>
                  </w:r>
                  <w:r>
                    <w:rPr>
                      <w:rFonts w:hint="default" w:ascii="Times New Roman" w:hAnsi="Times New Roman" w:eastAsia="宋体" w:cs="Times New Roman"/>
                      <w:bCs/>
                      <w:color w:val="auto"/>
                      <w:spacing w:val="-6"/>
                      <w:kern w:val="0"/>
                      <w:sz w:val="21"/>
                      <w:szCs w:val="21"/>
                      <w:lang w:eastAsia="en-US" w:bidi="en-US"/>
                    </w:rPr>
                    <w:t>）</w:t>
                  </w:r>
                </w:p>
              </w:tc>
            </w:tr>
            <w:tr w14:paraId="20E3AF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4" w:hRule="atLeast"/>
              </w:trPr>
              <w:tc>
                <w:tcPr>
                  <w:tcW w:w="403" w:type="pct"/>
                  <w:vMerge w:val="continue"/>
                  <w:noWrap w:val="0"/>
                  <w:vAlign w:val="center"/>
                </w:tcPr>
                <w:p w14:paraId="3A88A6BE">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bCs/>
                      <w:color w:val="auto"/>
                      <w:spacing w:val="-6"/>
                      <w:kern w:val="0"/>
                      <w:sz w:val="21"/>
                      <w:szCs w:val="21"/>
                      <w:lang w:eastAsia="en-US" w:bidi="en-US"/>
                    </w:rPr>
                  </w:pPr>
                </w:p>
              </w:tc>
              <w:tc>
                <w:tcPr>
                  <w:tcW w:w="1094" w:type="pct"/>
                  <w:noWrap w:val="0"/>
                  <w:vAlign w:val="center"/>
                </w:tcPr>
                <w:p w14:paraId="2AE58A79">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bCs/>
                      <w:color w:val="auto"/>
                      <w:spacing w:val="-6"/>
                      <w:kern w:val="0"/>
                      <w:sz w:val="21"/>
                      <w:szCs w:val="21"/>
                      <w:lang w:val="en-US" w:eastAsia="zh-CN" w:bidi="en-US"/>
                    </w:rPr>
                  </w:pPr>
                  <w:r>
                    <w:rPr>
                      <w:rFonts w:hint="default" w:ascii="Times New Roman" w:hAnsi="Times New Roman" w:eastAsia="宋体" w:cs="Times New Roman"/>
                      <w:bCs/>
                      <w:color w:val="auto"/>
                      <w:spacing w:val="-6"/>
                      <w:kern w:val="0"/>
                      <w:sz w:val="21"/>
                      <w:szCs w:val="21"/>
                      <w:lang w:val="en-US" w:eastAsia="zh-CN" w:bidi="en-US"/>
                    </w:rPr>
                    <w:t>洁净车间印刷、复合、固化工序</w:t>
                  </w:r>
                </w:p>
              </w:tc>
              <w:tc>
                <w:tcPr>
                  <w:tcW w:w="1043" w:type="pct"/>
                  <w:vMerge w:val="continue"/>
                  <w:noWrap w:val="0"/>
                  <w:vAlign w:val="center"/>
                </w:tcPr>
                <w:p w14:paraId="705945A1">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bCs/>
                      <w:color w:val="auto"/>
                      <w:spacing w:val="-6"/>
                      <w:kern w:val="0"/>
                      <w:sz w:val="21"/>
                      <w:szCs w:val="21"/>
                      <w:lang w:eastAsia="en-US" w:bidi="en-US"/>
                    </w:rPr>
                  </w:pPr>
                </w:p>
              </w:tc>
              <w:tc>
                <w:tcPr>
                  <w:tcW w:w="466" w:type="pct"/>
                  <w:noWrap w:val="0"/>
                  <w:vAlign w:val="center"/>
                </w:tcPr>
                <w:p w14:paraId="6F360148">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bCs/>
                      <w:color w:val="auto"/>
                      <w:spacing w:val="-6"/>
                      <w:kern w:val="0"/>
                      <w:sz w:val="21"/>
                      <w:szCs w:val="21"/>
                      <w:lang w:eastAsia="zh-CN" w:bidi="en-US"/>
                    </w:rPr>
                  </w:pPr>
                  <w:r>
                    <w:rPr>
                      <w:rFonts w:hint="default" w:ascii="Times New Roman" w:hAnsi="Times New Roman" w:eastAsia="宋体" w:cs="Times New Roman"/>
                      <w:bCs/>
                      <w:color w:val="auto"/>
                      <w:spacing w:val="-6"/>
                      <w:kern w:val="0"/>
                      <w:sz w:val="21"/>
                      <w:szCs w:val="21"/>
                      <w:lang w:eastAsia="zh-CN" w:bidi="en-US"/>
                    </w:rPr>
                    <w:t>连续</w:t>
                  </w:r>
                </w:p>
              </w:tc>
              <w:tc>
                <w:tcPr>
                  <w:tcW w:w="1992" w:type="pct"/>
                  <w:noWrap w:val="0"/>
                  <w:vAlign w:val="center"/>
                </w:tcPr>
                <w:p w14:paraId="2E2FAC74">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bCs/>
                      <w:color w:val="auto"/>
                      <w:spacing w:val="-6"/>
                      <w:kern w:val="0"/>
                      <w:sz w:val="21"/>
                      <w:szCs w:val="21"/>
                      <w:lang w:eastAsia="zh-CN" w:bidi="en-US"/>
                    </w:rPr>
                  </w:pPr>
                  <w:r>
                    <w:rPr>
                      <w:rFonts w:hint="default" w:ascii="Times New Roman" w:hAnsi="Times New Roman" w:eastAsia="宋体" w:cs="Times New Roman"/>
                      <w:bCs/>
                      <w:color w:val="auto"/>
                      <w:spacing w:val="-6"/>
                      <w:kern w:val="0"/>
                      <w:sz w:val="21"/>
                      <w:szCs w:val="21"/>
                      <w:lang w:eastAsia="en-US" w:bidi="en-US"/>
                    </w:rPr>
                    <w:t>集气</w:t>
                  </w:r>
                  <w:r>
                    <w:rPr>
                      <w:rFonts w:hint="default" w:ascii="Times New Roman" w:hAnsi="Times New Roman" w:eastAsia="宋体" w:cs="Times New Roman"/>
                      <w:bCs/>
                      <w:color w:val="auto"/>
                      <w:spacing w:val="-6"/>
                      <w:kern w:val="0"/>
                      <w:sz w:val="21"/>
                      <w:szCs w:val="21"/>
                      <w:lang w:eastAsia="zh-CN" w:bidi="en-US"/>
                    </w:rPr>
                    <w:t>装置</w:t>
                  </w:r>
                  <w:r>
                    <w:rPr>
                      <w:rFonts w:hint="default" w:ascii="Times New Roman" w:hAnsi="Times New Roman" w:eastAsia="宋体" w:cs="Times New Roman"/>
                      <w:bCs/>
                      <w:color w:val="auto"/>
                      <w:spacing w:val="-6"/>
                      <w:kern w:val="0"/>
                      <w:sz w:val="21"/>
                      <w:szCs w:val="21"/>
                      <w:lang w:val="en-US" w:eastAsia="zh-CN" w:bidi="en-US"/>
                    </w:rPr>
                    <w:t>+二级活性炭吸附装置+</w:t>
                  </w:r>
                  <w:r>
                    <w:rPr>
                      <w:rFonts w:hint="default" w:ascii="Times New Roman" w:hAnsi="Times New Roman" w:eastAsia="宋体" w:cs="Times New Roman"/>
                      <w:bCs/>
                      <w:color w:val="auto"/>
                      <w:spacing w:val="-6"/>
                      <w:kern w:val="0"/>
                      <w:sz w:val="21"/>
                      <w:szCs w:val="21"/>
                      <w:lang w:eastAsia="en-US" w:bidi="en-US"/>
                    </w:rPr>
                    <w:t>15m排气筒（</w:t>
                  </w:r>
                  <w:r>
                    <w:rPr>
                      <w:rFonts w:hint="default" w:ascii="Times New Roman" w:hAnsi="Times New Roman" w:eastAsia="宋体" w:cs="Times New Roman"/>
                      <w:bCs/>
                      <w:color w:val="auto"/>
                      <w:spacing w:val="-6"/>
                      <w:kern w:val="0"/>
                      <w:sz w:val="21"/>
                      <w:szCs w:val="21"/>
                      <w:lang w:eastAsia="zh-CN" w:bidi="en-US"/>
                    </w:rPr>
                    <w:t>DA00</w:t>
                  </w:r>
                  <w:r>
                    <w:rPr>
                      <w:rFonts w:hint="default" w:ascii="Times New Roman" w:hAnsi="Times New Roman" w:eastAsia="宋体" w:cs="Times New Roman"/>
                      <w:bCs/>
                      <w:color w:val="auto"/>
                      <w:spacing w:val="-6"/>
                      <w:kern w:val="0"/>
                      <w:sz w:val="21"/>
                      <w:szCs w:val="21"/>
                      <w:lang w:val="en-US" w:eastAsia="zh-CN" w:bidi="en-US"/>
                    </w:rPr>
                    <w:t>3新增）</w:t>
                  </w:r>
                </w:p>
              </w:tc>
            </w:tr>
            <w:tr w14:paraId="35EF23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403" w:type="pct"/>
                  <w:vMerge w:val="continue"/>
                  <w:noWrap w:val="0"/>
                  <w:vAlign w:val="center"/>
                </w:tcPr>
                <w:p w14:paraId="25ADC4D0">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bCs/>
                      <w:color w:val="auto"/>
                      <w:spacing w:val="-6"/>
                      <w:kern w:val="0"/>
                      <w:sz w:val="21"/>
                      <w:szCs w:val="21"/>
                      <w:lang w:eastAsia="en-US" w:bidi="en-US"/>
                    </w:rPr>
                  </w:pPr>
                </w:p>
              </w:tc>
              <w:tc>
                <w:tcPr>
                  <w:tcW w:w="1094" w:type="pct"/>
                  <w:noWrap w:val="0"/>
                  <w:vAlign w:val="center"/>
                </w:tcPr>
                <w:p w14:paraId="3CB73047">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bCs/>
                      <w:color w:val="auto"/>
                      <w:spacing w:val="-6"/>
                      <w:kern w:val="0"/>
                      <w:sz w:val="21"/>
                      <w:szCs w:val="21"/>
                      <w:lang w:val="en-US" w:eastAsia="zh-CN" w:bidi="en-US"/>
                    </w:rPr>
                  </w:pPr>
                  <w:r>
                    <w:rPr>
                      <w:rFonts w:hint="default" w:ascii="Times New Roman" w:hAnsi="Times New Roman" w:eastAsia="宋体" w:cs="Times New Roman"/>
                      <w:bCs/>
                      <w:color w:val="auto"/>
                      <w:spacing w:val="-6"/>
                      <w:kern w:val="0"/>
                      <w:sz w:val="21"/>
                      <w:szCs w:val="21"/>
                      <w:lang w:val="en-US" w:eastAsia="zh-CN" w:bidi="en-US"/>
                    </w:rPr>
                    <w:t>无组织废气</w:t>
                  </w:r>
                </w:p>
              </w:tc>
              <w:tc>
                <w:tcPr>
                  <w:tcW w:w="1043" w:type="pct"/>
                  <w:noWrap w:val="0"/>
                  <w:vAlign w:val="center"/>
                </w:tcPr>
                <w:p w14:paraId="79BAD053">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bCs/>
                      <w:color w:val="auto"/>
                      <w:spacing w:val="-6"/>
                      <w:kern w:val="0"/>
                      <w:sz w:val="21"/>
                      <w:szCs w:val="21"/>
                      <w:lang w:val="en-US" w:eastAsia="zh-CN" w:bidi="en-US"/>
                    </w:rPr>
                  </w:pPr>
                  <w:r>
                    <w:rPr>
                      <w:rFonts w:hint="default" w:ascii="Times New Roman" w:hAnsi="Times New Roman" w:eastAsia="宋体" w:cs="Times New Roman"/>
                      <w:bCs/>
                      <w:color w:val="auto"/>
                      <w:spacing w:val="-6"/>
                      <w:kern w:val="0"/>
                      <w:sz w:val="21"/>
                      <w:szCs w:val="21"/>
                      <w:lang w:eastAsia="en-US" w:bidi="en-US"/>
                    </w:rPr>
                    <w:t>非甲烷总烃</w:t>
                  </w:r>
                  <w:r>
                    <w:rPr>
                      <w:rFonts w:hint="default" w:cs="Times New Roman"/>
                      <w:bCs/>
                      <w:color w:val="auto"/>
                      <w:spacing w:val="-6"/>
                      <w:kern w:val="0"/>
                      <w:sz w:val="21"/>
                      <w:szCs w:val="21"/>
                      <w:lang w:eastAsia="zh-CN" w:bidi="en-US"/>
                    </w:rPr>
                    <w:t>、</w:t>
                  </w:r>
                  <w:r>
                    <w:rPr>
                      <w:rFonts w:hint="default" w:ascii="Times New Roman" w:hAnsi="Times New Roman" w:eastAsia="宋体" w:cs="Times New Roman"/>
                      <w:bCs/>
                      <w:color w:val="auto"/>
                      <w:spacing w:val="-6"/>
                      <w:kern w:val="0"/>
                      <w:sz w:val="21"/>
                      <w:szCs w:val="21"/>
                      <w:lang w:val="en-US" w:eastAsia="zh-CN" w:bidi="en-US"/>
                    </w:rPr>
                    <w:t>二苯基甲烷二异氰酸酯（MDI）</w:t>
                  </w:r>
                  <w:r>
                    <w:rPr>
                      <w:rFonts w:hint="default" w:cs="Times New Roman"/>
                      <w:bCs/>
                      <w:color w:val="auto"/>
                      <w:spacing w:val="-6"/>
                      <w:kern w:val="0"/>
                      <w:sz w:val="21"/>
                      <w:szCs w:val="21"/>
                      <w:lang w:val="en-US" w:eastAsia="zh-CN" w:bidi="en-US"/>
                    </w:rPr>
                    <w:t>、臭气浓度</w:t>
                  </w:r>
                </w:p>
              </w:tc>
              <w:tc>
                <w:tcPr>
                  <w:tcW w:w="466" w:type="pct"/>
                  <w:noWrap w:val="0"/>
                  <w:vAlign w:val="center"/>
                </w:tcPr>
                <w:p w14:paraId="7D49B101">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bCs/>
                      <w:color w:val="auto"/>
                      <w:spacing w:val="-6"/>
                      <w:kern w:val="0"/>
                      <w:sz w:val="21"/>
                      <w:szCs w:val="21"/>
                      <w:lang w:val="en-US" w:eastAsia="zh-CN" w:bidi="en-US"/>
                    </w:rPr>
                  </w:pPr>
                  <w:r>
                    <w:rPr>
                      <w:rFonts w:hint="default" w:ascii="Times New Roman" w:hAnsi="Times New Roman" w:eastAsia="宋体" w:cs="Times New Roman"/>
                      <w:bCs/>
                      <w:color w:val="auto"/>
                      <w:spacing w:val="-6"/>
                      <w:kern w:val="0"/>
                      <w:sz w:val="21"/>
                      <w:szCs w:val="21"/>
                      <w:lang w:eastAsia="en-US" w:bidi="en-US"/>
                    </w:rPr>
                    <w:t>连续</w:t>
                  </w:r>
                </w:p>
              </w:tc>
              <w:tc>
                <w:tcPr>
                  <w:tcW w:w="1992" w:type="pct"/>
                  <w:noWrap w:val="0"/>
                  <w:vAlign w:val="center"/>
                </w:tcPr>
                <w:p w14:paraId="5DF329F8">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bCs/>
                      <w:color w:val="auto"/>
                      <w:spacing w:val="-6"/>
                      <w:kern w:val="0"/>
                      <w:sz w:val="21"/>
                      <w:szCs w:val="21"/>
                      <w:lang w:val="en-US" w:eastAsia="zh-CN" w:bidi="en-US"/>
                    </w:rPr>
                  </w:pPr>
                  <w:r>
                    <w:rPr>
                      <w:rFonts w:hint="default" w:ascii="Times New Roman" w:hAnsi="Times New Roman" w:eastAsia="宋体" w:cs="Times New Roman"/>
                      <w:bCs/>
                      <w:color w:val="auto"/>
                      <w:spacing w:val="-6"/>
                      <w:kern w:val="0"/>
                      <w:sz w:val="21"/>
                      <w:szCs w:val="21"/>
                      <w:lang w:val="en-US" w:eastAsia="zh-CN" w:bidi="en-US"/>
                    </w:rPr>
                    <w:t>车间密闭</w:t>
                  </w:r>
                </w:p>
              </w:tc>
            </w:tr>
          </w:tbl>
          <w:p w14:paraId="3C57A8C0">
            <w:pPr>
              <w:keepNext w:val="0"/>
              <w:keepLines w:val="0"/>
              <w:widowControl/>
              <w:suppressLineNumbers w:val="0"/>
              <w:spacing w:before="157" w:beforeLines="50" w:beforeAutospacing="0" w:after="0" w:afterAutospacing="0" w:line="360" w:lineRule="auto"/>
              <w:ind w:left="0" w:right="0" w:firstLine="480" w:firstLineChars="200"/>
              <w:rPr>
                <w:rFonts w:hint="default" w:ascii="Times New Roman" w:hAnsi="Times New Roman" w:eastAsia="宋体" w:cs="Times New Roman"/>
                <w:color w:val="auto"/>
                <w:kern w:val="0"/>
                <w:sz w:val="24"/>
                <w:lang w:val="en-US" w:eastAsia="zh-CN" w:bidi="en-US"/>
              </w:rPr>
            </w:pPr>
            <w:r>
              <w:rPr>
                <w:rFonts w:hint="default" w:ascii="Times New Roman" w:hAnsi="Times New Roman" w:eastAsia="宋体" w:cs="Times New Roman"/>
                <w:color w:val="auto"/>
                <w:kern w:val="0"/>
                <w:sz w:val="24"/>
                <w:lang w:val="en-US" w:eastAsia="zh-CN" w:bidi="en-US"/>
              </w:rPr>
              <w:t>各工序原辅料使用量见下表。</w:t>
            </w:r>
          </w:p>
          <w:p w14:paraId="4F15B62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firstLine="422" w:firstLineChars="200"/>
              <w:jc w:val="center"/>
              <w:textAlignment w:val="auto"/>
              <w:rPr>
                <w:rFonts w:hint="default" w:ascii="Times New Roman" w:hAnsi="Times New Roman" w:eastAsia="宋体" w:cs="Times New Roman"/>
                <w:b/>
                <w:bCs/>
                <w:color w:val="auto"/>
                <w:kern w:val="0"/>
                <w:sz w:val="21"/>
                <w:szCs w:val="21"/>
                <w:lang w:eastAsia="zh-CN" w:bidi="en-US"/>
              </w:rPr>
            </w:pPr>
            <w:r>
              <w:rPr>
                <w:rFonts w:hint="default" w:cs="Times New Roman"/>
                <w:b/>
                <w:bCs/>
                <w:color w:val="auto"/>
                <w:kern w:val="0"/>
                <w:sz w:val="21"/>
                <w:szCs w:val="21"/>
                <w:lang w:eastAsia="zh-CN" w:bidi="en-US"/>
              </w:rPr>
              <w:t>现有工程</w:t>
            </w:r>
            <w:r>
              <w:rPr>
                <w:rFonts w:hint="default" w:ascii="Times New Roman" w:hAnsi="Times New Roman" w:eastAsia="宋体" w:cs="Times New Roman"/>
                <w:b/>
                <w:bCs/>
                <w:color w:val="auto"/>
                <w:kern w:val="0"/>
                <w:sz w:val="21"/>
                <w:szCs w:val="21"/>
                <w:lang w:eastAsia="zh-CN" w:bidi="en-US"/>
              </w:rPr>
              <w:t>各工序原辅料使用量核算表</w:t>
            </w:r>
          </w:p>
          <w:tbl>
            <w:tblPr>
              <w:tblStyle w:val="39"/>
              <w:tblW w:w="82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
              <w:gridCol w:w="1165"/>
              <w:gridCol w:w="1325"/>
              <w:gridCol w:w="1202"/>
              <w:gridCol w:w="855"/>
              <w:gridCol w:w="2867"/>
            </w:tblGrid>
            <w:tr w14:paraId="1D39EF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2" w:type="dxa"/>
                  <w:vAlign w:val="center"/>
                </w:tcPr>
                <w:p w14:paraId="4C190E8F">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排气筒</w:t>
                  </w:r>
                </w:p>
              </w:tc>
              <w:tc>
                <w:tcPr>
                  <w:tcW w:w="1165" w:type="dxa"/>
                  <w:vAlign w:val="center"/>
                </w:tcPr>
                <w:p w14:paraId="4CCD5631">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产废环节</w:t>
                  </w:r>
                </w:p>
              </w:tc>
              <w:tc>
                <w:tcPr>
                  <w:tcW w:w="1325" w:type="dxa"/>
                  <w:vAlign w:val="center"/>
                </w:tcPr>
                <w:p w14:paraId="2F6A4F5B">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设备</w:t>
                  </w:r>
                </w:p>
              </w:tc>
              <w:tc>
                <w:tcPr>
                  <w:tcW w:w="1202" w:type="dxa"/>
                  <w:vAlign w:val="center"/>
                </w:tcPr>
                <w:p w14:paraId="5C5036B3">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原料</w:t>
                  </w:r>
                </w:p>
              </w:tc>
              <w:tc>
                <w:tcPr>
                  <w:tcW w:w="855" w:type="dxa"/>
                  <w:vAlign w:val="center"/>
                </w:tcPr>
                <w:p w14:paraId="38F095CF">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年用量</w:t>
                  </w:r>
                </w:p>
                <w:p w14:paraId="6A95A8F4">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（t/a）</w:t>
                  </w:r>
                </w:p>
              </w:tc>
              <w:tc>
                <w:tcPr>
                  <w:tcW w:w="2867" w:type="dxa"/>
                  <w:vAlign w:val="center"/>
                </w:tcPr>
                <w:p w14:paraId="1200BE25">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核算过程</w:t>
                  </w:r>
                </w:p>
              </w:tc>
            </w:tr>
            <w:tr w14:paraId="414F53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Merge w:val="restart"/>
                  <w:vAlign w:val="center"/>
                </w:tcPr>
                <w:p w14:paraId="028FA810">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DA001</w:t>
                  </w:r>
                </w:p>
              </w:tc>
              <w:tc>
                <w:tcPr>
                  <w:tcW w:w="1165" w:type="dxa"/>
                  <w:vAlign w:val="center"/>
                </w:tcPr>
                <w:p w14:paraId="76CB809B">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吹膜废气</w:t>
                  </w:r>
                </w:p>
              </w:tc>
              <w:tc>
                <w:tcPr>
                  <w:tcW w:w="1325" w:type="dxa"/>
                  <w:vAlign w:val="center"/>
                </w:tcPr>
                <w:p w14:paraId="36BA2223">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吹膜机ABC</w:t>
                  </w:r>
                </w:p>
              </w:tc>
              <w:tc>
                <w:tcPr>
                  <w:tcW w:w="1202" w:type="dxa"/>
                  <w:vAlign w:val="center"/>
                </w:tcPr>
                <w:p w14:paraId="5945A202">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PE</w:t>
                  </w:r>
                </w:p>
              </w:tc>
              <w:tc>
                <w:tcPr>
                  <w:tcW w:w="855" w:type="dxa"/>
                  <w:vAlign w:val="center"/>
                </w:tcPr>
                <w:p w14:paraId="39BFC54B">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3700</w:t>
                  </w:r>
                </w:p>
              </w:tc>
              <w:tc>
                <w:tcPr>
                  <w:tcW w:w="2867" w:type="dxa"/>
                  <w:vAlign w:val="center"/>
                </w:tcPr>
                <w:p w14:paraId="70CD1F8D">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m:oMathPara>
                    <m:oMath>
                      <m:r>
                        <m:rPr>
                          <m:nor/>
                          <m:sty m:val="p"/>
                        </m:rPr>
                        <w:rPr>
                          <w:rFonts w:hint="default" w:ascii="Times New Roman" w:hAnsi="Times New Roman" w:eastAsia="宋体" w:cs="Times New Roman"/>
                          <w:b w:val="0"/>
                          <w:i w:val="0"/>
                          <w:szCs w:val="21"/>
                          <w:vertAlign w:val="baseline"/>
                          <w:lang w:val="en-US" w:eastAsia="zh-CN" w:bidi="en-US"/>
                        </w:rPr>
                        <m:t>3700</m:t>
                      </m:r>
                    </m:oMath>
                  </m:oMathPara>
                </w:p>
              </w:tc>
            </w:tr>
            <w:tr w14:paraId="115067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Merge w:val="continue"/>
                  <w:vAlign w:val="center"/>
                </w:tcPr>
                <w:p w14:paraId="0CF69B7C">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p>
              </w:tc>
              <w:tc>
                <w:tcPr>
                  <w:tcW w:w="1165" w:type="dxa"/>
                  <w:vMerge w:val="restart"/>
                  <w:vAlign w:val="center"/>
                </w:tcPr>
                <w:p w14:paraId="38EC0CEB">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印刷废气</w:t>
                  </w:r>
                </w:p>
              </w:tc>
              <w:tc>
                <w:tcPr>
                  <w:tcW w:w="1325" w:type="dxa"/>
                  <w:vMerge w:val="restart"/>
                  <w:vAlign w:val="center"/>
                </w:tcPr>
                <w:p w14:paraId="6613CC55">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配制间A、印刷机A</w:t>
                  </w:r>
                </w:p>
              </w:tc>
              <w:tc>
                <w:tcPr>
                  <w:tcW w:w="1202" w:type="dxa"/>
                  <w:vAlign w:val="center"/>
                </w:tcPr>
                <w:p w14:paraId="1B1C8FF6">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水性油墨</w:t>
                  </w:r>
                </w:p>
              </w:tc>
              <w:tc>
                <w:tcPr>
                  <w:tcW w:w="855" w:type="dxa"/>
                  <w:vAlign w:val="center"/>
                </w:tcPr>
                <w:p w14:paraId="2D89C74D">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10</w:t>
                  </w:r>
                </w:p>
              </w:tc>
              <w:tc>
                <w:tcPr>
                  <w:tcW w:w="2867" w:type="dxa"/>
                  <w:vAlign w:val="center"/>
                </w:tcPr>
                <w:p w14:paraId="7B5B5E8B">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m:oMathPara>
                    <m:oMath>
                      <m:r>
                        <m:rPr>
                          <m:nor/>
                          <m:sty m:val="p"/>
                        </m:rPr>
                        <w:rPr>
                          <w:rFonts w:hint="default" w:ascii="Times New Roman" w:hAnsi="Times New Roman" w:eastAsia="宋体" w:cs="Times New Roman"/>
                          <w:b w:val="0"/>
                          <w:i w:val="0"/>
                          <w:szCs w:val="21"/>
                          <w:vertAlign w:val="baseline"/>
                          <w:lang w:val="en-US" w:eastAsia="zh-CN" w:bidi="en-US"/>
                        </w:rPr>
                        <m:t>30</m:t>
                      </m:r>
                      <m:r>
                        <m:rPr>
                          <m:nor/>
                          <m:sty m:val="p"/>
                        </m:rPr>
                        <w:rPr>
                          <w:rFonts w:hint="default" w:ascii="Times New Roman" w:hAnsi="Times New Roman" w:cs="Times New Roman"/>
                          <w:b w:val="0"/>
                          <w:i w:val="0"/>
                          <w:szCs w:val="21"/>
                          <w:vertAlign w:val="baseline"/>
                          <w:lang w:val="en-US" w:bidi="en-US"/>
                        </w:rPr>
                        <m:t>×</m:t>
                      </m:r>
                      <m:f>
                        <m:fPr>
                          <m:ctrlPr>
                            <w:rPr>
                              <w:rFonts w:hint="default" w:ascii="Cambria Math" w:hAnsi="Cambria Math" w:cs="Times New Roman"/>
                              <w:i/>
                              <w:szCs w:val="21"/>
                              <w:vertAlign w:val="baseline"/>
                              <w:lang w:val="en-US" w:bidi="en-US"/>
                            </w:rPr>
                          </m:ctrlPr>
                        </m:fPr>
                        <m:num>
                          <m:r>
                            <m:rPr>
                              <m:nor/>
                              <m:sty m:val="p"/>
                            </m:rPr>
                            <w:rPr>
                              <w:rFonts w:hint="default" w:ascii="Times New Roman" w:hAnsi="Times New Roman" w:eastAsia="宋体" w:cs="Times New Roman"/>
                              <w:b w:val="0"/>
                              <w:i w:val="0"/>
                              <w:szCs w:val="21"/>
                              <w:vertAlign w:val="baseline"/>
                              <w:lang w:val="en-US" w:eastAsia="zh-CN" w:bidi="en-US"/>
                            </w:rPr>
                            <m:t>1</m:t>
                          </m:r>
                          <m:ctrlPr>
                            <w:rPr>
                              <w:rFonts w:hint="default" w:ascii="Cambria Math" w:hAnsi="Cambria Math" w:cs="Times New Roman"/>
                              <w:i/>
                              <w:szCs w:val="21"/>
                              <w:vertAlign w:val="baseline"/>
                              <w:lang w:val="en-US" w:bidi="en-US"/>
                            </w:rPr>
                          </m:ctrlPr>
                        </m:num>
                        <m:den>
                          <m:r>
                            <m:rPr>
                              <m:nor/>
                              <m:sty m:val="p"/>
                            </m:rPr>
                            <w:rPr>
                              <w:rFonts w:hint="default" w:ascii="Times New Roman" w:hAnsi="Times New Roman" w:eastAsia="宋体" w:cs="Times New Roman"/>
                              <w:b w:val="0"/>
                              <w:i w:val="0"/>
                              <w:szCs w:val="21"/>
                              <w:vertAlign w:val="baseline"/>
                              <w:lang w:val="en-US" w:eastAsia="zh-CN" w:bidi="en-US"/>
                            </w:rPr>
                            <m:t>3</m:t>
                          </m:r>
                          <m:ctrlPr>
                            <w:rPr>
                              <w:rFonts w:hint="default" w:ascii="Cambria Math" w:hAnsi="Cambria Math" w:cs="Times New Roman"/>
                              <w:i/>
                              <w:szCs w:val="21"/>
                              <w:vertAlign w:val="baseline"/>
                              <w:lang w:val="en-US" w:bidi="en-US"/>
                            </w:rPr>
                          </m:ctrlPr>
                        </m:den>
                      </m:f>
                      <m:r>
                        <m:rPr>
                          <m:nor/>
                          <m:sty m:val="p"/>
                        </m:rPr>
                        <w:rPr>
                          <w:rFonts w:hint="default" w:ascii="Times New Roman" w:hAnsi="Times New Roman" w:cs="Times New Roman"/>
                          <w:b w:val="0"/>
                          <w:i w:val="0"/>
                          <w:szCs w:val="21"/>
                          <w:vertAlign w:val="baseline"/>
                          <w:lang w:val="en-US" w:bidi="en-US"/>
                        </w:rPr>
                        <m:t>=</m:t>
                      </m:r>
                      <m:r>
                        <m:rPr>
                          <m:nor/>
                          <m:sty m:val="p"/>
                        </m:rPr>
                        <w:rPr>
                          <w:rFonts w:hint="default" w:ascii="Times New Roman" w:hAnsi="Times New Roman" w:eastAsia="宋体" w:cs="Times New Roman"/>
                          <w:b w:val="0"/>
                          <w:i w:val="0"/>
                          <w:szCs w:val="21"/>
                          <w:vertAlign w:val="baseline"/>
                          <w:lang w:val="en-US" w:eastAsia="zh-CN" w:bidi="en-US"/>
                        </w:rPr>
                        <m:t>10</m:t>
                      </m:r>
                    </m:oMath>
                  </m:oMathPara>
                </w:p>
              </w:tc>
            </w:tr>
            <w:tr w14:paraId="0683A1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 w:hRule="atLeast"/>
                <w:jc w:val="center"/>
              </w:trPr>
              <w:tc>
                <w:tcPr>
                  <w:tcW w:w="852" w:type="dxa"/>
                  <w:vMerge w:val="continue"/>
                  <w:vAlign w:val="center"/>
                </w:tcPr>
                <w:p w14:paraId="54ABB136">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p>
              </w:tc>
              <w:tc>
                <w:tcPr>
                  <w:tcW w:w="1165" w:type="dxa"/>
                  <w:vMerge w:val="continue"/>
                  <w:vAlign w:val="center"/>
                </w:tcPr>
                <w:p w14:paraId="3DF56DC9">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p>
              </w:tc>
              <w:tc>
                <w:tcPr>
                  <w:tcW w:w="1325" w:type="dxa"/>
                  <w:vMerge w:val="continue"/>
                  <w:vAlign w:val="center"/>
                </w:tcPr>
                <w:p w14:paraId="594F90BA">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p>
              </w:tc>
              <w:tc>
                <w:tcPr>
                  <w:tcW w:w="1202" w:type="dxa"/>
                  <w:vAlign w:val="center"/>
                </w:tcPr>
                <w:p w14:paraId="0A601EE4">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无水乙醇</w:t>
                  </w:r>
                </w:p>
              </w:tc>
              <w:tc>
                <w:tcPr>
                  <w:tcW w:w="855" w:type="dxa"/>
                  <w:vAlign w:val="center"/>
                </w:tcPr>
                <w:p w14:paraId="57091B37">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1</w:t>
                  </w:r>
                </w:p>
              </w:tc>
              <w:tc>
                <w:tcPr>
                  <w:tcW w:w="2867" w:type="dxa"/>
                  <w:vAlign w:val="center"/>
                </w:tcPr>
                <w:p w14:paraId="241B0D4C">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m:oMathPara>
                    <m:oMath>
                      <m:r>
                        <m:rPr>
                          <m:nor/>
                          <m:sty m:val="p"/>
                        </m:rPr>
                        <w:rPr>
                          <w:rFonts w:hint="default" w:ascii="Times New Roman" w:hAnsi="Times New Roman" w:eastAsia="宋体" w:cs="Times New Roman"/>
                          <w:b w:val="0"/>
                          <w:i w:val="0"/>
                          <w:szCs w:val="21"/>
                          <w:vertAlign w:val="baseline"/>
                          <w:lang w:val="en-US" w:eastAsia="zh-CN" w:bidi="en-US"/>
                        </w:rPr>
                        <m:t>3</m:t>
                      </m:r>
                      <m:r>
                        <m:rPr>
                          <m:nor/>
                          <m:sty m:val="p"/>
                        </m:rPr>
                        <w:rPr>
                          <w:rFonts w:hint="default" w:ascii="Times New Roman" w:hAnsi="Times New Roman" w:cs="Times New Roman"/>
                          <w:b w:val="0"/>
                          <w:i w:val="0"/>
                          <w:szCs w:val="21"/>
                          <w:vertAlign w:val="baseline"/>
                          <w:lang w:val="en-US" w:bidi="en-US"/>
                        </w:rPr>
                        <m:t>×</m:t>
                      </m:r>
                      <m:f>
                        <m:fPr>
                          <m:ctrlPr>
                            <w:rPr>
                              <w:rFonts w:hint="default" w:ascii="Cambria Math" w:hAnsi="Cambria Math" w:cs="Times New Roman"/>
                              <w:i/>
                              <w:szCs w:val="21"/>
                              <w:vertAlign w:val="baseline"/>
                              <w:lang w:val="en-US" w:bidi="en-US"/>
                            </w:rPr>
                          </m:ctrlPr>
                        </m:fPr>
                        <m:num>
                          <m:r>
                            <m:rPr>
                              <m:nor/>
                              <m:sty m:val="p"/>
                            </m:rPr>
                            <w:rPr>
                              <w:rFonts w:hint="default" w:ascii="Times New Roman" w:hAnsi="Times New Roman" w:eastAsia="宋体" w:cs="Times New Roman"/>
                              <w:b w:val="0"/>
                              <w:i w:val="0"/>
                              <w:szCs w:val="21"/>
                              <w:vertAlign w:val="baseline"/>
                              <w:lang w:val="en-US" w:eastAsia="zh-CN" w:bidi="en-US"/>
                            </w:rPr>
                            <m:t>1</m:t>
                          </m:r>
                          <m:ctrlPr>
                            <w:rPr>
                              <w:rFonts w:hint="default" w:ascii="Cambria Math" w:hAnsi="Cambria Math" w:cs="Times New Roman"/>
                              <w:i/>
                              <w:szCs w:val="21"/>
                              <w:vertAlign w:val="baseline"/>
                              <w:lang w:val="en-US" w:bidi="en-US"/>
                            </w:rPr>
                          </m:ctrlPr>
                        </m:num>
                        <m:den>
                          <m:r>
                            <m:rPr>
                              <m:nor/>
                              <m:sty m:val="p"/>
                            </m:rPr>
                            <w:rPr>
                              <w:rFonts w:hint="default" w:ascii="Times New Roman" w:hAnsi="Times New Roman" w:eastAsia="宋体" w:cs="Times New Roman"/>
                              <w:b w:val="0"/>
                              <w:i w:val="0"/>
                              <w:szCs w:val="21"/>
                              <w:vertAlign w:val="baseline"/>
                              <w:lang w:val="en-US" w:eastAsia="zh-CN" w:bidi="en-US"/>
                            </w:rPr>
                            <m:t>3</m:t>
                          </m:r>
                          <m:ctrlPr>
                            <w:rPr>
                              <w:rFonts w:hint="default" w:ascii="Cambria Math" w:hAnsi="Cambria Math" w:cs="Times New Roman"/>
                              <w:i/>
                              <w:szCs w:val="21"/>
                              <w:vertAlign w:val="baseline"/>
                              <w:lang w:val="en-US" w:bidi="en-US"/>
                            </w:rPr>
                          </m:ctrlPr>
                        </m:den>
                      </m:f>
                      <m:r>
                        <m:rPr>
                          <m:nor/>
                          <m:sty m:val="p"/>
                        </m:rPr>
                        <w:rPr>
                          <w:rFonts w:hint="default" w:ascii="Times New Roman" w:hAnsi="Times New Roman" w:cs="Times New Roman"/>
                          <w:b w:val="0"/>
                          <w:i w:val="0"/>
                          <w:szCs w:val="21"/>
                          <w:vertAlign w:val="baseline"/>
                          <w:lang w:val="en-US" w:bidi="en-US"/>
                        </w:rPr>
                        <m:t>=</m:t>
                      </m:r>
                      <m:r>
                        <m:rPr>
                          <m:nor/>
                          <m:sty m:val="p"/>
                        </m:rPr>
                        <w:rPr>
                          <w:rFonts w:hint="default" w:ascii="Times New Roman" w:hAnsi="Times New Roman" w:eastAsia="宋体" w:cs="Times New Roman"/>
                          <w:b w:val="0"/>
                          <w:i w:val="0"/>
                          <w:szCs w:val="21"/>
                          <w:vertAlign w:val="baseline"/>
                          <w:lang w:val="en-US" w:eastAsia="zh-CN" w:bidi="en-US"/>
                        </w:rPr>
                        <m:t>1</m:t>
                      </m:r>
                    </m:oMath>
                  </m:oMathPara>
                </w:p>
              </w:tc>
            </w:tr>
            <w:tr w14:paraId="0D0B9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Merge w:val="continue"/>
                  <w:vAlign w:val="center"/>
                </w:tcPr>
                <w:p w14:paraId="268C29F3">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p>
              </w:tc>
              <w:tc>
                <w:tcPr>
                  <w:tcW w:w="1165" w:type="dxa"/>
                  <w:vMerge w:val="restart"/>
                  <w:vAlign w:val="center"/>
                </w:tcPr>
                <w:p w14:paraId="049D3F7D">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复合工序废气</w:t>
                  </w:r>
                </w:p>
              </w:tc>
              <w:tc>
                <w:tcPr>
                  <w:tcW w:w="1325" w:type="dxa"/>
                  <w:vMerge w:val="restart"/>
                  <w:vAlign w:val="center"/>
                </w:tcPr>
                <w:p w14:paraId="7B58CBA8">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复合机AC</w:t>
                  </w:r>
                </w:p>
              </w:tc>
              <w:tc>
                <w:tcPr>
                  <w:tcW w:w="1202" w:type="dxa"/>
                  <w:vAlign w:val="center"/>
                </w:tcPr>
                <w:p w14:paraId="79306C4B">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PE+PET</w:t>
                  </w:r>
                </w:p>
              </w:tc>
              <w:tc>
                <w:tcPr>
                  <w:tcW w:w="855" w:type="dxa"/>
                  <w:vAlign w:val="center"/>
                </w:tcPr>
                <w:p w14:paraId="4C729A8F">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2867</w:t>
                  </w:r>
                </w:p>
              </w:tc>
              <w:tc>
                <w:tcPr>
                  <w:tcW w:w="2867" w:type="dxa"/>
                  <w:vAlign w:val="center"/>
                </w:tcPr>
                <w:p w14:paraId="025D1A09">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m:oMathPara>
                    <m:oMath>
                      <m:r>
                        <m:rPr>
                          <m:nor/>
                          <m:sty m:val="p"/>
                        </m:rPr>
                        <w:rPr>
                          <w:rFonts w:hint="default" w:ascii="Times New Roman" w:hAnsi="Times New Roman" w:eastAsia="宋体" w:cs="Times New Roman"/>
                          <w:b w:val="0"/>
                          <w:i w:val="0"/>
                          <w:szCs w:val="21"/>
                          <w:vertAlign w:val="baseline"/>
                          <w:lang w:val="en-US" w:eastAsia="zh-CN" w:bidi="en-US"/>
                        </w:rPr>
                        <m:t>（3700+600）</m:t>
                      </m:r>
                      <m:r>
                        <m:rPr>
                          <m:nor/>
                          <m:sty m:val="p"/>
                        </m:rPr>
                        <w:rPr>
                          <w:rFonts w:hint="default" w:ascii="Times New Roman" w:hAnsi="Times New Roman" w:cs="Times New Roman"/>
                          <w:b w:val="0"/>
                          <w:i w:val="0"/>
                          <w:szCs w:val="21"/>
                          <w:vertAlign w:val="baseline"/>
                          <w:lang w:val="en-US" w:bidi="en-US"/>
                        </w:rPr>
                        <m:t>×</m:t>
                      </m:r>
                      <m:f>
                        <m:fPr>
                          <m:ctrlPr>
                            <w:rPr>
                              <w:rFonts w:hint="default" w:ascii="Cambria Math" w:hAnsi="Cambria Math" w:cs="Times New Roman"/>
                              <w:i/>
                              <w:szCs w:val="21"/>
                              <w:vertAlign w:val="baseline"/>
                              <w:lang w:val="en-US" w:bidi="en-US"/>
                            </w:rPr>
                          </m:ctrlPr>
                        </m:fPr>
                        <m:num>
                          <m:r>
                            <m:rPr>
                              <m:nor/>
                              <m:sty m:val="p"/>
                            </m:rPr>
                            <w:rPr>
                              <w:rFonts w:hint="default" w:ascii="Times New Roman" w:hAnsi="Times New Roman" w:eastAsia="宋体" w:cs="Times New Roman"/>
                              <w:b w:val="0"/>
                              <w:i w:val="0"/>
                              <w:szCs w:val="21"/>
                              <w:vertAlign w:val="baseline"/>
                              <w:lang w:val="en-US" w:eastAsia="zh-CN" w:bidi="en-US"/>
                            </w:rPr>
                            <m:t>2</m:t>
                          </m:r>
                          <m:ctrlPr>
                            <w:rPr>
                              <w:rFonts w:hint="default" w:ascii="Cambria Math" w:hAnsi="Cambria Math" w:cs="Times New Roman"/>
                              <w:i/>
                              <w:szCs w:val="21"/>
                              <w:vertAlign w:val="baseline"/>
                              <w:lang w:val="en-US" w:bidi="en-US"/>
                            </w:rPr>
                          </m:ctrlPr>
                        </m:num>
                        <m:den>
                          <m:r>
                            <m:rPr>
                              <m:nor/>
                              <m:sty m:val="p"/>
                            </m:rPr>
                            <w:rPr>
                              <w:rFonts w:hint="default" w:ascii="Times New Roman" w:hAnsi="Times New Roman" w:eastAsia="宋体" w:cs="Times New Roman"/>
                              <w:b w:val="0"/>
                              <w:i w:val="0"/>
                              <w:szCs w:val="21"/>
                              <w:vertAlign w:val="baseline"/>
                              <w:lang w:val="en-US" w:eastAsia="zh-CN" w:bidi="en-US"/>
                            </w:rPr>
                            <m:t>3</m:t>
                          </m:r>
                          <m:ctrlPr>
                            <w:rPr>
                              <w:rFonts w:hint="default" w:ascii="Cambria Math" w:hAnsi="Cambria Math" w:cs="Times New Roman"/>
                              <w:i/>
                              <w:szCs w:val="21"/>
                              <w:vertAlign w:val="baseline"/>
                              <w:lang w:val="en-US" w:bidi="en-US"/>
                            </w:rPr>
                          </m:ctrlPr>
                        </m:den>
                      </m:f>
                      <m:r>
                        <m:rPr>
                          <m:nor/>
                          <m:sty m:val="p"/>
                        </m:rPr>
                        <w:rPr>
                          <w:rFonts w:hint="default" w:ascii="Times New Roman" w:hAnsi="Times New Roman" w:cs="Times New Roman"/>
                          <w:b w:val="0"/>
                          <w:i w:val="0"/>
                          <w:szCs w:val="21"/>
                          <w:vertAlign w:val="baseline"/>
                          <w:lang w:val="en-US" w:bidi="en-US"/>
                        </w:rPr>
                        <m:t>=</m:t>
                      </m:r>
                      <m:r>
                        <m:rPr>
                          <m:nor/>
                          <m:sty m:val="p"/>
                        </m:rPr>
                        <w:rPr>
                          <w:rFonts w:hint="default" w:ascii="Times New Roman" w:hAnsi="Times New Roman" w:eastAsia="宋体" w:cs="Times New Roman"/>
                          <w:b w:val="0"/>
                          <w:i w:val="0"/>
                          <w:szCs w:val="21"/>
                          <w:vertAlign w:val="baseline"/>
                          <w:lang w:val="en-US" w:eastAsia="zh-CN" w:bidi="en-US"/>
                        </w:rPr>
                        <m:t>2867</m:t>
                      </m:r>
                    </m:oMath>
                  </m:oMathPara>
                </w:p>
              </w:tc>
            </w:tr>
            <w:tr w14:paraId="35ABD8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 w:hRule="atLeast"/>
                <w:jc w:val="center"/>
              </w:trPr>
              <w:tc>
                <w:tcPr>
                  <w:tcW w:w="852" w:type="dxa"/>
                  <w:vMerge w:val="continue"/>
                  <w:vAlign w:val="center"/>
                </w:tcPr>
                <w:p w14:paraId="0944969B">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p>
              </w:tc>
              <w:tc>
                <w:tcPr>
                  <w:tcW w:w="1165" w:type="dxa"/>
                  <w:vMerge w:val="continue"/>
                  <w:vAlign w:val="center"/>
                </w:tcPr>
                <w:p w14:paraId="03AB3BF6">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p>
              </w:tc>
              <w:tc>
                <w:tcPr>
                  <w:tcW w:w="1325" w:type="dxa"/>
                  <w:vMerge w:val="continue"/>
                  <w:vAlign w:val="center"/>
                </w:tcPr>
                <w:p w14:paraId="1793A958">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p>
              </w:tc>
              <w:tc>
                <w:tcPr>
                  <w:tcW w:w="1202" w:type="dxa"/>
                  <w:vAlign w:val="center"/>
                </w:tcPr>
                <w:p w14:paraId="1899EC9B">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胶粘剂</w:t>
                  </w:r>
                </w:p>
              </w:tc>
              <w:tc>
                <w:tcPr>
                  <w:tcW w:w="855" w:type="dxa"/>
                  <w:vAlign w:val="center"/>
                </w:tcPr>
                <w:p w14:paraId="07FE8CAA">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2</w:t>
                  </w:r>
                </w:p>
              </w:tc>
              <w:tc>
                <w:tcPr>
                  <w:tcW w:w="2867" w:type="dxa"/>
                  <w:vAlign w:val="center"/>
                </w:tcPr>
                <w:p w14:paraId="5C7A04B9">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m:oMathPara>
                    <m:oMath>
                      <m:r>
                        <m:rPr>
                          <m:nor/>
                          <m:sty m:val="p"/>
                        </m:rPr>
                        <w:rPr>
                          <w:rFonts w:hint="default" w:ascii="Times New Roman" w:hAnsi="Times New Roman" w:eastAsia="宋体" w:cs="Times New Roman"/>
                          <w:b w:val="0"/>
                          <w:i w:val="0"/>
                          <w:szCs w:val="21"/>
                          <w:vertAlign w:val="baseline"/>
                          <w:lang w:val="en-US" w:eastAsia="zh-CN" w:bidi="en-US"/>
                        </w:rPr>
                        <m:t>3</m:t>
                      </m:r>
                      <m:r>
                        <m:rPr>
                          <m:nor/>
                          <m:sty m:val="p"/>
                        </m:rPr>
                        <w:rPr>
                          <w:rFonts w:hint="default" w:ascii="Times New Roman" w:hAnsi="Times New Roman" w:cs="Times New Roman"/>
                          <w:b w:val="0"/>
                          <w:i w:val="0"/>
                          <w:szCs w:val="21"/>
                          <w:vertAlign w:val="baseline"/>
                          <w:lang w:val="en-US" w:bidi="en-US"/>
                        </w:rPr>
                        <m:t>×</m:t>
                      </m:r>
                      <m:f>
                        <m:fPr>
                          <m:ctrlPr>
                            <w:rPr>
                              <w:rFonts w:hint="default" w:ascii="Cambria Math" w:hAnsi="Cambria Math" w:cs="Times New Roman"/>
                              <w:i/>
                              <w:szCs w:val="21"/>
                              <w:vertAlign w:val="baseline"/>
                              <w:lang w:val="en-US" w:bidi="en-US"/>
                            </w:rPr>
                          </m:ctrlPr>
                        </m:fPr>
                        <m:num>
                          <m:r>
                            <m:rPr>
                              <m:nor/>
                              <m:sty m:val="p"/>
                            </m:rPr>
                            <w:rPr>
                              <w:rFonts w:hint="default" w:ascii="Times New Roman" w:hAnsi="Times New Roman" w:eastAsia="宋体" w:cs="Times New Roman"/>
                              <w:b w:val="0"/>
                              <w:i w:val="0"/>
                              <w:szCs w:val="21"/>
                              <w:vertAlign w:val="baseline"/>
                              <w:lang w:val="en-US" w:eastAsia="zh-CN" w:bidi="en-US"/>
                            </w:rPr>
                            <m:t>2</m:t>
                          </m:r>
                          <m:ctrlPr>
                            <w:rPr>
                              <w:rFonts w:hint="default" w:ascii="Cambria Math" w:hAnsi="Cambria Math" w:cs="Times New Roman"/>
                              <w:i/>
                              <w:szCs w:val="21"/>
                              <w:vertAlign w:val="baseline"/>
                              <w:lang w:val="en-US" w:bidi="en-US"/>
                            </w:rPr>
                          </m:ctrlPr>
                        </m:num>
                        <m:den>
                          <m:r>
                            <m:rPr>
                              <m:nor/>
                              <m:sty m:val="p"/>
                            </m:rPr>
                            <w:rPr>
                              <w:rFonts w:hint="default" w:ascii="Times New Roman" w:hAnsi="Times New Roman" w:eastAsia="宋体" w:cs="Times New Roman"/>
                              <w:b w:val="0"/>
                              <w:i w:val="0"/>
                              <w:szCs w:val="21"/>
                              <w:vertAlign w:val="baseline"/>
                              <w:lang w:val="en-US" w:eastAsia="zh-CN" w:bidi="en-US"/>
                            </w:rPr>
                            <m:t>3</m:t>
                          </m:r>
                          <m:ctrlPr>
                            <w:rPr>
                              <w:rFonts w:hint="default" w:ascii="Cambria Math" w:hAnsi="Cambria Math" w:cs="Times New Roman"/>
                              <w:i/>
                              <w:szCs w:val="21"/>
                              <w:vertAlign w:val="baseline"/>
                              <w:lang w:val="en-US" w:bidi="en-US"/>
                            </w:rPr>
                          </m:ctrlPr>
                        </m:den>
                      </m:f>
                      <m:r>
                        <m:rPr>
                          <m:nor/>
                          <m:sty m:val="p"/>
                        </m:rPr>
                        <w:rPr>
                          <w:rFonts w:hint="default" w:ascii="Times New Roman" w:hAnsi="Times New Roman" w:cs="Times New Roman"/>
                          <w:b w:val="0"/>
                          <w:i w:val="0"/>
                          <w:szCs w:val="21"/>
                          <w:vertAlign w:val="baseline"/>
                          <w:lang w:val="en-US" w:bidi="en-US"/>
                        </w:rPr>
                        <m:t>=</m:t>
                      </m:r>
                      <m:r>
                        <m:rPr>
                          <m:nor/>
                          <m:sty m:val="p"/>
                        </m:rPr>
                        <w:rPr>
                          <w:rFonts w:hint="default" w:ascii="Times New Roman" w:hAnsi="Times New Roman" w:eastAsia="宋体" w:cs="Times New Roman"/>
                          <w:b w:val="0"/>
                          <w:i w:val="0"/>
                          <w:szCs w:val="21"/>
                          <w:vertAlign w:val="baseline"/>
                          <w:lang w:val="en-US" w:eastAsia="zh-CN" w:bidi="en-US"/>
                        </w:rPr>
                        <m:t>2</m:t>
                      </m:r>
                    </m:oMath>
                  </m:oMathPara>
                </w:p>
              </w:tc>
            </w:tr>
            <w:tr w14:paraId="6535C2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Merge w:val="restart"/>
                  <w:vAlign w:val="center"/>
                </w:tcPr>
                <w:p w14:paraId="4B481EAB">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DA002</w:t>
                  </w:r>
                </w:p>
              </w:tc>
              <w:tc>
                <w:tcPr>
                  <w:tcW w:w="1165" w:type="dxa"/>
                  <w:vMerge w:val="restart"/>
                  <w:vAlign w:val="center"/>
                </w:tcPr>
                <w:p w14:paraId="38EA404C">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印刷废气</w:t>
                  </w:r>
                </w:p>
              </w:tc>
              <w:tc>
                <w:tcPr>
                  <w:tcW w:w="1325" w:type="dxa"/>
                  <w:vMerge w:val="restart"/>
                  <w:vAlign w:val="center"/>
                </w:tcPr>
                <w:p w14:paraId="697E622A">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配制间B、印刷机BC</w:t>
                  </w:r>
                </w:p>
              </w:tc>
              <w:tc>
                <w:tcPr>
                  <w:tcW w:w="1202" w:type="dxa"/>
                  <w:vAlign w:val="center"/>
                </w:tcPr>
                <w:p w14:paraId="57054CD2">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水性油墨</w:t>
                  </w:r>
                </w:p>
              </w:tc>
              <w:tc>
                <w:tcPr>
                  <w:tcW w:w="855" w:type="dxa"/>
                  <w:vAlign w:val="center"/>
                </w:tcPr>
                <w:p w14:paraId="0EF7F7A8">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20</w:t>
                  </w:r>
                </w:p>
              </w:tc>
              <w:tc>
                <w:tcPr>
                  <w:tcW w:w="2867" w:type="dxa"/>
                  <w:vAlign w:val="center"/>
                </w:tcPr>
                <w:p w14:paraId="233A18EF">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m:oMathPara>
                    <m:oMath>
                      <m:r>
                        <m:rPr>
                          <m:nor/>
                          <m:sty m:val="p"/>
                        </m:rPr>
                        <w:rPr>
                          <w:rFonts w:hint="default" w:ascii="Times New Roman" w:hAnsi="Times New Roman" w:eastAsia="宋体" w:cs="Times New Roman"/>
                          <w:b w:val="0"/>
                          <w:i w:val="0"/>
                          <w:szCs w:val="21"/>
                          <w:vertAlign w:val="baseline"/>
                          <w:lang w:val="en-US" w:eastAsia="zh-CN" w:bidi="en-US"/>
                        </w:rPr>
                        <m:t>30</m:t>
                      </m:r>
                      <m:r>
                        <m:rPr>
                          <m:nor/>
                          <m:sty m:val="p"/>
                        </m:rPr>
                        <w:rPr>
                          <w:rFonts w:hint="default" w:ascii="Times New Roman" w:hAnsi="Times New Roman" w:cs="Times New Roman"/>
                          <w:b w:val="0"/>
                          <w:i w:val="0"/>
                          <w:szCs w:val="21"/>
                          <w:vertAlign w:val="baseline"/>
                          <w:lang w:val="en-US" w:bidi="en-US"/>
                        </w:rPr>
                        <m:t>×</m:t>
                      </m:r>
                      <m:f>
                        <m:fPr>
                          <m:ctrlPr>
                            <w:rPr>
                              <w:rFonts w:hint="default" w:ascii="Cambria Math" w:hAnsi="Cambria Math" w:cs="Times New Roman"/>
                              <w:i/>
                              <w:szCs w:val="21"/>
                              <w:vertAlign w:val="baseline"/>
                              <w:lang w:val="en-US" w:bidi="en-US"/>
                            </w:rPr>
                          </m:ctrlPr>
                        </m:fPr>
                        <m:num>
                          <m:r>
                            <m:rPr>
                              <m:nor/>
                              <m:sty m:val="p"/>
                            </m:rPr>
                            <w:rPr>
                              <w:rFonts w:hint="default" w:ascii="Times New Roman" w:hAnsi="Times New Roman" w:eastAsia="宋体" w:cs="Times New Roman"/>
                              <w:b w:val="0"/>
                              <w:i w:val="0"/>
                              <w:szCs w:val="21"/>
                              <w:vertAlign w:val="baseline"/>
                              <w:lang w:val="en-US" w:eastAsia="zh-CN" w:bidi="en-US"/>
                            </w:rPr>
                            <m:t>2</m:t>
                          </m:r>
                          <m:ctrlPr>
                            <w:rPr>
                              <w:rFonts w:hint="default" w:ascii="Cambria Math" w:hAnsi="Cambria Math" w:cs="Times New Roman"/>
                              <w:i/>
                              <w:szCs w:val="21"/>
                              <w:vertAlign w:val="baseline"/>
                              <w:lang w:val="en-US" w:bidi="en-US"/>
                            </w:rPr>
                          </m:ctrlPr>
                        </m:num>
                        <m:den>
                          <m:r>
                            <m:rPr>
                              <m:nor/>
                              <m:sty m:val="p"/>
                            </m:rPr>
                            <w:rPr>
                              <w:rFonts w:hint="default" w:ascii="Times New Roman" w:hAnsi="Times New Roman" w:eastAsia="宋体" w:cs="Times New Roman"/>
                              <w:b w:val="0"/>
                              <w:i w:val="0"/>
                              <w:szCs w:val="21"/>
                              <w:vertAlign w:val="baseline"/>
                              <w:lang w:val="en-US" w:eastAsia="zh-CN" w:bidi="en-US"/>
                            </w:rPr>
                            <m:t>3</m:t>
                          </m:r>
                          <m:ctrlPr>
                            <w:rPr>
                              <w:rFonts w:hint="default" w:ascii="Cambria Math" w:hAnsi="Cambria Math" w:cs="Times New Roman"/>
                              <w:i/>
                              <w:szCs w:val="21"/>
                              <w:vertAlign w:val="baseline"/>
                              <w:lang w:val="en-US" w:bidi="en-US"/>
                            </w:rPr>
                          </m:ctrlPr>
                        </m:den>
                      </m:f>
                      <m:r>
                        <m:rPr>
                          <m:nor/>
                          <m:sty m:val="p"/>
                        </m:rPr>
                        <w:rPr>
                          <w:rFonts w:hint="default" w:ascii="Times New Roman" w:hAnsi="Times New Roman" w:cs="Times New Roman"/>
                          <w:b w:val="0"/>
                          <w:i w:val="0"/>
                          <w:szCs w:val="21"/>
                          <w:vertAlign w:val="baseline"/>
                          <w:lang w:val="en-US" w:bidi="en-US"/>
                        </w:rPr>
                        <m:t>=</m:t>
                      </m:r>
                      <m:r>
                        <m:rPr>
                          <m:nor/>
                          <m:sty m:val="p"/>
                        </m:rPr>
                        <w:rPr>
                          <w:rFonts w:hint="default" w:ascii="Times New Roman" w:hAnsi="Times New Roman" w:eastAsia="宋体" w:cs="Times New Roman"/>
                          <w:b w:val="0"/>
                          <w:i w:val="0"/>
                          <w:szCs w:val="21"/>
                          <w:vertAlign w:val="baseline"/>
                          <w:lang w:val="en-US" w:eastAsia="zh-CN" w:bidi="en-US"/>
                        </w:rPr>
                        <m:t>20</m:t>
                      </m:r>
                    </m:oMath>
                  </m:oMathPara>
                </w:p>
              </w:tc>
            </w:tr>
            <w:tr w14:paraId="609C5C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 w:hRule="atLeast"/>
                <w:jc w:val="center"/>
              </w:trPr>
              <w:tc>
                <w:tcPr>
                  <w:tcW w:w="852" w:type="dxa"/>
                  <w:vMerge w:val="continue"/>
                  <w:vAlign w:val="center"/>
                </w:tcPr>
                <w:p w14:paraId="5CA8FB69">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p>
              </w:tc>
              <w:tc>
                <w:tcPr>
                  <w:tcW w:w="1165" w:type="dxa"/>
                  <w:vMerge w:val="continue"/>
                  <w:vAlign w:val="center"/>
                </w:tcPr>
                <w:p w14:paraId="1BF37A36">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p>
              </w:tc>
              <w:tc>
                <w:tcPr>
                  <w:tcW w:w="1325" w:type="dxa"/>
                  <w:vMerge w:val="continue"/>
                  <w:vAlign w:val="center"/>
                </w:tcPr>
                <w:p w14:paraId="3895CCF1">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p>
              </w:tc>
              <w:tc>
                <w:tcPr>
                  <w:tcW w:w="1202" w:type="dxa"/>
                  <w:vAlign w:val="center"/>
                </w:tcPr>
                <w:p w14:paraId="3D040AED">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无水乙醇</w:t>
                  </w:r>
                </w:p>
              </w:tc>
              <w:tc>
                <w:tcPr>
                  <w:tcW w:w="855" w:type="dxa"/>
                  <w:vAlign w:val="center"/>
                </w:tcPr>
                <w:p w14:paraId="7E5502D1">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2</w:t>
                  </w:r>
                </w:p>
              </w:tc>
              <w:tc>
                <w:tcPr>
                  <w:tcW w:w="2867" w:type="dxa"/>
                  <w:vAlign w:val="center"/>
                </w:tcPr>
                <w:p w14:paraId="0888D550">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m:oMathPara>
                    <m:oMath>
                      <m:r>
                        <m:rPr>
                          <m:nor/>
                          <m:sty m:val="p"/>
                        </m:rPr>
                        <w:rPr>
                          <w:rFonts w:hint="default" w:ascii="Times New Roman" w:hAnsi="Times New Roman" w:eastAsia="宋体" w:cs="Times New Roman"/>
                          <w:b w:val="0"/>
                          <w:i w:val="0"/>
                          <w:szCs w:val="21"/>
                          <w:vertAlign w:val="baseline"/>
                          <w:lang w:val="en-US" w:eastAsia="zh-CN" w:bidi="en-US"/>
                        </w:rPr>
                        <m:t>3</m:t>
                      </m:r>
                      <m:r>
                        <m:rPr>
                          <m:nor/>
                          <m:sty m:val="p"/>
                        </m:rPr>
                        <w:rPr>
                          <w:rFonts w:hint="default" w:ascii="Times New Roman" w:hAnsi="Times New Roman" w:cs="Times New Roman"/>
                          <w:b w:val="0"/>
                          <w:i w:val="0"/>
                          <w:szCs w:val="21"/>
                          <w:vertAlign w:val="baseline"/>
                          <w:lang w:val="en-US" w:bidi="en-US"/>
                        </w:rPr>
                        <m:t>×</m:t>
                      </m:r>
                      <m:f>
                        <m:fPr>
                          <m:ctrlPr>
                            <w:rPr>
                              <w:rFonts w:hint="default" w:ascii="Cambria Math" w:hAnsi="Cambria Math" w:cs="Times New Roman"/>
                              <w:i/>
                              <w:szCs w:val="21"/>
                              <w:vertAlign w:val="baseline"/>
                              <w:lang w:val="en-US" w:bidi="en-US"/>
                            </w:rPr>
                          </m:ctrlPr>
                        </m:fPr>
                        <m:num>
                          <m:r>
                            <m:rPr>
                              <m:nor/>
                              <m:sty m:val="p"/>
                            </m:rPr>
                            <w:rPr>
                              <w:rFonts w:hint="default" w:ascii="Times New Roman" w:hAnsi="Times New Roman" w:eastAsia="宋体" w:cs="Times New Roman"/>
                              <w:b w:val="0"/>
                              <w:i w:val="0"/>
                              <w:szCs w:val="21"/>
                              <w:vertAlign w:val="baseline"/>
                              <w:lang w:val="en-US" w:eastAsia="zh-CN" w:bidi="en-US"/>
                            </w:rPr>
                            <m:t>2</m:t>
                          </m:r>
                          <m:ctrlPr>
                            <w:rPr>
                              <w:rFonts w:hint="default" w:ascii="Cambria Math" w:hAnsi="Cambria Math" w:cs="Times New Roman"/>
                              <w:i/>
                              <w:szCs w:val="21"/>
                              <w:vertAlign w:val="baseline"/>
                              <w:lang w:val="en-US" w:bidi="en-US"/>
                            </w:rPr>
                          </m:ctrlPr>
                        </m:num>
                        <m:den>
                          <m:r>
                            <m:rPr>
                              <m:nor/>
                              <m:sty m:val="p"/>
                            </m:rPr>
                            <w:rPr>
                              <w:rFonts w:hint="default" w:ascii="Times New Roman" w:hAnsi="Times New Roman" w:eastAsia="宋体" w:cs="Times New Roman"/>
                              <w:b w:val="0"/>
                              <w:i w:val="0"/>
                              <w:szCs w:val="21"/>
                              <w:vertAlign w:val="baseline"/>
                              <w:lang w:val="en-US" w:eastAsia="zh-CN" w:bidi="en-US"/>
                            </w:rPr>
                            <m:t>3</m:t>
                          </m:r>
                          <m:ctrlPr>
                            <w:rPr>
                              <w:rFonts w:hint="default" w:ascii="Cambria Math" w:hAnsi="Cambria Math" w:cs="Times New Roman"/>
                              <w:i/>
                              <w:szCs w:val="21"/>
                              <w:vertAlign w:val="baseline"/>
                              <w:lang w:val="en-US" w:bidi="en-US"/>
                            </w:rPr>
                          </m:ctrlPr>
                        </m:den>
                      </m:f>
                      <m:r>
                        <m:rPr>
                          <m:nor/>
                          <m:sty m:val="p"/>
                        </m:rPr>
                        <w:rPr>
                          <w:rFonts w:hint="default" w:ascii="Times New Roman" w:hAnsi="Times New Roman" w:cs="Times New Roman"/>
                          <w:b w:val="0"/>
                          <w:i w:val="0"/>
                          <w:szCs w:val="21"/>
                          <w:vertAlign w:val="baseline"/>
                          <w:lang w:val="en-US" w:bidi="en-US"/>
                        </w:rPr>
                        <m:t>=</m:t>
                      </m:r>
                      <m:r>
                        <m:rPr>
                          <m:nor/>
                          <m:sty m:val="p"/>
                        </m:rPr>
                        <w:rPr>
                          <w:rFonts w:hint="default" w:ascii="Times New Roman" w:hAnsi="Times New Roman" w:eastAsia="宋体" w:cs="Times New Roman"/>
                          <w:b w:val="0"/>
                          <w:i w:val="0"/>
                          <w:szCs w:val="21"/>
                          <w:vertAlign w:val="baseline"/>
                          <w:lang w:val="en-US" w:eastAsia="zh-CN" w:bidi="en-US"/>
                        </w:rPr>
                        <m:t>2</m:t>
                      </m:r>
                    </m:oMath>
                  </m:oMathPara>
                </w:p>
              </w:tc>
            </w:tr>
            <w:tr w14:paraId="4C21F7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Merge w:val="continue"/>
                  <w:vAlign w:val="center"/>
                </w:tcPr>
                <w:p w14:paraId="3EDEBF04">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p>
              </w:tc>
              <w:tc>
                <w:tcPr>
                  <w:tcW w:w="1165" w:type="dxa"/>
                  <w:vMerge w:val="restart"/>
                  <w:shd w:val="clear" w:color="auto" w:fill="auto"/>
                  <w:vAlign w:val="center"/>
                </w:tcPr>
                <w:p w14:paraId="435BA644">
                  <w:pPr>
                    <w:pStyle w:val="13"/>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kern w:val="2"/>
                      <w:sz w:val="21"/>
                      <w:szCs w:val="21"/>
                      <w:vertAlign w:val="baseline"/>
                      <w:lang w:val="en-US" w:eastAsia="zh-CN" w:bidi="en-US"/>
                    </w:rPr>
                  </w:pPr>
                  <w:r>
                    <w:rPr>
                      <w:rFonts w:hint="default" w:ascii="Times New Roman" w:hAnsi="Times New Roman" w:eastAsia="宋体" w:cs="Times New Roman"/>
                      <w:szCs w:val="21"/>
                      <w:vertAlign w:val="baseline"/>
                      <w:lang w:val="en-US" w:eastAsia="zh-CN" w:bidi="en-US"/>
                    </w:rPr>
                    <w:t>复合工序废气</w:t>
                  </w:r>
                </w:p>
              </w:tc>
              <w:tc>
                <w:tcPr>
                  <w:tcW w:w="1325" w:type="dxa"/>
                  <w:vMerge w:val="restart"/>
                  <w:vAlign w:val="center"/>
                </w:tcPr>
                <w:p w14:paraId="79A3DBF6">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复合机B</w:t>
                  </w:r>
                </w:p>
              </w:tc>
              <w:tc>
                <w:tcPr>
                  <w:tcW w:w="1202" w:type="dxa"/>
                  <w:vAlign w:val="center"/>
                </w:tcPr>
                <w:p w14:paraId="6D316736">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PE+PET</w:t>
                  </w:r>
                </w:p>
              </w:tc>
              <w:tc>
                <w:tcPr>
                  <w:tcW w:w="855" w:type="dxa"/>
                  <w:vAlign w:val="center"/>
                </w:tcPr>
                <w:p w14:paraId="602EFDE3">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1433</w:t>
                  </w:r>
                </w:p>
              </w:tc>
              <w:tc>
                <w:tcPr>
                  <w:tcW w:w="2867" w:type="dxa"/>
                  <w:vAlign w:val="center"/>
                </w:tcPr>
                <w:p w14:paraId="58662482">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m:oMathPara>
                    <m:oMath>
                      <m:r>
                        <m:rPr>
                          <m:nor/>
                          <m:sty m:val="p"/>
                        </m:rPr>
                        <w:rPr>
                          <w:rFonts w:hint="default" w:ascii="Times New Roman" w:hAnsi="Times New Roman" w:eastAsia="宋体" w:cs="Times New Roman"/>
                          <w:b w:val="0"/>
                          <w:i w:val="0"/>
                          <w:szCs w:val="21"/>
                          <w:vertAlign w:val="baseline"/>
                          <w:lang w:val="en-US" w:eastAsia="zh-CN" w:bidi="en-US"/>
                        </w:rPr>
                        <m:t>（3700+600）</m:t>
                      </m:r>
                      <m:r>
                        <m:rPr>
                          <m:nor/>
                          <m:sty m:val="p"/>
                        </m:rPr>
                        <w:rPr>
                          <w:rFonts w:hint="default" w:ascii="Times New Roman" w:hAnsi="Times New Roman" w:cs="Times New Roman"/>
                          <w:b w:val="0"/>
                          <w:i w:val="0"/>
                          <w:szCs w:val="21"/>
                          <w:vertAlign w:val="baseline"/>
                          <w:lang w:val="en-US" w:bidi="en-US"/>
                        </w:rPr>
                        <m:t>×</m:t>
                      </m:r>
                      <m:f>
                        <m:fPr>
                          <m:ctrlPr>
                            <w:rPr>
                              <w:rFonts w:hint="default" w:ascii="Cambria Math" w:hAnsi="Cambria Math" w:cs="Times New Roman"/>
                              <w:i/>
                              <w:szCs w:val="21"/>
                              <w:vertAlign w:val="baseline"/>
                              <w:lang w:val="en-US" w:bidi="en-US"/>
                            </w:rPr>
                          </m:ctrlPr>
                        </m:fPr>
                        <m:num>
                          <m:r>
                            <m:rPr>
                              <m:nor/>
                              <m:sty m:val="p"/>
                            </m:rPr>
                            <w:rPr>
                              <w:rFonts w:hint="default" w:ascii="Times New Roman" w:hAnsi="Times New Roman" w:eastAsia="宋体" w:cs="Times New Roman"/>
                              <w:b w:val="0"/>
                              <w:i w:val="0"/>
                              <w:szCs w:val="21"/>
                              <w:vertAlign w:val="baseline"/>
                              <w:lang w:val="en-US" w:eastAsia="zh-CN" w:bidi="en-US"/>
                            </w:rPr>
                            <m:t>1</m:t>
                          </m:r>
                          <m:ctrlPr>
                            <w:rPr>
                              <w:rFonts w:hint="default" w:ascii="Cambria Math" w:hAnsi="Cambria Math" w:cs="Times New Roman"/>
                              <w:i/>
                              <w:szCs w:val="21"/>
                              <w:vertAlign w:val="baseline"/>
                              <w:lang w:val="en-US" w:bidi="en-US"/>
                            </w:rPr>
                          </m:ctrlPr>
                        </m:num>
                        <m:den>
                          <m:r>
                            <m:rPr>
                              <m:nor/>
                              <m:sty m:val="p"/>
                            </m:rPr>
                            <w:rPr>
                              <w:rFonts w:hint="default" w:ascii="Times New Roman" w:hAnsi="Times New Roman" w:eastAsia="宋体" w:cs="Times New Roman"/>
                              <w:b w:val="0"/>
                              <w:i w:val="0"/>
                              <w:szCs w:val="21"/>
                              <w:vertAlign w:val="baseline"/>
                              <w:lang w:val="en-US" w:eastAsia="zh-CN" w:bidi="en-US"/>
                            </w:rPr>
                            <m:t>3</m:t>
                          </m:r>
                          <m:ctrlPr>
                            <w:rPr>
                              <w:rFonts w:hint="default" w:ascii="Cambria Math" w:hAnsi="Cambria Math" w:cs="Times New Roman"/>
                              <w:i/>
                              <w:szCs w:val="21"/>
                              <w:vertAlign w:val="baseline"/>
                              <w:lang w:val="en-US" w:bidi="en-US"/>
                            </w:rPr>
                          </m:ctrlPr>
                        </m:den>
                      </m:f>
                      <m:r>
                        <m:rPr>
                          <m:nor/>
                          <m:sty m:val="p"/>
                        </m:rPr>
                        <w:rPr>
                          <w:rFonts w:hint="default" w:ascii="Times New Roman" w:hAnsi="Times New Roman" w:cs="Times New Roman"/>
                          <w:b w:val="0"/>
                          <w:i w:val="0"/>
                          <w:szCs w:val="21"/>
                          <w:vertAlign w:val="baseline"/>
                          <w:lang w:val="en-US" w:bidi="en-US"/>
                        </w:rPr>
                        <m:t>=</m:t>
                      </m:r>
                      <m:r>
                        <m:rPr>
                          <m:nor/>
                          <m:sty m:val="p"/>
                        </m:rPr>
                        <w:rPr>
                          <w:rFonts w:hint="default" w:ascii="Times New Roman" w:hAnsi="Times New Roman" w:eastAsia="宋体" w:cs="Times New Roman"/>
                          <w:b w:val="0"/>
                          <w:i w:val="0"/>
                          <w:szCs w:val="21"/>
                          <w:vertAlign w:val="baseline"/>
                          <w:lang w:val="en-US" w:eastAsia="zh-CN" w:bidi="en-US"/>
                        </w:rPr>
                        <m:t>1433</m:t>
                      </m:r>
                    </m:oMath>
                  </m:oMathPara>
                </w:p>
              </w:tc>
            </w:tr>
            <w:tr w14:paraId="558BD0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Merge w:val="continue"/>
                  <w:vAlign w:val="center"/>
                </w:tcPr>
                <w:p w14:paraId="54400719">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p>
              </w:tc>
              <w:tc>
                <w:tcPr>
                  <w:tcW w:w="1165" w:type="dxa"/>
                  <w:vMerge w:val="continue"/>
                  <w:shd w:val="clear" w:color="auto" w:fill="auto"/>
                  <w:vAlign w:val="center"/>
                </w:tcPr>
                <w:p w14:paraId="41A765BD">
                  <w:pPr>
                    <w:pStyle w:val="13"/>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kern w:val="2"/>
                      <w:sz w:val="21"/>
                      <w:szCs w:val="21"/>
                      <w:vertAlign w:val="baseline"/>
                      <w:lang w:val="en-US" w:eastAsia="zh-CN" w:bidi="en-US"/>
                    </w:rPr>
                  </w:pPr>
                </w:p>
              </w:tc>
              <w:tc>
                <w:tcPr>
                  <w:tcW w:w="1325" w:type="dxa"/>
                  <w:vMerge w:val="continue"/>
                  <w:vAlign w:val="center"/>
                </w:tcPr>
                <w:p w14:paraId="627E8CE6">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p>
              </w:tc>
              <w:tc>
                <w:tcPr>
                  <w:tcW w:w="1202" w:type="dxa"/>
                  <w:vAlign w:val="center"/>
                </w:tcPr>
                <w:p w14:paraId="4D654DB2">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胶粘剂</w:t>
                  </w:r>
                </w:p>
              </w:tc>
              <w:tc>
                <w:tcPr>
                  <w:tcW w:w="855" w:type="dxa"/>
                  <w:vAlign w:val="center"/>
                </w:tcPr>
                <w:p w14:paraId="3900F257">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1</w:t>
                  </w:r>
                </w:p>
              </w:tc>
              <w:tc>
                <w:tcPr>
                  <w:tcW w:w="2867" w:type="dxa"/>
                  <w:vAlign w:val="center"/>
                </w:tcPr>
                <w:p w14:paraId="7A2AFD61">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m:oMathPara>
                    <m:oMath>
                      <m:r>
                        <m:rPr>
                          <m:nor/>
                          <m:sty m:val="p"/>
                        </m:rPr>
                        <w:rPr>
                          <w:rFonts w:hint="default" w:ascii="Times New Roman" w:hAnsi="Times New Roman" w:eastAsia="宋体" w:cs="Times New Roman"/>
                          <w:b w:val="0"/>
                          <w:i w:val="0"/>
                          <w:szCs w:val="21"/>
                          <w:vertAlign w:val="baseline"/>
                          <w:lang w:val="en-US" w:eastAsia="zh-CN" w:bidi="en-US"/>
                        </w:rPr>
                        <m:t>3</m:t>
                      </m:r>
                      <m:r>
                        <m:rPr>
                          <m:nor/>
                          <m:sty m:val="p"/>
                        </m:rPr>
                        <w:rPr>
                          <w:rFonts w:hint="default" w:ascii="Times New Roman" w:hAnsi="Times New Roman" w:cs="Times New Roman"/>
                          <w:b w:val="0"/>
                          <w:i w:val="0"/>
                          <w:szCs w:val="21"/>
                          <w:vertAlign w:val="baseline"/>
                          <w:lang w:val="en-US" w:bidi="en-US"/>
                        </w:rPr>
                        <m:t>×</m:t>
                      </m:r>
                      <m:f>
                        <m:fPr>
                          <m:ctrlPr>
                            <w:rPr>
                              <w:rFonts w:hint="default" w:ascii="Cambria Math" w:hAnsi="Cambria Math" w:cs="Times New Roman"/>
                              <w:i/>
                              <w:szCs w:val="21"/>
                              <w:vertAlign w:val="baseline"/>
                              <w:lang w:val="en-US" w:bidi="en-US"/>
                            </w:rPr>
                          </m:ctrlPr>
                        </m:fPr>
                        <m:num>
                          <m:r>
                            <m:rPr>
                              <m:nor/>
                              <m:sty m:val="p"/>
                            </m:rPr>
                            <w:rPr>
                              <w:rFonts w:hint="default" w:ascii="Times New Roman" w:hAnsi="Times New Roman" w:eastAsia="宋体" w:cs="Times New Roman"/>
                              <w:b w:val="0"/>
                              <w:i w:val="0"/>
                              <w:szCs w:val="21"/>
                              <w:vertAlign w:val="baseline"/>
                              <w:lang w:val="en-US" w:eastAsia="zh-CN" w:bidi="en-US"/>
                            </w:rPr>
                            <m:t>1</m:t>
                          </m:r>
                          <m:ctrlPr>
                            <w:rPr>
                              <w:rFonts w:hint="default" w:ascii="Cambria Math" w:hAnsi="Cambria Math" w:cs="Times New Roman"/>
                              <w:i/>
                              <w:szCs w:val="21"/>
                              <w:vertAlign w:val="baseline"/>
                              <w:lang w:val="en-US" w:bidi="en-US"/>
                            </w:rPr>
                          </m:ctrlPr>
                        </m:num>
                        <m:den>
                          <m:r>
                            <m:rPr>
                              <m:nor/>
                              <m:sty m:val="p"/>
                            </m:rPr>
                            <w:rPr>
                              <w:rFonts w:hint="default" w:ascii="Times New Roman" w:hAnsi="Times New Roman" w:eastAsia="宋体" w:cs="Times New Roman"/>
                              <w:b w:val="0"/>
                              <w:i w:val="0"/>
                              <w:szCs w:val="21"/>
                              <w:vertAlign w:val="baseline"/>
                              <w:lang w:val="en-US" w:eastAsia="zh-CN" w:bidi="en-US"/>
                            </w:rPr>
                            <m:t>3</m:t>
                          </m:r>
                          <m:ctrlPr>
                            <w:rPr>
                              <w:rFonts w:hint="default" w:ascii="Cambria Math" w:hAnsi="Cambria Math" w:cs="Times New Roman"/>
                              <w:i/>
                              <w:szCs w:val="21"/>
                              <w:vertAlign w:val="baseline"/>
                              <w:lang w:val="en-US" w:bidi="en-US"/>
                            </w:rPr>
                          </m:ctrlPr>
                        </m:den>
                      </m:f>
                      <m:r>
                        <m:rPr>
                          <m:nor/>
                          <m:sty m:val="p"/>
                        </m:rPr>
                        <w:rPr>
                          <w:rFonts w:hint="default" w:ascii="Times New Roman" w:hAnsi="Times New Roman" w:cs="Times New Roman"/>
                          <w:b w:val="0"/>
                          <w:i w:val="0"/>
                          <w:szCs w:val="21"/>
                          <w:vertAlign w:val="baseline"/>
                          <w:lang w:val="en-US" w:bidi="en-US"/>
                        </w:rPr>
                        <m:t>=</m:t>
                      </m:r>
                      <m:r>
                        <m:rPr>
                          <m:nor/>
                          <m:sty m:val="p"/>
                        </m:rPr>
                        <w:rPr>
                          <w:rFonts w:hint="default" w:ascii="Times New Roman" w:hAnsi="Times New Roman" w:eastAsia="宋体" w:cs="Times New Roman"/>
                          <w:b w:val="0"/>
                          <w:i w:val="0"/>
                          <w:szCs w:val="21"/>
                          <w:vertAlign w:val="baseline"/>
                          <w:lang w:val="en-US" w:eastAsia="zh-CN" w:bidi="en-US"/>
                        </w:rPr>
                        <m:t>1</m:t>
                      </m:r>
                    </m:oMath>
                  </m:oMathPara>
                </w:p>
              </w:tc>
            </w:tr>
            <w:tr w14:paraId="208047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Merge w:val="continue"/>
                  <w:vAlign w:val="center"/>
                </w:tcPr>
                <w:p w14:paraId="7318BCA7">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p>
              </w:tc>
              <w:tc>
                <w:tcPr>
                  <w:tcW w:w="1165" w:type="dxa"/>
                  <w:vMerge w:val="restart"/>
                  <w:shd w:val="clear" w:color="auto" w:fill="auto"/>
                  <w:vAlign w:val="center"/>
                </w:tcPr>
                <w:p w14:paraId="0ED73E0C">
                  <w:pPr>
                    <w:pStyle w:val="13"/>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固化工序废气</w:t>
                  </w:r>
                </w:p>
              </w:tc>
              <w:tc>
                <w:tcPr>
                  <w:tcW w:w="1325" w:type="dxa"/>
                  <w:vMerge w:val="restart"/>
                  <w:vAlign w:val="center"/>
                </w:tcPr>
                <w:p w14:paraId="0D1173ED">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固化室A-K</w:t>
                  </w:r>
                </w:p>
              </w:tc>
              <w:tc>
                <w:tcPr>
                  <w:tcW w:w="1202" w:type="dxa"/>
                  <w:shd w:val="clear" w:color="auto" w:fill="auto"/>
                  <w:vAlign w:val="center"/>
                </w:tcPr>
                <w:p w14:paraId="47420331">
                  <w:pPr>
                    <w:pStyle w:val="13"/>
                    <w:keepNext w:val="0"/>
                    <w:keepLines w:val="0"/>
                    <w:suppressLineNumbers w:val="0"/>
                    <w:spacing w:before="0" w:beforeAutospacing="0" w:after="0" w:afterAutospacing="0"/>
                    <w:ind w:left="0" w:leftChars="0" w:right="0" w:rightChars="0" w:firstLine="0" w:firstLineChars="0"/>
                    <w:jc w:val="center"/>
                    <w:rPr>
                      <w:rFonts w:hint="default" w:ascii="Times New Roman" w:hAnsi="Times New Roman" w:eastAsia="宋体" w:cs="Times New Roman"/>
                      <w:kern w:val="2"/>
                      <w:sz w:val="21"/>
                      <w:szCs w:val="21"/>
                      <w:vertAlign w:val="baseline"/>
                      <w:lang w:val="en-US" w:eastAsia="zh-CN" w:bidi="en-US"/>
                    </w:rPr>
                  </w:pPr>
                  <w:r>
                    <w:rPr>
                      <w:rFonts w:hint="default" w:ascii="Times New Roman" w:hAnsi="Times New Roman" w:eastAsia="宋体" w:cs="Times New Roman"/>
                      <w:szCs w:val="21"/>
                      <w:vertAlign w:val="baseline"/>
                      <w:lang w:val="en-US" w:eastAsia="zh-CN" w:bidi="en-US"/>
                    </w:rPr>
                    <w:t>PE+PET</w:t>
                  </w:r>
                </w:p>
              </w:tc>
              <w:tc>
                <w:tcPr>
                  <w:tcW w:w="855" w:type="dxa"/>
                  <w:vAlign w:val="center"/>
                </w:tcPr>
                <w:p w14:paraId="085A1E29">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4300</w:t>
                  </w:r>
                </w:p>
              </w:tc>
              <w:tc>
                <w:tcPr>
                  <w:tcW w:w="2867" w:type="dxa"/>
                  <w:vAlign w:val="center"/>
                </w:tcPr>
                <w:p w14:paraId="7931F977">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b w:val="0"/>
                      <w:i w:val="0"/>
                      <w:szCs w:val="21"/>
                      <w:vertAlign w:val="baseline"/>
                      <w:lang w:val="en-US" w:eastAsia="zh-CN" w:bidi="en-US"/>
                      <w:oMath/>
                    </w:rPr>
                  </w:pPr>
                  <m:oMathPara>
                    <m:oMath>
                      <m:r>
                        <m:rPr>
                          <m:nor/>
                          <m:sty m:val="p"/>
                        </m:rPr>
                        <w:rPr>
                          <w:rFonts w:hint="default" w:ascii="Times New Roman" w:hAnsi="Times New Roman" w:eastAsia="宋体" w:cs="Times New Roman"/>
                          <w:b w:val="0"/>
                          <w:i w:val="0"/>
                          <w:szCs w:val="21"/>
                          <w:vertAlign w:val="baseline"/>
                          <w:lang w:val="en-US" w:eastAsia="zh-CN" w:bidi="en-US"/>
                        </w:rPr>
                        <m:t>（3700+600）</m:t>
                      </m:r>
                      <m:r>
                        <m:rPr>
                          <m:nor/>
                          <m:sty m:val="p"/>
                        </m:rPr>
                        <w:rPr>
                          <w:rFonts w:hint="default" w:ascii="Times New Roman" w:hAnsi="Times New Roman" w:cs="Times New Roman"/>
                          <w:b w:val="0"/>
                          <w:i w:val="0"/>
                          <w:szCs w:val="21"/>
                          <w:vertAlign w:val="baseline"/>
                          <w:lang w:val="en-US" w:bidi="en-US"/>
                        </w:rPr>
                        <m:t>×</m:t>
                      </m:r>
                      <m:r>
                        <m:rPr>
                          <m:nor/>
                          <m:sty m:val="p"/>
                        </m:rPr>
                        <w:rPr>
                          <w:rFonts w:hint="default" w:ascii="Times New Roman" w:hAnsi="Times New Roman" w:eastAsia="宋体" w:cs="Times New Roman"/>
                          <w:b w:val="0"/>
                          <w:i w:val="0"/>
                          <w:szCs w:val="21"/>
                          <w:vertAlign w:val="baseline"/>
                          <w:lang w:val="en-US" w:eastAsia="zh-CN" w:bidi="en-US"/>
                        </w:rPr>
                        <m:t>1=4300</m:t>
                      </m:r>
                    </m:oMath>
                  </m:oMathPara>
                </w:p>
              </w:tc>
            </w:tr>
            <w:tr w14:paraId="3564C3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Merge w:val="continue"/>
                  <w:vAlign w:val="center"/>
                </w:tcPr>
                <w:p w14:paraId="4141C0C5">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p>
              </w:tc>
              <w:tc>
                <w:tcPr>
                  <w:tcW w:w="1165" w:type="dxa"/>
                  <w:vMerge w:val="continue"/>
                  <w:shd w:val="clear" w:color="auto" w:fill="auto"/>
                  <w:vAlign w:val="center"/>
                </w:tcPr>
                <w:p w14:paraId="2D31E872">
                  <w:pPr>
                    <w:pStyle w:val="13"/>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szCs w:val="21"/>
                      <w:vertAlign w:val="baseline"/>
                      <w:lang w:val="en-US" w:eastAsia="zh-CN" w:bidi="en-US"/>
                    </w:rPr>
                  </w:pPr>
                </w:p>
              </w:tc>
              <w:tc>
                <w:tcPr>
                  <w:tcW w:w="1325" w:type="dxa"/>
                  <w:vMerge w:val="continue"/>
                  <w:vAlign w:val="center"/>
                </w:tcPr>
                <w:p w14:paraId="11279923">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p>
              </w:tc>
              <w:tc>
                <w:tcPr>
                  <w:tcW w:w="1202" w:type="dxa"/>
                  <w:shd w:val="clear" w:color="auto" w:fill="auto"/>
                  <w:vAlign w:val="center"/>
                </w:tcPr>
                <w:p w14:paraId="1F792BAD">
                  <w:pPr>
                    <w:pStyle w:val="13"/>
                    <w:keepNext w:val="0"/>
                    <w:keepLines w:val="0"/>
                    <w:suppressLineNumbers w:val="0"/>
                    <w:spacing w:before="0" w:beforeAutospacing="0" w:after="0" w:afterAutospacing="0"/>
                    <w:ind w:left="0" w:leftChars="0" w:right="0" w:rightChars="0" w:firstLine="0" w:firstLineChars="0"/>
                    <w:jc w:val="center"/>
                    <w:rPr>
                      <w:rFonts w:hint="default" w:ascii="Times New Roman" w:hAnsi="Times New Roman" w:eastAsia="宋体" w:cs="Times New Roman"/>
                      <w:kern w:val="2"/>
                      <w:sz w:val="21"/>
                      <w:szCs w:val="21"/>
                      <w:vertAlign w:val="baseline"/>
                      <w:lang w:val="en-US" w:eastAsia="zh-CN" w:bidi="en-US"/>
                    </w:rPr>
                  </w:pPr>
                  <w:r>
                    <w:rPr>
                      <w:rFonts w:hint="default" w:ascii="Times New Roman" w:hAnsi="Times New Roman" w:eastAsia="宋体" w:cs="Times New Roman"/>
                      <w:szCs w:val="21"/>
                      <w:vertAlign w:val="baseline"/>
                      <w:lang w:val="en-US" w:eastAsia="zh-CN" w:bidi="en-US"/>
                    </w:rPr>
                    <w:t>胶粘剂</w:t>
                  </w:r>
                </w:p>
              </w:tc>
              <w:tc>
                <w:tcPr>
                  <w:tcW w:w="855" w:type="dxa"/>
                  <w:vAlign w:val="center"/>
                </w:tcPr>
                <w:p w14:paraId="3F5520CE">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3</w:t>
                  </w:r>
                </w:p>
              </w:tc>
              <w:tc>
                <w:tcPr>
                  <w:tcW w:w="2867" w:type="dxa"/>
                  <w:vAlign w:val="center"/>
                </w:tcPr>
                <w:p w14:paraId="0A7C7DA2">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b w:val="0"/>
                      <w:i w:val="0"/>
                      <w:szCs w:val="21"/>
                      <w:vertAlign w:val="baseline"/>
                      <w:lang w:val="en-US" w:eastAsia="zh-CN" w:bidi="en-US"/>
                      <w:oMath/>
                    </w:rPr>
                  </w:pPr>
                  <m:oMathPara>
                    <m:oMath>
                      <m:r>
                        <m:rPr>
                          <m:nor/>
                          <m:sty m:val="p"/>
                        </m:rPr>
                        <w:rPr>
                          <w:rFonts w:hint="default" w:ascii="Times New Roman" w:hAnsi="Times New Roman" w:eastAsia="宋体" w:cs="Times New Roman"/>
                          <w:b w:val="0"/>
                          <w:i w:val="0"/>
                          <w:szCs w:val="21"/>
                          <w:vertAlign w:val="baseline"/>
                          <w:lang w:val="en-US" w:eastAsia="zh-CN" w:bidi="en-US"/>
                        </w:rPr>
                        <m:t>3</m:t>
                      </m:r>
                      <m:r>
                        <m:rPr>
                          <m:nor/>
                          <m:sty m:val="p"/>
                        </m:rPr>
                        <w:rPr>
                          <w:rFonts w:hint="default" w:ascii="Times New Roman" w:hAnsi="Times New Roman" w:cs="Times New Roman"/>
                          <w:b w:val="0"/>
                          <w:i w:val="0"/>
                          <w:szCs w:val="21"/>
                          <w:vertAlign w:val="baseline"/>
                          <w:lang w:val="en-US" w:bidi="en-US"/>
                        </w:rPr>
                        <m:t>×</m:t>
                      </m:r>
                      <m:r>
                        <m:rPr>
                          <m:nor/>
                          <m:sty m:val="p"/>
                        </m:rPr>
                        <w:rPr>
                          <w:rFonts w:hint="default" w:ascii="Times New Roman" w:hAnsi="Times New Roman" w:eastAsia="宋体" w:cs="Times New Roman"/>
                          <w:b w:val="0"/>
                          <w:i w:val="0"/>
                          <w:szCs w:val="21"/>
                          <w:vertAlign w:val="baseline"/>
                          <w:lang w:val="en-US" w:eastAsia="zh-CN" w:bidi="en-US"/>
                        </w:rPr>
                        <m:t>1=3</m:t>
                      </m:r>
                    </m:oMath>
                  </m:oMathPara>
                </w:p>
              </w:tc>
            </w:tr>
            <w:tr w14:paraId="2D1CE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66" w:type="dxa"/>
                  <w:gridSpan w:val="6"/>
                  <w:vAlign w:val="center"/>
                </w:tcPr>
                <w:p w14:paraId="28AC8F16">
                  <w:pPr>
                    <w:pStyle w:val="13"/>
                    <w:keepNext w:val="0"/>
                    <w:keepLines w:val="0"/>
                    <w:suppressLineNumbers w:val="0"/>
                    <w:spacing w:before="0" w:beforeAutospacing="0" w:after="0" w:afterAutospacing="0"/>
                    <w:ind w:left="0" w:right="0" w:firstLine="0"/>
                    <w:jc w:val="both"/>
                    <w:rPr>
                      <w:rFonts w:hint="default" w:ascii="Times New Roman" w:hAnsi="Times New Roman" w:eastAsia="宋体" w:cs="Times New Roman"/>
                      <w:b w:val="0"/>
                      <w:i w:val="0"/>
                      <w:szCs w:val="21"/>
                      <w:vertAlign w:val="baseline"/>
                      <w:lang w:val="en-US" w:eastAsia="zh-CN" w:bidi="en-US"/>
                      <w:oMath/>
                    </w:rPr>
                  </w:pPr>
                  <w:r>
                    <w:rPr>
                      <w:rFonts w:hint="default" w:ascii="Times New Roman" w:hAnsi="Times New Roman" w:eastAsia="宋体" w:cs="Times New Roman"/>
                      <w:sz w:val="21"/>
                      <w:szCs w:val="21"/>
                      <w:vertAlign w:val="baseline"/>
                      <w:lang w:val="en-US" w:eastAsia="zh-CN" w:bidi="en-US"/>
                    </w:rPr>
                    <w:t>核算公式：年用量=全厂使用量</w:t>
                  </w:r>
                  <w:r>
                    <w:rPr>
                      <w:rFonts w:hint="default" w:ascii="Times New Roman" w:hAnsi="Times New Roman" w:eastAsia="宋体" w:cs="Times New Roman"/>
                      <w:color w:val="auto"/>
                      <w:sz w:val="21"/>
                      <w:szCs w:val="21"/>
                      <w:highlight w:val="none"/>
                      <w:lang w:val="en-US" w:eastAsia="zh-CN"/>
                    </w:rPr>
                    <w:t>×设备数量比重</w:t>
                  </w:r>
                </w:p>
              </w:tc>
            </w:tr>
          </w:tbl>
          <w:p w14:paraId="1C08D699">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240" w:lineRule="auto"/>
              <w:ind w:left="0" w:right="0" w:firstLine="422" w:firstLineChars="200"/>
              <w:jc w:val="center"/>
              <w:textAlignment w:val="auto"/>
              <w:rPr>
                <w:rFonts w:hint="default" w:ascii="Times New Roman" w:hAnsi="Times New Roman" w:eastAsia="宋体" w:cs="Times New Roman"/>
                <w:b/>
                <w:bCs/>
                <w:color w:val="auto"/>
                <w:kern w:val="0"/>
                <w:sz w:val="21"/>
                <w:szCs w:val="21"/>
                <w:lang w:eastAsia="zh-CN" w:bidi="en-US"/>
              </w:rPr>
            </w:pPr>
            <w:r>
              <w:rPr>
                <w:rFonts w:hint="default" w:cs="Times New Roman"/>
                <w:b/>
                <w:bCs/>
                <w:color w:val="auto"/>
                <w:kern w:val="0"/>
                <w:sz w:val="21"/>
                <w:szCs w:val="21"/>
                <w:lang w:eastAsia="zh-CN" w:bidi="en-US"/>
              </w:rPr>
              <w:t>技改后</w:t>
            </w:r>
            <w:r>
              <w:rPr>
                <w:rFonts w:hint="default" w:ascii="Times New Roman" w:hAnsi="Times New Roman" w:eastAsia="宋体" w:cs="Times New Roman"/>
                <w:b/>
                <w:bCs/>
                <w:color w:val="auto"/>
                <w:kern w:val="0"/>
                <w:sz w:val="21"/>
                <w:szCs w:val="21"/>
                <w:lang w:eastAsia="zh-CN" w:bidi="en-US"/>
              </w:rPr>
              <w:t>各工序原辅料使用量核算表</w:t>
            </w:r>
          </w:p>
          <w:tbl>
            <w:tblPr>
              <w:tblStyle w:val="39"/>
              <w:tblW w:w="81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
              <w:gridCol w:w="1165"/>
              <w:gridCol w:w="1325"/>
              <w:gridCol w:w="1202"/>
              <w:gridCol w:w="855"/>
              <w:gridCol w:w="2789"/>
            </w:tblGrid>
            <w:tr w14:paraId="06DD63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2" w:type="dxa"/>
                  <w:vAlign w:val="center"/>
                </w:tcPr>
                <w:p w14:paraId="4E5DC6E4">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排气筒</w:t>
                  </w:r>
                </w:p>
              </w:tc>
              <w:tc>
                <w:tcPr>
                  <w:tcW w:w="1165" w:type="dxa"/>
                  <w:vAlign w:val="center"/>
                </w:tcPr>
                <w:p w14:paraId="286D133A">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产废环节</w:t>
                  </w:r>
                </w:p>
              </w:tc>
              <w:tc>
                <w:tcPr>
                  <w:tcW w:w="1325" w:type="dxa"/>
                  <w:vAlign w:val="center"/>
                </w:tcPr>
                <w:p w14:paraId="1AB1239B">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设备</w:t>
                  </w:r>
                </w:p>
              </w:tc>
              <w:tc>
                <w:tcPr>
                  <w:tcW w:w="1202" w:type="dxa"/>
                  <w:vAlign w:val="center"/>
                </w:tcPr>
                <w:p w14:paraId="6BD7E103">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原料</w:t>
                  </w:r>
                </w:p>
              </w:tc>
              <w:tc>
                <w:tcPr>
                  <w:tcW w:w="855" w:type="dxa"/>
                  <w:vAlign w:val="center"/>
                </w:tcPr>
                <w:p w14:paraId="7A1EB0E4">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年用量</w:t>
                  </w:r>
                </w:p>
                <w:p w14:paraId="2C5DF67D">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（t/a）</w:t>
                  </w:r>
                </w:p>
              </w:tc>
              <w:tc>
                <w:tcPr>
                  <w:tcW w:w="2789" w:type="dxa"/>
                  <w:vAlign w:val="center"/>
                </w:tcPr>
                <w:p w14:paraId="44C26D5F">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核算过程</w:t>
                  </w:r>
                </w:p>
              </w:tc>
            </w:tr>
            <w:tr w14:paraId="65EAFF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Merge w:val="restart"/>
                  <w:vAlign w:val="center"/>
                </w:tcPr>
                <w:p w14:paraId="6DF864DB">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DA001</w:t>
                  </w:r>
                </w:p>
              </w:tc>
              <w:tc>
                <w:tcPr>
                  <w:tcW w:w="1165" w:type="dxa"/>
                  <w:vAlign w:val="center"/>
                </w:tcPr>
                <w:p w14:paraId="56743CFF">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吹膜废气</w:t>
                  </w:r>
                </w:p>
              </w:tc>
              <w:tc>
                <w:tcPr>
                  <w:tcW w:w="1325" w:type="dxa"/>
                  <w:vAlign w:val="center"/>
                </w:tcPr>
                <w:p w14:paraId="0A971D80">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吹膜机ABC</w:t>
                  </w:r>
                </w:p>
              </w:tc>
              <w:tc>
                <w:tcPr>
                  <w:tcW w:w="1202" w:type="dxa"/>
                  <w:vAlign w:val="center"/>
                </w:tcPr>
                <w:p w14:paraId="4AF6B72D">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PE</w:t>
                  </w:r>
                </w:p>
              </w:tc>
              <w:tc>
                <w:tcPr>
                  <w:tcW w:w="855" w:type="dxa"/>
                  <w:vAlign w:val="center"/>
                </w:tcPr>
                <w:p w14:paraId="08169CCF">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3700</w:t>
                  </w:r>
                </w:p>
              </w:tc>
              <w:tc>
                <w:tcPr>
                  <w:tcW w:w="2789" w:type="dxa"/>
                  <w:vAlign w:val="center"/>
                </w:tcPr>
                <w:p w14:paraId="2EC29CE7">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m:oMathPara>
                    <m:oMath>
                      <m:r>
                        <m:rPr>
                          <m:nor/>
                          <m:sty m:val="p"/>
                        </m:rPr>
                        <w:rPr>
                          <w:rFonts w:hint="default" w:ascii="Times New Roman" w:hAnsi="Times New Roman" w:eastAsia="宋体" w:cs="Times New Roman"/>
                          <w:b w:val="0"/>
                          <w:i w:val="0"/>
                          <w:szCs w:val="21"/>
                          <w:vertAlign w:val="baseline"/>
                          <w:lang w:val="en-US" w:eastAsia="zh-CN" w:bidi="en-US"/>
                        </w:rPr>
                        <m:t>3700</m:t>
                      </m:r>
                      <m:r>
                        <m:rPr>
                          <m:nor/>
                          <m:sty m:val="p"/>
                        </m:rPr>
                        <w:rPr>
                          <w:rFonts w:hint="default" w:ascii="Times New Roman" w:hAnsi="Times New Roman" w:cs="Times New Roman"/>
                          <w:b w:val="0"/>
                          <w:i w:val="0"/>
                          <w:szCs w:val="21"/>
                          <w:vertAlign w:val="baseline"/>
                          <w:lang w:val="en-US" w:bidi="en-US"/>
                        </w:rPr>
                        <m:t>×</m:t>
                      </m:r>
                      <m:r>
                        <m:rPr>
                          <m:nor/>
                          <m:sty m:val="p"/>
                        </m:rPr>
                        <w:rPr>
                          <w:rFonts w:hint="default" w:ascii="Times New Roman" w:hAnsi="Times New Roman" w:eastAsia="宋体" w:cs="Times New Roman"/>
                          <w:b w:val="0"/>
                          <w:i w:val="0"/>
                          <w:szCs w:val="21"/>
                          <w:vertAlign w:val="baseline"/>
                          <w:lang w:val="en-US" w:eastAsia="zh-CN" w:bidi="en-US"/>
                        </w:rPr>
                        <m:t>1</m:t>
                      </m:r>
                      <m:r>
                        <m:rPr>
                          <m:nor/>
                          <m:sty m:val="p"/>
                        </m:rPr>
                        <w:rPr>
                          <w:rFonts w:hint="default" w:ascii="Times New Roman" w:hAnsi="Times New Roman" w:cs="Times New Roman"/>
                          <w:b w:val="0"/>
                          <w:i w:val="0"/>
                          <w:szCs w:val="21"/>
                          <w:vertAlign w:val="baseline"/>
                          <w:lang w:val="en-US" w:bidi="en-US"/>
                        </w:rPr>
                        <m:t>×</m:t>
                      </m:r>
                      <m:r>
                        <m:rPr>
                          <m:nor/>
                          <m:sty m:val="p"/>
                        </m:rPr>
                        <w:rPr>
                          <w:rFonts w:hint="default" w:ascii="Times New Roman" w:hAnsi="Times New Roman" w:eastAsia="宋体" w:cs="Times New Roman"/>
                          <w:b w:val="0"/>
                          <w:i w:val="0"/>
                          <w:szCs w:val="21"/>
                          <w:vertAlign w:val="baseline"/>
                          <w:lang w:val="en-US" w:eastAsia="zh-CN" w:bidi="en-US"/>
                        </w:rPr>
                        <m:t>1</m:t>
                      </m:r>
                      <m:r>
                        <m:rPr>
                          <m:nor/>
                          <m:sty m:val="p"/>
                        </m:rPr>
                        <w:rPr>
                          <w:rFonts w:hint="default" w:ascii="Times New Roman" w:hAnsi="Times New Roman" w:cs="Times New Roman"/>
                          <w:b w:val="0"/>
                          <w:i w:val="0"/>
                          <w:szCs w:val="21"/>
                          <w:vertAlign w:val="baseline"/>
                          <w:lang w:val="en-US" w:bidi="en-US"/>
                        </w:rPr>
                        <m:t>=</m:t>
                      </m:r>
                      <m:r>
                        <m:rPr>
                          <m:nor/>
                          <m:sty m:val="p"/>
                        </m:rPr>
                        <w:rPr>
                          <w:rFonts w:hint="default" w:ascii="Times New Roman" w:hAnsi="Times New Roman" w:eastAsia="宋体" w:cs="Times New Roman"/>
                          <w:b w:val="0"/>
                          <w:i w:val="0"/>
                          <w:szCs w:val="21"/>
                          <w:vertAlign w:val="baseline"/>
                          <w:lang w:val="en-US" w:eastAsia="zh-CN" w:bidi="en-US"/>
                        </w:rPr>
                        <m:t>3700</m:t>
                      </m:r>
                    </m:oMath>
                  </m:oMathPara>
                </w:p>
              </w:tc>
            </w:tr>
            <w:tr w14:paraId="57DB1F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Merge w:val="continue"/>
                  <w:vAlign w:val="center"/>
                </w:tcPr>
                <w:p w14:paraId="06CCEE2C">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p>
              </w:tc>
              <w:tc>
                <w:tcPr>
                  <w:tcW w:w="1165" w:type="dxa"/>
                  <w:vMerge w:val="restart"/>
                  <w:vAlign w:val="center"/>
                </w:tcPr>
                <w:p w14:paraId="29B20334">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印刷废气</w:t>
                  </w:r>
                </w:p>
              </w:tc>
              <w:tc>
                <w:tcPr>
                  <w:tcW w:w="1325" w:type="dxa"/>
                  <w:vMerge w:val="restart"/>
                  <w:vAlign w:val="center"/>
                </w:tcPr>
                <w:p w14:paraId="358F5C99">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配制间A、印刷机A</w:t>
                  </w:r>
                </w:p>
              </w:tc>
              <w:tc>
                <w:tcPr>
                  <w:tcW w:w="1202" w:type="dxa"/>
                  <w:vAlign w:val="center"/>
                </w:tcPr>
                <w:p w14:paraId="34127B7A">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水性油墨</w:t>
                  </w:r>
                </w:p>
              </w:tc>
              <w:tc>
                <w:tcPr>
                  <w:tcW w:w="855" w:type="dxa"/>
                  <w:vAlign w:val="center"/>
                </w:tcPr>
                <w:p w14:paraId="718DBED9">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7.727</w:t>
                  </w:r>
                </w:p>
              </w:tc>
              <w:tc>
                <w:tcPr>
                  <w:tcW w:w="2789" w:type="dxa"/>
                  <w:vAlign w:val="center"/>
                </w:tcPr>
                <w:p w14:paraId="4A42E193">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m:oMathPara>
                    <m:oMath>
                      <m:r>
                        <m:rPr>
                          <m:nor/>
                          <m:sty m:val="p"/>
                        </m:rPr>
                        <w:rPr>
                          <w:rFonts w:hint="default" w:ascii="Times New Roman" w:hAnsi="Times New Roman" w:eastAsia="宋体" w:cs="Times New Roman"/>
                          <w:b w:val="0"/>
                          <w:i w:val="0"/>
                          <w:szCs w:val="21"/>
                          <w:vertAlign w:val="baseline"/>
                          <w:lang w:val="en-US" w:eastAsia="zh-CN" w:bidi="en-US"/>
                        </w:rPr>
                        <m:t>23.182</m:t>
                      </m:r>
                      <m:r>
                        <m:rPr>
                          <m:nor/>
                          <m:sty m:val="p"/>
                        </m:rPr>
                        <w:rPr>
                          <w:rFonts w:hint="default" w:ascii="Times New Roman" w:hAnsi="Times New Roman" w:cs="Times New Roman"/>
                          <w:b w:val="0"/>
                          <w:i w:val="0"/>
                          <w:szCs w:val="21"/>
                          <w:vertAlign w:val="baseline"/>
                          <w:lang w:val="en-US" w:bidi="en-US"/>
                        </w:rPr>
                        <m:t>×</m:t>
                      </m:r>
                      <m:r>
                        <m:rPr>
                          <m:nor/>
                          <m:sty m:val="p"/>
                        </m:rPr>
                        <w:rPr>
                          <w:rFonts w:hint="default" w:ascii="Times New Roman" w:hAnsi="Times New Roman" w:eastAsia="宋体" w:cs="Times New Roman"/>
                          <w:b w:val="0"/>
                          <w:i w:val="0"/>
                          <w:szCs w:val="21"/>
                          <w:vertAlign w:val="baseline"/>
                          <w:lang w:val="en-US" w:eastAsia="zh-CN" w:bidi="en-US"/>
                        </w:rPr>
                        <m:t>1</m:t>
                      </m:r>
                      <m:r>
                        <m:rPr>
                          <m:nor/>
                          <m:sty m:val="p"/>
                        </m:rPr>
                        <w:rPr>
                          <w:rFonts w:hint="default" w:ascii="Times New Roman" w:hAnsi="Times New Roman" w:cs="Times New Roman"/>
                          <w:b w:val="0"/>
                          <w:i w:val="0"/>
                          <w:szCs w:val="21"/>
                          <w:vertAlign w:val="baseline"/>
                          <w:lang w:val="en-US" w:bidi="en-US"/>
                        </w:rPr>
                        <m:t>×</m:t>
                      </m:r>
                      <m:f>
                        <m:fPr>
                          <m:ctrlPr>
                            <w:rPr>
                              <w:rFonts w:hint="default" w:ascii="Cambria Math" w:hAnsi="Cambria Math" w:cs="Times New Roman"/>
                              <w:i/>
                              <w:szCs w:val="21"/>
                              <w:vertAlign w:val="baseline"/>
                              <w:lang w:val="en-US" w:bidi="en-US"/>
                            </w:rPr>
                          </m:ctrlPr>
                        </m:fPr>
                        <m:num>
                          <m:r>
                            <m:rPr>
                              <m:nor/>
                              <m:sty m:val="p"/>
                            </m:rPr>
                            <w:rPr>
                              <w:rFonts w:hint="default" w:ascii="Times New Roman" w:hAnsi="Times New Roman" w:eastAsia="宋体" w:cs="Times New Roman"/>
                              <w:b w:val="0"/>
                              <w:i w:val="0"/>
                              <w:szCs w:val="21"/>
                              <w:vertAlign w:val="baseline"/>
                              <w:lang w:val="en-US" w:eastAsia="zh-CN" w:bidi="en-US"/>
                            </w:rPr>
                            <m:t>1</m:t>
                          </m:r>
                          <m:ctrlPr>
                            <w:rPr>
                              <w:rFonts w:hint="default" w:ascii="Cambria Math" w:hAnsi="Cambria Math" w:cs="Times New Roman"/>
                              <w:i/>
                              <w:szCs w:val="21"/>
                              <w:vertAlign w:val="baseline"/>
                              <w:lang w:val="en-US" w:bidi="en-US"/>
                            </w:rPr>
                          </m:ctrlPr>
                        </m:num>
                        <m:den>
                          <m:r>
                            <m:rPr>
                              <m:nor/>
                              <m:sty m:val="p"/>
                            </m:rPr>
                            <w:rPr>
                              <w:rFonts w:hint="default" w:ascii="Times New Roman" w:hAnsi="Times New Roman" w:eastAsia="宋体" w:cs="Times New Roman"/>
                              <w:b w:val="0"/>
                              <w:i w:val="0"/>
                              <w:szCs w:val="21"/>
                              <w:vertAlign w:val="baseline"/>
                              <w:lang w:val="en-US" w:eastAsia="zh-CN" w:bidi="en-US"/>
                            </w:rPr>
                            <m:t>3</m:t>
                          </m:r>
                          <m:ctrlPr>
                            <w:rPr>
                              <w:rFonts w:hint="default" w:ascii="Cambria Math" w:hAnsi="Cambria Math" w:cs="Times New Roman"/>
                              <w:i/>
                              <w:szCs w:val="21"/>
                              <w:vertAlign w:val="baseline"/>
                              <w:lang w:val="en-US" w:bidi="en-US"/>
                            </w:rPr>
                          </m:ctrlPr>
                        </m:den>
                      </m:f>
                      <m:r>
                        <m:rPr>
                          <m:nor/>
                          <m:sty m:val="p"/>
                        </m:rPr>
                        <w:rPr>
                          <w:rFonts w:hint="default" w:ascii="Times New Roman" w:hAnsi="Times New Roman" w:cs="Times New Roman"/>
                          <w:b w:val="0"/>
                          <w:i w:val="0"/>
                          <w:szCs w:val="21"/>
                          <w:vertAlign w:val="baseline"/>
                          <w:lang w:val="en-US" w:bidi="en-US"/>
                        </w:rPr>
                        <m:t>=</m:t>
                      </m:r>
                      <m:r>
                        <m:rPr>
                          <m:nor/>
                          <m:sty m:val="p"/>
                        </m:rPr>
                        <w:rPr>
                          <w:rFonts w:hint="default" w:ascii="Times New Roman" w:hAnsi="Times New Roman" w:eastAsia="宋体" w:cs="Times New Roman"/>
                          <w:b w:val="0"/>
                          <w:i w:val="0"/>
                          <w:szCs w:val="21"/>
                          <w:vertAlign w:val="baseline"/>
                          <w:lang w:val="en-US" w:eastAsia="zh-CN" w:bidi="en-US"/>
                        </w:rPr>
                        <m:t>7.727</m:t>
                      </m:r>
                    </m:oMath>
                  </m:oMathPara>
                </w:p>
              </w:tc>
            </w:tr>
            <w:tr w14:paraId="1FD98E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 w:hRule="atLeast"/>
                <w:jc w:val="center"/>
              </w:trPr>
              <w:tc>
                <w:tcPr>
                  <w:tcW w:w="852" w:type="dxa"/>
                  <w:vMerge w:val="continue"/>
                  <w:vAlign w:val="center"/>
                </w:tcPr>
                <w:p w14:paraId="64CD3DB3">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p>
              </w:tc>
              <w:tc>
                <w:tcPr>
                  <w:tcW w:w="1165" w:type="dxa"/>
                  <w:vMerge w:val="continue"/>
                  <w:vAlign w:val="center"/>
                </w:tcPr>
                <w:p w14:paraId="6F5649BE">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p>
              </w:tc>
              <w:tc>
                <w:tcPr>
                  <w:tcW w:w="1325" w:type="dxa"/>
                  <w:vMerge w:val="continue"/>
                  <w:vAlign w:val="center"/>
                </w:tcPr>
                <w:p w14:paraId="1D3454BA">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p>
              </w:tc>
              <w:tc>
                <w:tcPr>
                  <w:tcW w:w="1202" w:type="dxa"/>
                  <w:vAlign w:val="center"/>
                </w:tcPr>
                <w:p w14:paraId="3C4159BD">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无水乙醇</w:t>
                  </w:r>
                </w:p>
              </w:tc>
              <w:tc>
                <w:tcPr>
                  <w:tcW w:w="855" w:type="dxa"/>
                  <w:vAlign w:val="center"/>
                </w:tcPr>
                <w:p w14:paraId="502808B2">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0.258</w:t>
                  </w:r>
                </w:p>
              </w:tc>
              <w:tc>
                <w:tcPr>
                  <w:tcW w:w="2789" w:type="dxa"/>
                  <w:vAlign w:val="center"/>
                </w:tcPr>
                <w:p w14:paraId="201212FE">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m:oMathPara>
                    <m:oMath>
                      <m:r>
                        <m:rPr>
                          <m:nor/>
                          <m:sty m:val="p"/>
                        </m:rPr>
                        <w:rPr>
                          <w:rFonts w:hint="default" w:ascii="Times New Roman" w:hAnsi="Times New Roman" w:eastAsia="宋体" w:cs="Times New Roman"/>
                          <w:b w:val="0"/>
                          <w:i w:val="0"/>
                          <w:szCs w:val="21"/>
                          <w:vertAlign w:val="baseline"/>
                          <w:lang w:val="en-US" w:eastAsia="zh-CN" w:bidi="en-US"/>
                        </w:rPr>
                        <m:t>0.773</m:t>
                      </m:r>
                      <m:r>
                        <m:rPr>
                          <m:nor/>
                          <m:sty m:val="p"/>
                        </m:rPr>
                        <w:rPr>
                          <w:rFonts w:hint="default" w:ascii="Times New Roman" w:hAnsi="Times New Roman" w:cs="Times New Roman"/>
                          <w:b w:val="0"/>
                          <w:i w:val="0"/>
                          <w:szCs w:val="21"/>
                          <w:vertAlign w:val="baseline"/>
                          <w:lang w:val="en-US" w:bidi="en-US"/>
                        </w:rPr>
                        <m:t>×</m:t>
                      </m:r>
                      <m:r>
                        <m:rPr>
                          <m:nor/>
                          <m:sty m:val="p"/>
                        </m:rPr>
                        <w:rPr>
                          <w:rFonts w:hint="default" w:ascii="Times New Roman" w:hAnsi="Times New Roman" w:eastAsia="宋体" w:cs="Times New Roman"/>
                          <w:b w:val="0"/>
                          <w:i w:val="0"/>
                          <w:szCs w:val="21"/>
                          <w:vertAlign w:val="baseline"/>
                          <w:lang w:val="en-US" w:eastAsia="zh-CN" w:bidi="en-US"/>
                        </w:rPr>
                        <m:t>1</m:t>
                      </m:r>
                      <m:r>
                        <m:rPr>
                          <m:nor/>
                          <m:sty m:val="p"/>
                        </m:rPr>
                        <w:rPr>
                          <w:rFonts w:hint="default" w:ascii="Times New Roman" w:hAnsi="Times New Roman" w:cs="Times New Roman"/>
                          <w:b w:val="0"/>
                          <w:i w:val="0"/>
                          <w:szCs w:val="21"/>
                          <w:vertAlign w:val="baseline"/>
                          <w:lang w:val="en-US" w:bidi="en-US"/>
                        </w:rPr>
                        <m:t>×</m:t>
                      </m:r>
                      <m:f>
                        <m:fPr>
                          <m:ctrlPr>
                            <w:rPr>
                              <w:rFonts w:hint="default" w:ascii="Cambria Math" w:hAnsi="Cambria Math" w:cs="Times New Roman"/>
                              <w:i/>
                              <w:szCs w:val="21"/>
                              <w:vertAlign w:val="baseline"/>
                              <w:lang w:val="en-US" w:bidi="en-US"/>
                            </w:rPr>
                          </m:ctrlPr>
                        </m:fPr>
                        <m:num>
                          <m:r>
                            <m:rPr>
                              <m:nor/>
                              <m:sty m:val="p"/>
                            </m:rPr>
                            <w:rPr>
                              <w:rFonts w:hint="default" w:ascii="Times New Roman" w:hAnsi="Times New Roman" w:eastAsia="宋体" w:cs="Times New Roman"/>
                              <w:b w:val="0"/>
                              <w:i w:val="0"/>
                              <w:szCs w:val="21"/>
                              <w:vertAlign w:val="baseline"/>
                              <w:lang w:val="en-US" w:eastAsia="zh-CN" w:bidi="en-US"/>
                            </w:rPr>
                            <m:t>1</m:t>
                          </m:r>
                          <m:ctrlPr>
                            <w:rPr>
                              <w:rFonts w:hint="default" w:ascii="Cambria Math" w:hAnsi="Cambria Math" w:cs="Times New Roman"/>
                              <w:i/>
                              <w:szCs w:val="21"/>
                              <w:vertAlign w:val="baseline"/>
                              <w:lang w:val="en-US" w:bidi="en-US"/>
                            </w:rPr>
                          </m:ctrlPr>
                        </m:num>
                        <m:den>
                          <m:r>
                            <m:rPr>
                              <m:nor/>
                              <m:sty m:val="p"/>
                            </m:rPr>
                            <w:rPr>
                              <w:rFonts w:hint="default" w:ascii="Times New Roman" w:hAnsi="Times New Roman" w:eastAsia="宋体" w:cs="Times New Roman"/>
                              <w:b w:val="0"/>
                              <w:i w:val="0"/>
                              <w:szCs w:val="21"/>
                              <w:vertAlign w:val="baseline"/>
                              <w:lang w:val="en-US" w:eastAsia="zh-CN" w:bidi="en-US"/>
                            </w:rPr>
                            <m:t>3</m:t>
                          </m:r>
                          <m:ctrlPr>
                            <w:rPr>
                              <w:rFonts w:hint="default" w:ascii="Cambria Math" w:hAnsi="Cambria Math" w:cs="Times New Roman"/>
                              <w:i/>
                              <w:szCs w:val="21"/>
                              <w:vertAlign w:val="baseline"/>
                              <w:lang w:val="en-US" w:bidi="en-US"/>
                            </w:rPr>
                          </m:ctrlPr>
                        </m:den>
                      </m:f>
                      <m:r>
                        <m:rPr>
                          <m:nor/>
                          <m:sty m:val="p"/>
                        </m:rPr>
                        <w:rPr>
                          <w:rFonts w:hint="default" w:ascii="Times New Roman" w:hAnsi="Times New Roman" w:cs="Times New Roman"/>
                          <w:b w:val="0"/>
                          <w:i w:val="0"/>
                          <w:szCs w:val="21"/>
                          <w:vertAlign w:val="baseline"/>
                          <w:lang w:val="en-US" w:bidi="en-US"/>
                        </w:rPr>
                        <m:t>=</m:t>
                      </m:r>
                      <m:r>
                        <m:rPr>
                          <m:nor/>
                          <m:sty m:val="p"/>
                        </m:rPr>
                        <w:rPr>
                          <w:rFonts w:hint="default" w:ascii="Times New Roman" w:hAnsi="Times New Roman" w:eastAsia="宋体" w:cs="Times New Roman"/>
                          <w:b w:val="0"/>
                          <w:i w:val="0"/>
                          <w:szCs w:val="21"/>
                          <w:vertAlign w:val="baseline"/>
                          <w:lang w:val="en-US" w:eastAsia="zh-CN" w:bidi="en-US"/>
                        </w:rPr>
                        <m:t>0.258</m:t>
                      </m:r>
                    </m:oMath>
                  </m:oMathPara>
                </w:p>
              </w:tc>
            </w:tr>
            <w:tr w14:paraId="112060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Merge w:val="continue"/>
                  <w:vAlign w:val="center"/>
                </w:tcPr>
                <w:p w14:paraId="5DEC4252">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p>
              </w:tc>
              <w:tc>
                <w:tcPr>
                  <w:tcW w:w="1165" w:type="dxa"/>
                  <w:vMerge w:val="restart"/>
                  <w:vAlign w:val="center"/>
                </w:tcPr>
                <w:p w14:paraId="4D7EF80C">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复合工序废气</w:t>
                  </w:r>
                </w:p>
              </w:tc>
              <w:tc>
                <w:tcPr>
                  <w:tcW w:w="1325" w:type="dxa"/>
                  <w:vMerge w:val="restart"/>
                  <w:vAlign w:val="center"/>
                </w:tcPr>
                <w:p w14:paraId="6B52D491">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复合机AC</w:t>
                  </w:r>
                </w:p>
              </w:tc>
              <w:tc>
                <w:tcPr>
                  <w:tcW w:w="1202" w:type="dxa"/>
                  <w:vAlign w:val="center"/>
                </w:tcPr>
                <w:p w14:paraId="418B0338">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PE+PET</w:t>
                  </w:r>
                </w:p>
              </w:tc>
              <w:tc>
                <w:tcPr>
                  <w:tcW w:w="855" w:type="dxa"/>
                  <w:vAlign w:val="center"/>
                </w:tcPr>
                <w:p w14:paraId="4FF9D590">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2181</w:t>
                  </w:r>
                </w:p>
              </w:tc>
              <w:tc>
                <w:tcPr>
                  <w:tcW w:w="2789" w:type="dxa"/>
                  <w:vAlign w:val="center"/>
                </w:tcPr>
                <w:p w14:paraId="02C4820A">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m:oMathPara>
                    <m:oMath>
                      <m:r>
                        <m:rPr>
                          <m:nor/>
                          <m:sty m:val="p"/>
                        </m:rPr>
                        <w:rPr>
                          <w:rFonts w:hint="default" w:ascii="Times New Roman" w:hAnsi="Times New Roman" w:eastAsia="宋体" w:cs="Times New Roman"/>
                          <w:b w:val="0"/>
                          <w:i w:val="0"/>
                          <w:szCs w:val="21"/>
                          <w:vertAlign w:val="baseline"/>
                          <w:lang w:val="en-US" w:eastAsia="zh-CN" w:bidi="en-US"/>
                        </w:rPr>
                        <m:t>（3700+600）</m:t>
                      </m:r>
                      <m:r>
                        <m:rPr>
                          <m:nor/>
                          <m:sty m:val="p"/>
                        </m:rPr>
                        <w:rPr>
                          <w:rFonts w:hint="default" w:ascii="Times New Roman" w:hAnsi="Times New Roman" w:cs="Times New Roman"/>
                          <w:b w:val="0"/>
                          <w:i w:val="0"/>
                          <w:szCs w:val="21"/>
                          <w:vertAlign w:val="baseline"/>
                          <w:lang w:val="en-US" w:bidi="en-US"/>
                        </w:rPr>
                        <m:t>×</m:t>
                      </m:r>
                      <m:f>
                        <m:fPr>
                          <m:ctrlPr>
                            <w:rPr>
                              <w:rFonts w:hint="default" w:ascii="Cambria Math" w:hAnsi="Cambria Math" w:cs="Times New Roman"/>
                              <w:i/>
                              <w:szCs w:val="21"/>
                              <w:vertAlign w:val="baseline"/>
                              <w:lang w:val="en-US" w:bidi="en-US"/>
                            </w:rPr>
                          </m:ctrlPr>
                        </m:fPr>
                        <m:num>
                          <m:r>
                            <m:rPr>
                              <m:nor/>
                              <m:sty m:val="p"/>
                            </m:rPr>
                            <w:rPr>
                              <w:rFonts w:hint="default" w:ascii="Times New Roman" w:hAnsi="Times New Roman" w:eastAsia="宋体" w:cs="Times New Roman"/>
                              <w:b w:val="0"/>
                              <w:i w:val="0"/>
                              <w:szCs w:val="21"/>
                              <w:vertAlign w:val="baseline"/>
                              <w:lang w:val="en-US" w:eastAsia="zh-CN" w:bidi="en-US"/>
                            </w:rPr>
                            <m:t>35</m:t>
                          </m:r>
                          <m:ctrlPr>
                            <w:rPr>
                              <w:rFonts w:hint="default" w:ascii="Cambria Math" w:hAnsi="Cambria Math" w:cs="Times New Roman"/>
                              <w:i/>
                              <w:szCs w:val="21"/>
                              <w:vertAlign w:val="baseline"/>
                              <w:lang w:val="en-US" w:bidi="en-US"/>
                            </w:rPr>
                          </m:ctrlPr>
                        </m:num>
                        <m:den>
                          <m:r>
                            <m:rPr>
                              <m:nor/>
                              <m:sty m:val="p"/>
                            </m:rPr>
                            <w:rPr>
                              <w:rFonts w:hint="default" w:ascii="Times New Roman" w:hAnsi="Times New Roman" w:eastAsia="宋体" w:cs="Times New Roman"/>
                              <w:b w:val="0"/>
                              <w:i w:val="0"/>
                              <w:szCs w:val="21"/>
                              <w:vertAlign w:val="baseline"/>
                              <w:lang w:val="en-US" w:eastAsia="zh-CN" w:bidi="en-US"/>
                            </w:rPr>
                            <m:t>46</m:t>
                          </m:r>
                          <m:ctrlPr>
                            <w:rPr>
                              <w:rFonts w:hint="default" w:ascii="Cambria Math" w:hAnsi="Cambria Math" w:cs="Times New Roman"/>
                              <w:i/>
                              <w:szCs w:val="21"/>
                              <w:vertAlign w:val="baseline"/>
                              <w:lang w:val="en-US" w:bidi="en-US"/>
                            </w:rPr>
                          </m:ctrlPr>
                        </m:den>
                      </m:f>
                      <m:r>
                        <m:rPr>
                          <m:nor/>
                          <m:sty m:val="p"/>
                        </m:rPr>
                        <w:rPr>
                          <w:rFonts w:hint="default" w:ascii="Times New Roman" w:hAnsi="Times New Roman" w:cs="Times New Roman"/>
                          <w:b w:val="0"/>
                          <w:i w:val="0"/>
                          <w:szCs w:val="21"/>
                          <w:vertAlign w:val="baseline"/>
                          <w:lang w:val="en-US" w:bidi="en-US"/>
                        </w:rPr>
                        <m:t>×</m:t>
                      </m:r>
                      <m:f>
                        <m:fPr>
                          <m:ctrlPr>
                            <w:rPr>
                              <w:rFonts w:hint="default" w:ascii="Cambria Math" w:hAnsi="Cambria Math" w:cs="Times New Roman"/>
                              <w:i/>
                              <w:szCs w:val="21"/>
                              <w:vertAlign w:val="baseline"/>
                              <w:lang w:val="en-US" w:bidi="en-US"/>
                            </w:rPr>
                          </m:ctrlPr>
                        </m:fPr>
                        <m:num>
                          <m:r>
                            <m:rPr>
                              <m:nor/>
                              <m:sty m:val="p"/>
                            </m:rPr>
                            <w:rPr>
                              <w:rFonts w:hint="default" w:ascii="Times New Roman" w:hAnsi="Times New Roman" w:eastAsia="宋体" w:cs="Times New Roman"/>
                              <w:b w:val="0"/>
                              <w:i w:val="0"/>
                              <w:szCs w:val="21"/>
                              <w:vertAlign w:val="baseline"/>
                              <w:lang w:val="en-US" w:eastAsia="zh-CN" w:bidi="en-US"/>
                            </w:rPr>
                            <m:t>2</m:t>
                          </m:r>
                          <m:ctrlPr>
                            <w:rPr>
                              <w:rFonts w:hint="default" w:ascii="Cambria Math" w:hAnsi="Cambria Math" w:cs="Times New Roman"/>
                              <w:i/>
                              <w:szCs w:val="21"/>
                              <w:vertAlign w:val="baseline"/>
                              <w:lang w:val="en-US" w:bidi="en-US"/>
                            </w:rPr>
                          </m:ctrlPr>
                        </m:num>
                        <m:den>
                          <m:r>
                            <m:rPr>
                              <m:nor/>
                              <m:sty m:val="p"/>
                            </m:rPr>
                            <w:rPr>
                              <w:rFonts w:hint="default" w:ascii="Times New Roman" w:hAnsi="Times New Roman" w:eastAsia="宋体" w:cs="Times New Roman"/>
                              <w:b w:val="0"/>
                              <w:i w:val="0"/>
                              <w:szCs w:val="21"/>
                              <w:vertAlign w:val="baseline"/>
                              <w:lang w:val="en-US" w:eastAsia="zh-CN" w:bidi="en-US"/>
                            </w:rPr>
                            <m:t>3</m:t>
                          </m:r>
                          <m:ctrlPr>
                            <w:rPr>
                              <w:rFonts w:hint="default" w:ascii="Cambria Math" w:hAnsi="Cambria Math" w:cs="Times New Roman"/>
                              <w:i/>
                              <w:szCs w:val="21"/>
                              <w:vertAlign w:val="baseline"/>
                              <w:lang w:val="en-US" w:bidi="en-US"/>
                            </w:rPr>
                          </m:ctrlPr>
                        </m:den>
                      </m:f>
                      <m:r>
                        <m:rPr>
                          <m:nor/>
                          <m:sty m:val="p"/>
                        </m:rPr>
                        <w:rPr>
                          <w:rFonts w:hint="default" w:ascii="Times New Roman" w:hAnsi="Times New Roman" w:cs="Times New Roman"/>
                          <w:b w:val="0"/>
                          <w:i w:val="0"/>
                          <w:szCs w:val="21"/>
                          <w:vertAlign w:val="baseline"/>
                          <w:lang w:val="en-US" w:bidi="en-US"/>
                        </w:rPr>
                        <m:t>=</m:t>
                      </m:r>
                      <m:r>
                        <m:rPr>
                          <m:nor/>
                          <m:sty m:val="p"/>
                        </m:rPr>
                        <w:rPr>
                          <w:rFonts w:hint="default" w:ascii="Times New Roman" w:hAnsi="Times New Roman" w:eastAsia="宋体" w:cs="Times New Roman"/>
                          <w:b w:val="0"/>
                          <w:i w:val="0"/>
                          <w:szCs w:val="21"/>
                          <w:vertAlign w:val="baseline"/>
                          <w:lang w:val="en-US" w:eastAsia="zh-CN" w:bidi="en-US"/>
                        </w:rPr>
                        <m:t>2181</m:t>
                      </m:r>
                    </m:oMath>
                  </m:oMathPara>
                </w:p>
              </w:tc>
            </w:tr>
            <w:tr w14:paraId="6C8A21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 w:hRule="atLeast"/>
                <w:jc w:val="center"/>
              </w:trPr>
              <w:tc>
                <w:tcPr>
                  <w:tcW w:w="852" w:type="dxa"/>
                  <w:vMerge w:val="continue"/>
                  <w:vAlign w:val="center"/>
                </w:tcPr>
                <w:p w14:paraId="4404C4BE">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p>
              </w:tc>
              <w:tc>
                <w:tcPr>
                  <w:tcW w:w="1165" w:type="dxa"/>
                  <w:vMerge w:val="continue"/>
                  <w:vAlign w:val="center"/>
                </w:tcPr>
                <w:p w14:paraId="066F4993">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p>
              </w:tc>
              <w:tc>
                <w:tcPr>
                  <w:tcW w:w="1325" w:type="dxa"/>
                  <w:vMerge w:val="continue"/>
                  <w:vAlign w:val="center"/>
                </w:tcPr>
                <w:p w14:paraId="73262545">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p>
              </w:tc>
              <w:tc>
                <w:tcPr>
                  <w:tcW w:w="1202" w:type="dxa"/>
                  <w:vAlign w:val="center"/>
                </w:tcPr>
                <w:p w14:paraId="5826F0C3">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胶粘剂</w:t>
                  </w:r>
                </w:p>
              </w:tc>
              <w:tc>
                <w:tcPr>
                  <w:tcW w:w="855" w:type="dxa"/>
                  <w:vAlign w:val="center"/>
                </w:tcPr>
                <w:p w14:paraId="6EF9B843">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1.522</w:t>
                  </w:r>
                </w:p>
              </w:tc>
              <w:tc>
                <w:tcPr>
                  <w:tcW w:w="2789" w:type="dxa"/>
                  <w:vAlign w:val="center"/>
                </w:tcPr>
                <w:p w14:paraId="115535A8">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m:oMathPara>
                    <m:oMath>
                      <m:r>
                        <m:rPr>
                          <m:nor/>
                          <m:sty m:val="p"/>
                        </m:rPr>
                        <w:rPr>
                          <w:rFonts w:hint="default" w:ascii="Times New Roman" w:hAnsi="Times New Roman" w:eastAsia="宋体" w:cs="Times New Roman"/>
                          <w:b w:val="0"/>
                          <w:i w:val="0"/>
                          <w:szCs w:val="21"/>
                          <w:vertAlign w:val="baseline"/>
                          <w:lang w:val="en-US" w:eastAsia="zh-CN" w:bidi="en-US"/>
                        </w:rPr>
                        <m:t>2.283</m:t>
                      </m:r>
                      <m:r>
                        <m:rPr>
                          <m:nor/>
                          <m:sty m:val="p"/>
                        </m:rPr>
                        <w:rPr>
                          <w:rFonts w:hint="default" w:ascii="Times New Roman" w:hAnsi="Times New Roman" w:cs="Times New Roman"/>
                          <w:b w:val="0"/>
                          <w:i w:val="0"/>
                          <w:szCs w:val="21"/>
                          <w:vertAlign w:val="baseline"/>
                          <w:lang w:val="en-US" w:bidi="en-US"/>
                        </w:rPr>
                        <m:t>×</m:t>
                      </m:r>
                      <m:r>
                        <m:rPr>
                          <m:nor/>
                          <m:sty m:val="p"/>
                        </m:rPr>
                        <w:rPr>
                          <w:rFonts w:hint="default" w:ascii="Times New Roman" w:hAnsi="Times New Roman" w:eastAsia="宋体" w:cs="Times New Roman"/>
                          <w:b w:val="0"/>
                          <w:i w:val="0"/>
                          <w:szCs w:val="21"/>
                          <w:vertAlign w:val="baseline"/>
                          <w:lang w:val="en-US" w:eastAsia="zh-CN" w:bidi="en-US"/>
                        </w:rPr>
                        <m:t>1</m:t>
                      </m:r>
                      <m:r>
                        <m:rPr>
                          <m:nor/>
                          <m:sty m:val="p"/>
                        </m:rPr>
                        <w:rPr>
                          <w:rFonts w:hint="default" w:ascii="Times New Roman" w:hAnsi="Times New Roman" w:cs="Times New Roman"/>
                          <w:b w:val="0"/>
                          <w:i w:val="0"/>
                          <w:szCs w:val="21"/>
                          <w:vertAlign w:val="baseline"/>
                          <w:lang w:val="en-US" w:bidi="en-US"/>
                        </w:rPr>
                        <m:t>×</m:t>
                      </m:r>
                      <m:f>
                        <m:fPr>
                          <m:ctrlPr>
                            <w:rPr>
                              <w:rFonts w:hint="default" w:ascii="Cambria Math" w:hAnsi="Cambria Math" w:cs="Times New Roman"/>
                              <w:i/>
                              <w:szCs w:val="21"/>
                              <w:vertAlign w:val="baseline"/>
                              <w:lang w:val="en-US" w:bidi="en-US"/>
                            </w:rPr>
                          </m:ctrlPr>
                        </m:fPr>
                        <m:num>
                          <m:r>
                            <m:rPr>
                              <m:nor/>
                              <m:sty m:val="p"/>
                            </m:rPr>
                            <w:rPr>
                              <w:rFonts w:hint="default" w:ascii="Times New Roman" w:hAnsi="Times New Roman" w:eastAsia="宋体" w:cs="Times New Roman"/>
                              <w:b w:val="0"/>
                              <w:i w:val="0"/>
                              <w:szCs w:val="21"/>
                              <w:vertAlign w:val="baseline"/>
                              <w:lang w:val="en-US" w:eastAsia="zh-CN" w:bidi="en-US"/>
                            </w:rPr>
                            <m:t>2</m:t>
                          </m:r>
                          <m:ctrlPr>
                            <w:rPr>
                              <w:rFonts w:hint="default" w:ascii="Cambria Math" w:hAnsi="Cambria Math" w:cs="Times New Roman"/>
                              <w:i/>
                              <w:szCs w:val="21"/>
                              <w:vertAlign w:val="baseline"/>
                              <w:lang w:val="en-US" w:bidi="en-US"/>
                            </w:rPr>
                          </m:ctrlPr>
                        </m:num>
                        <m:den>
                          <m:r>
                            <m:rPr>
                              <m:nor/>
                              <m:sty m:val="p"/>
                            </m:rPr>
                            <w:rPr>
                              <w:rFonts w:hint="default" w:ascii="Times New Roman" w:hAnsi="Times New Roman" w:eastAsia="宋体" w:cs="Times New Roman"/>
                              <w:b w:val="0"/>
                              <w:i w:val="0"/>
                              <w:szCs w:val="21"/>
                              <w:vertAlign w:val="baseline"/>
                              <w:lang w:val="en-US" w:eastAsia="zh-CN" w:bidi="en-US"/>
                            </w:rPr>
                            <m:t>3</m:t>
                          </m:r>
                          <m:ctrlPr>
                            <w:rPr>
                              <w:rFonts w:hint="default" w:ascii="Cambria Math" w:hAnsi="Cambria Math" w:cs="Times New Roman"/>
                              <w:i/>
                              <w:szCs w:val="21"/>
                              <w:vertAlign w:val="baseline"/>
                              <w:lang w:val="en-US" w:bidi="en-US"/>
                            </w:rPr>
                          </m:ctrlPr>
                        </m:den>
                      </m:f>
                      <m:r>
                        <m:rPr>
                          <m:nor/>
                          <m:sty m:val="p"/>
                        </m:rPr>
                        <w:rPr>
                          <w:rFonts w:hint="default" w:ascii="Times New Roman" w:hAnsi="Times New Roman" w:cs="Times New Roman"/>
                          <w:b w:val="0"/>
                          <w:i w:val="0"/>
                          <w:szCs w:val="21"/>
                          <w:vertAlign w:val="baseline"/>
                          <w:lang w:val="en-US" w:bidi="en-US"/>
                        </w:rPr>
                        <m:t>=</m:t>
                      </m:r>
                      <m:r>
                        <m:rPr>
                          <m:nor/>
                          <m:sty m:val="p"/>
                        </m:rPr>
                        <w:rPr>
                          <w:rFonts w:hint="default" w:ascii="Times New Roman" w:hAnsi="Times New Roman" w:eastAsia="宋体" w:cs="Times New Roman"/>
                          <w:b w:val="0"/>
                          <w:i w:val="0"/>
                          <w:szCs w:val="21"/>
                          <w:vertAlign w:val="baseline"/>
                          <w:lang w:val="en-US" w:eastAsia="zh-CN" w:bidi="en-US"/>
                        </w:rPr>
                        <m:t>1.522</m:t>
                      </m:r>
                    </m:oMath>
                  </m:oMathPara>
                </w:p>
              </w:tc>
            </w:tr>
            <w:tr w14:paraId="108EC2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Merge w:val="restart"/>
                  <w:vAlign w:val="center"/>
                </w:tcPr>
                <w:p w14:paraId="3907C157">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DA002</w:t>
                  </w:r>
                </w:p>
              </w:tc>
              <w:tc>
                <w:tcPr>
                  <w:tcW w:w="1165" w:type="dxa"/>
                  <w:vMerge w:val="restart"/>
                  <w:vAlign w:val="center"/>
                </w:tcPr>
                <w:p w14:paraId="2AA0357C">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印刷废气</w:t>
                  </w:r>
                </w:p>
              </w:tc>
              <w:tc>
                <w:tcPr>
                  <w:tcW w:w="1325" w:type="dxa"/>
                  <w:vMerge w:val="restart"/>
                  <w:vAlign w:val="center"/>
                </w:tcPr>
                <w:p w14:paraId="016BFA07">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配制间B、印刷机BC</w:t>
                  </w:r>
                </w:p>
              </w:tc>
              <w:tc>
                <w:tcPr>
                  <w:tcW w:w="1202" w:type="dxa"/>
                  <w:vAlign w:val="center"/>
                </w:tcPr>
                <w:p w14:paraId="197880E1">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水性油墨</w:t>
                  </w:r>
                </w:p>
              </w:tc>
              <w:tc>
                <w:tcPr>
                  <w:tcW w:w="855" w:type="dxa"/>
                  <w:vAlign w:val="center"/>
                </w:tcPr>
                <w:p w14:paraId="17975E11">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15.455</w:t>
                  </w:r>
                </w:p>
              </w:tc>
              <w:tc>
                <w:tcPr>
                  <w:tcW w:w="2789" w:type="dxa"/>
                  <w:vAlign w:val="center"/>
                </w:tcPr>
                <w:p w14:paraId="6F44A23B">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m:oMathPara>
                    <m:oMath>
                      <m:r>
                        <m:rPr>
                          <m:nor/>
                          <m:sty m:val="p"/>
                        </m:rPr>
                        <w:rPr>
                          <w:rFonts w:hint="default" w:ascii="Times New Roman" w:hAnsi="Times New Roman" w:eastAsia="宋体" w:cs="Times New Roman"/>
                          <w:b w:val="0"/>
                          <w:i w:val="0"/>
                          <w:szCs w:val="21"/>
                          <w:vertAlign w:val="baseline"/>
                          <w:lang w:val="en-US" w:eastAsia="zh-CN" w:bidi="en-US"/>
                        </w:rPr>
                        <m:t>23.182</m:t>
                      </m:r>
                      <m:r>
                        <m:rPr>
                          <m:nor/>
                          <m:sty m:val="p"/>
                        </m:rPr>
                        <w:rPr>
                          <w:rFonts w:hint="default" w:ascii="Times New Roman" w:hAnsi="Times New Roman" w:cs="Times New Roman"/>
                          <w:b w:val="0"/>
                          <w:i w:val="0"/>
                          <w:szCs w:val="21"/>
                          <w:vertAlign w:val="baseline"/>
                          <w:lang w:val="en-US" w:bidi="en-US"/>
                        </w:rPr>
                        <m:t>×</m:t>
                      </m:r>
                      <m:r>
                        <m:rPr>
                          <m:nor/>
                          <m:sty m:val="p"/>
                        </m:rPr>
                        <w:rPr>
                          <w:rFonts w:hint="default" w:ascii="Times New Roman" w:hAnsi="Times New Roman" w:eastAsia="宋体" w:cs="Times New Roman"/>
                          <w:b w:val="0"/>
                          <w:i w:val="0"/>
                          <w:szCs w:val="21"/>
                          <w:vertAlign w:val="baseline"/>
                          <w:lang w:val="en-US" w:eastAsia="zh-CN" w:bidi="en-US"/>
                        </w:rPr>
                        <m:t>1</m:t>
                      </m:r>
                      <m:r>
                        <m:rPr>
                          <m:nor/>
                          <m:sty m:val="p"/>
                        </m:rPr>
                        <w:rPr>
                          <w:rFonts w:hint="default" w:ascii="Times New Roman" w:hAnsi="Times New Roman" w:cs="Times New Roman"/>
                          <w:b w:val="0"/>
                          <w:i w:val="0"/>
                          <w:szCs w:val="21"/>
                          <w:vertAlign w:val="baseline"/>
                          <w:lang w:val="en-US" w:bidi="en-US"/>
                        </w:rPr>
                        <m:t>×</m:t>
                      </m:r>
                      <m:f>
                        <m:fPr>
                          <m:ctrlPr>
                            <w:rPr>
                              <w:rFonts w:hint="default" w:ascii="Cambria Math" w:hAnsi="Cambria Math" w:cs="Times New Roman"/>
                              <w:i/>
                              <w:szCs w:val="21"/>
                              <w:vertAlign w:val="baseline"/>
                              <w:lang w:val="en-US" w:bidi="en-US"/>
                            </w:rPr>
                          </m:ctrlPr>
                        </m:fPr>
                        <m:num>
                          <m:r>
                            <m:rPr>
                              <m:nor/>
                              <m:sty m:val="p"/>
                            </m:rPr>
                            <w:rPr>
                              <w:rFonts w:hint="default" w:ascii="Times New Roman" w:hAnsi="Times New Roman" w:eastAsia="宋体" w:cs="Times New Roman"/>
                              <w:b w:val="0"/>
                              <w:i w:val="0"/>
                              <w:szCs w:val="21"/>
                              <w:vertAlign w:val="baseline"/>
                              <w:lang w:val="en-US" w:eastAsia="zh-CN" w:bidi="en-US"/>
                            </w:rPr>
                            <m:t>2</m:t>
                          </m:r>
                          <m:ctrlPr>
                            <w:rPr>
                              <w:rFonts w:hint="default" w:ascii="Cambria Math" w:hAnsi="Cambria Math" w:cs="Times New Roman"/>
                              <w:i/>
                              <w:szCs w:val="21"/>
                              <w:vertAlign w:val="baseline"/>
                              <w:lang w:val="en-US" w:bidi="en-US"/>
                            </w:rPr>
                          </m:ctrlPr>
                        </m:num>
                        <m:den>
                          <m:r>
                            <m:rPr>
                              <m:nor/>
                              <m:sty m:val="p"/>
                            </m:rPr>
                            <w:rPr>
                              <w:rFonts w:hint="default" w:ascii="Times New Roman" w:hAnsi="Times New Roman" w:eastAsia="宋体" w:cs="Times New Roman"/>
                              <w:b w:val="0"/>
                              <w:i w:val="0"/>
                              <w:szCs w:val="21"/>
                              <w:vertAlign w:val="baseline"/>
                              <w:lang w:val="en-US" w:eastAsia="zh-CN" w:bidi="en-US"/>
                            </w:rPr>
                            <m:t>3</m:t>
                          </m:r>
                          <m:ctrlPr>
                            <w:rPr>
                              <w:rFonts w:hint="default" w:ascii="Cambria Math" w:hAnsi="Cambria Math" w:cs="Times New Roman"/>
                              <w:i/>
                              <w:szCs w:val="21"/>
                              <w:vertAlign w:val="baseline"/>
                              <w:lang w:val="en-US" w:bidi="en-US"/>
                            </w:rPr>
                          </m:ctrlPr>
                        </m:den>
                      </m:f>
                      <m:r>
                        <m:rPr>
                          <m:nor/>
                          <m:sty m:val="p"/>
                        </m:rPr>
                        <w:rPr>
                          <w:rFonts w:hint="default" w:ascii="Times New Roman" w:hAnsi="Times New Roman" w:cs="Times New Roman"/>
                          <w:b w:val="0"/>
                          <w:i w:val="0"/>
                          <w:szCs w:val="21"/>
                          <w:vertAlign w:val="baseline"/>
                          <w:lang w:val="en-US" w:bidi="en-US"/>
                        </w:rPr>
                        <m:t>=</m:t>
                      </m:r>
                      <m:r>
                        <m:rPr>
                          <m:nor/>
                          <m:sty m:val="p"/>
                        </m:rPr>
                        <w:rPr>
                          <w:rFonts w:hint="default" w:ascii="Times New Roman" w:hAnsi="Times New Roman" w:eastAsia="宋体" w:cs="Times New Roman"/>
                          <w:b w:val="0"/>
                          <w:i w:val="0"/>
                          <w:szCs w:val="21"/>
                          <w:vertAlign w:val="baseline"/>
                          <w:lang w:val="en-US" w:eastAsia="zh-CN" w:bidi="en-US"/>
                        </w:rPr>
                        <m:t>15.455</m:t>
                      </m:r>
                    </m:oMath>
                  </m:oMathPara>
                </w:p>
              </w:tc>
            </w:tr>
            <w:tr w14:paraId="26DBA8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 w:hRule="atLeast"/>
                <w:jc w:val="center"/>
              </w:trPr>
              <w:tc>
                <w:tcPr>
                  <w:tcW w:w="852" w:type="dxa"/>
                  <w:vMerge w:val="continue"/>
                  <w:vAlign w:val="center"/>
                </w:tcPr>
                <w:p w14:paraId="0BB99081">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p>
              </w:tc>
              <w:tc>
                <w:tcPr>
                  <w:tcW w:w="1165" w:type="dxa"/>
                  <w:vMerge w:val="continue"/>
                  <w:vAlign w:val="center"/>
                </w:tcPr>
                <w:p w14:paraId="23BD742F">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p>
              </w:tc>
              <w:tc>
                <w:tcPr>
                  <w:tcW w:w="1325" w:type="dxa"/>
                  <w:vMerge w:val="continue"/>
                  <w:vAlign w:val="center"/>
                </w:tcPr>
                <w:p w14:paraId="4A997792">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p>
              </w:tc>
              <w:tc>
                <w:tcPr>
                  <w:tcW w:w="1202" w:type="dxa"/>
                  <w:vAlign w:val="center"/>
                </w:tcPr>
                <w:p w14:paraId="01A12280">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无水乙醇</w:t>
                  </w:r>
                </w:p>
              </w:tc>
              <w:tc>
                <w:tcPr>
                  <w:tcW w:w="855" w:type="dxa"/>
                  <w:vAlign w:val="center"/>
                </w:tcPr>
                <w:p w14:paraId="190C448D">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0.515</w:t>
                  </w:r>
                </w:p>
              </w:tc>
              <w:tc>
                <w:tcPr>
                  <w:tcW w:w="2789" w:type="dxa"/>
                  <w:vAlign w:val="center"/>
                </w:tcPr>
                <w:p w14:paraId="646EF255">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m:oMathPara>
                    <m:oMath>
                      <m:r>
                        <m:rPr>
                          <m:nor/>
                          <m:sty m:val="p"/>
                        </m:rPr>
                        <w:rPr>
                          <w:rFonts w:hint="default" w:ascii="Times New Roman" w:hAnsi="Times New Roman" w:eastAsia="宋体" w:cs="Times New Roman"/>
                          <w:b w:val="0"/>
                          <w:i w:val="0"/>
                          <w:szCs w:val="21"/>
                          <w:vertAlign w:val="baseline"/>
                          <w:lang w:val="en-US" w:eastAsia="zh-CN" w:bidi="en-US"/>
                        </w:rPr>
                        <m:t>0.773</m:t>
                      </m:r>
                      <m:r>
                        <m:rPr>
                          <m:nor/>
                          <m:sty m:val="p"/>
                        </m:rPr>
                        <w:rPr>
                          <w:rFonts w:hint="default" w:ascii="Times New Roman" w:hAnsi="Times New Roman" w:cs="Times New Roman"/>
                          <w:b w:val="0"/>
                          <w:i w:val="0"/>
                          <w:szCs w:val="21"/>
                          <w:vertAlign w:val="baseline"/>
                          <w:lang w:val="en-US" w:bidi="en-US"/>
                        </w:rPr>
                        <m:t>×</m:t>
                      </m:r>
                      <m:r>
                        <m:rPr>
                          <m:nor/>
                          <m:sty m:val="p"/>
                        </m:rPr>
                        <w:rPr>
                          <w:rFonts w:hint="default" w:ascii="Times New Roman" w:hAnsi="Times New Roman" w:eastAsia="宋体" w:cs="Times New Roman"/>
                          <w:b w:val="0"/>
                          <w:i w:val="0"/>
                          <w:szCs w:val="21"/>
                          <w:vertAlign w:val="baseline"/>
                          <w:lang w:val="en-US" w:eastAsia="zh-CN" w:bidi="en-US"/>
                        </w:rPr>
                        <m:t>1</m:t>
                      </m:r>
                      <m:r>
                        <m:rPr>
                          <m:nor/>
                          <m:sty m:val="p"/>
                        </m:rPr>
                        <w:rPr>
                          <w:rFonts w:hint="default" w:ascii="Times New Roman" w:hAnsi="Times New Roman" w:cs="Times New Roman"/>
                          <w:b w:val="0"/>
                          <w:i w:val="0"/>
                          <w:szCs w:val="21"/>
                          <w:vertAlign w:val="baseline"/>
                          <w:lang w:val="en-US" w:bidi="en-US"/>
                        </w:rPr>
                        <m:t>×</m:t>
                      </m:r>
                      <m:f>
                        <m:fPr>
                          <m:ctrlPr>
                            <w:rPr>
                              <w:rFonts w:hint="default" w:ascii="Cambria Math" w:hAnsi="Cambria Math" w:cs="Times New Roman"/>
                              <w:i/>
                              <w:szCs w:val="21"/>
                              <w:vertAlign w:val="baseline"/>
                              <w:lang w:val="en-US" w:bidi="en-US"/>
                            </w:rPr>
                          </m:ctrlPr>
                        </m:fPr>
                        <m:num>
                          <m:r>
                            <m:rPr>
                              <m:nor/>
                              <m:sty m:val="p"/>
                            </m:rPr>
                            <w:rPr>
                              <w:rFonts w:hint="default" w:ascii="Times New Roman" w:hAnsi="Times New Roman" w:eastAsia="宋体" w:cs="Times New Roman"/>
                              <w:b w:val="0"/>
                              <w:i w:val="0"/>
                              <w:szCs w:val="21"/>
                              <w:vertAlign w:val="baseline"/>
                              <w:lang w:val="en-US" w:eastAsia="zh-CN" w:bidi="en-US"/>
                            </w:rPr>
                            <m:t>2</m:t>
                          </m:r>
                          <m:ctrlPr>
                            <w:rPr>
                              <w:rFonts w:hint="default" w:ascii="Cambria Math" w:hAnsi="Cambria Math" w:cs="Times New Roman"/>
                              <w:i/>
                              <w:szCs w:val="21"/>
                              <w:vertAlign w:val="baseline"/>
                              <w:lang w:val="en-US" w:bidi="en-US"/>
                            </w:rPr>
                          </m:ctrlPr>
                        </m:num>
                        <m:den>
                          <m:r>
                            <m:rPr>
                              <m:nor/>
                              <m:sty m:val="p"/>
                            </m:rPr>
                            <w:rPr>
                              <w:rFonts w:hint="default" w:ascii="Times New Roman" w:hAnsi="Times New Roman" w:eastAsia="宋体" w:cs="Times New Roman"/>
                              <w:b w:val="0"/>
                              <w:i w:val="0"/>
                              <w:szCs w:val="21"/>
                              <w:vertAlign w:val="baseline"/>
                              <w:lang w:val="en-US" w:eastAsia="zh-CN" w:bidi="en-US"/>
                            </w:rPr>
                            <m:t>3</m:t>
                          </m:r>
                          <m:ctrlPr>
                            <w:rPr>
                              <w:rFonts w:hint="default" w:ascii="Cambria Math" w:hAnsi="Cambria Math" w:cs="Times New Roman"/>
                              <w:i/>
                              <w:szCs w:val="21"/>
                              <w:vertAlign w:val="baseline"/>
                              <w:lang w:val="en-US" w:bidi="en-US"/>
                            </w:rPr>
                          </m:ctrlPr>
                        </m:den>
                      </m:f>
                      <m:r>
                        <m:rPr>
                          <m:nor/>
                          <m:sty m:val="p"/>
                        </m:rPr>
                        <w:rPr>
                          <w:rFonts w:hint="default" w:ascii="Times New Roman" w:hAnsi="Times New Roman" w:cs="Times New Roman"/>
                          <w:b w:val="0"/>
                          <w:i w:val="0"/>
                          <w:szCs w:val="21"/>
                          <w:vertAlign w:val="baseline"/>
                          <w:lang w:val="en-US" w:bidi="en-US"/>
                        </w:rPr>
                        <m:t>=</m:t>
                      </m:r>
                      <m:r>
                        <m:rPr>
                          <m:nor/>
                          <m:sty m:val="p"/>
                        </m:rPr>
                        <w:rPr>
                          <w:rFonts w:hint="default" w:ascii="Times New Roman" w:hAnsi="Times New Roman" w:eastAsia="宋体" w:cs="Times New Roman"/>
                          <w:b w:val="0"/>
                          <w:i w:val="0"/>
                          <w:szCs w:val="21"/>
                          <w:vertAlign w:val="baseline"/>
                          <w:lang w:val="en-US" w:eastAsia="zh-CN" w:bidi="en-US"/>
                        </w:rPr>
                        <m:t>0.515</m:t>
                      </m:r>
                    </m:oMath>
                  </m:oMathPara>
                </w:p>
              </w:tc>
            </w:tr>
            <w:tr w14:paraId="29A995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Merge w:val="continue"/>
                  <w:vAlign w:val="center"/>
                </w:tcPr>
                <w:p w14:paraId="449B0777">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p>
              </w:tc>
              <w:tc>
                <w:tcPr>
                  <w:tcW w:w="1165" w:type="dxa"/>
                  <w:vMerge w:val="restart"/>
                  <w:shd w:val="clear" w:color="auto" w:fill="auto"/>
                  <w:vAlign w:val="center"/>
                </w:tcPr>
                <w:p w14:paraId="48ABF93A">
                  <w:pPr>
                    <w:pStyle w:val="13"/>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复合工序废气</w:t>
                  </w:r>
                </w:p>
              </w:tc>
              <w:tc>
                <w:tcPr>
                  <w:tcW w:w="1325" w:type="dxa"/>
                  <w:vMerge w:val="restart"/>
                  <w:vAlign w:val="center"/>
                </w:tcPr>
                <w:p w14:paraId="1EB6ACB0">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复合机B</w:t>
                  </w:r>
                </w:p>
              </w:tc>
              <w:tc>
                <w:tcPr>
                  <w:tcW w:w="1202" w:type="dxa"/>
                  <w:shd w:val="clear" w:color="auto" w:fill="auto"/>
                  <w:vAlign w:val="center"/>
                </w:tcPr>
                <w:p w14:paraId="3A5E81E8">
                  <w:pPr>
                    <w:pStyle w:val="13"/>
                    <w:keepNext w:val="0"/>
                    <w:keepLines w:val="0"/>
                    <w:suppressLineNumbers w:val="0"/>
                    <w:spacing w:before="0" w:beforeAutospacing="0" w:after="0" w:afterAutospacing="0"/>
                    <w:ind w:left="0" w:leftChars="0" w:right="0" w:rightChars="0" w:firstLine="0" w:firstLineChars="0"/>
                    <w:jc w:val="center"/>
                    <w:rPr>
                      <w:rFonts w:hint="default" w:ascii="Times New Roman" w:hAnsi="Times New Roman" w:eastAsia="宋体" w:cs="Times New Roman"/>
                      <w:kern w:val="2"/>
                      <w:sz w:val="21"/>
                      <w:szCs w:val="21"/>
                      <w:vertAlign w:val="baseline"/>
                      <w:lang w:val="en-US" w:eastAsia="zh-CN" w:bidi="en-US"/>
                    </w:rPr>
                  </w:pPr>
                  <w:r>
                    <w:rPr>
                      <w:rFonts w:hint="default" w:ascii="Times New Roman" w:hAnsi="Times New Roman" w:eastAsia="宋体" w:cs="Times New Roman"/>
                      <w:szCs w:val="21"/>
                      <w:vertAlign w:val="baseline"/>
                      <w:lang w:val="en-US" w:eastAsia="zh-CN" w:bidi="en-US"/>
                    </w:rPr>
                    <w:t>PE+PET</w:t>
                  </w:r>
                </w:p>
              </w:tc>
              <w:tc>
                <w:tcPr>
                  <w:tcW w:w="855" w:type="dxa"/>
                  <w:vAlign w:val="center"/>
                </w:tcPr>
                <w:p w14:paraId="5747E7F1">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1091</w:t>
                  </w:r>
                </w:p>
              </w:tc>
              <w:tc>
                <w:tcPr>
                  <w:tcW w:w="2789" w:type="dxa"/>
                  <w:vAlign w:val="center"/>
                </w:tcPr>
                <w:p w14:paraId="04BE9B8E">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b w:val="0"/>
                      <w:i w:val="0"/>
                      <w:szCs w:val="21"/>
                      <w:vertAlign w:val="baseline"/>
                      <w:lang w:val="en-US" w:eastAsia="zh-CN" w:bidi="en-US"/>
                      <w:oMath/>
                    </w:rPr>
                  </w:pPr>
                  <m:oMathPara>
                    <m:oMath>
                      <m:r>
                        <m:rPr>
                          <m:nor/>
                          <m:sty m:val="p"/>
                        </m:rPr>
                        <w:rPr>
                          <w:rFonts w:hint="default" w:ascii="Times New Roman" w:hAnsi="Times New Roman" w:eastAsia="宋体" w:cs="Times New Roman"/>
                          <w:b w:val="0"/>
                          <w:i w:val="0"/>
                          <w:szCs w:val="21"/>
                          <w:vertAlign w:val="baseline"/>
                          <w:lang w:val="en-US" w:eastAsia="zh-CN" w:bidi="en-US"/>
                        </w:rPr>
                        <m:t>（3700+600）</m:t>
                      </m:r>
                      <m:r>
                        <m:rPr>
                          <m:nor/>
                          <m:sty m:val="p"/>
                        </m:rPr>
                        <w:rPr>
                          <w:rFonts w:hint="default" w:ascii="Times New Roman" w:hAnsi="Times New Roman" w:cs="Times New Roman"/>
                          <w:b w:val="0"/>
                          <w:i w:val="0"/>
                          <w:szCs w:val="21"/>
                          <w:vertAlign w:val="baseline"/>
                          <w:lang w:val="en-US" w:bidi="en-US"/>
                        </w:rPr>
                        <m:t>×</m:t>
                      </m:r>
                      <m:f>
                        <m:fPr>
                          <m:ctrlPr>
                            <w:rPr>
                              <w:rFonts w:hint="default" w:ascii="Cambria Math" w:hAnsi="Cambria Math" w:cs="Times New Roman"/>
                              <w:i/>
                              <w:szCs w:val="21"/>
                              <w:vertAlign w:val="baseline"/>
                              <w:lang w:val="en-US" w:bidi="en-US"/>
                            </w:rPr>
                          </m:ctrlPr>
                        </m:fPr>
                        <m:num>
                          <m:r>
                            <m:rPr>
                              <m:nor/>
                              <m:sty m:val="p"/>
                            </m:rPr>
                            <w:rPr>
                              <w:rFonts w:hint="default" w:ascii="Times New Roman" w:hAnsi="Times New Roman" w:eastAsia="宋体" w:cs="Times New Roman"/>
                              <w:b w:val="0"/>
                              <w:i w:val="0"/>
                              <w:szCs w:val="21"/>
                              <w:vertAlign w:val="baseline"/>
                              <w:lang w:val="en-US" w:eastAsia="zh-CN" w:bidi="en-US"/>
                            </w:rPr>
                            <m:t>35</m:t>
                          </m:r>
                          <m:ctrlPr>
                            <w:rPr>
                              <w:rFonts w:hint="default" w:ascii="Cambria Math" w:hAnsi="Cambria Math" w:cs="Times New Roman"/>
                              <w:i/>
                              <w:szCs w:val="21"/>
                              <w:vertAlign w:val="baseline"/>
                              <w:lang w:val="en-US" w:bidi="en-US"/>
                            </w:rPr>
                          </m:ctrlPr>
                        </m:num>
                        <m:den>
                          <m:r>
                            <m:rPr>
                              <m:nor/>
                              <m:sty m:val="p"/>
                            </m:rPr>
                            <w:rPr>
                              <w:rFonts w:hint="default" w:ascii="Times New Roman" w:hAnsi="Times New Roman" w:eastAsia="宋体" w:cs="Times New Roman"/>
                              <w:b w:val="0"/>
                              <w:i w:val="0"/>
                              <w:szCs w:val="21"/>
                              <w:vertAlign w:val="baseline"/>
                              <w:lang w:val="en-US" w:eastAsia="zh-CN" w:bidi="en-US"/>
                            </w:rPr>
                            <m:t>46</m:t>
                          </m:r>
                          <m:ctrlPr>
                            <w:rPr>
                              <w:rFonts w:hint="default" w:ascii="Cambria Math" w:hAnsi="Cambria Math" w:cs="Times New Roman"/>
                              <w:i/>
                              <w:szCs w:val="21"/>
                              <w:vertAlign w:val="baseline"/>
                              <w:lang w:val="en-US" w:bidi="en-US"/>
                            </w:rPr>
                          </m:ctrlPr>
                        </m:den>
                      </m:f>
                      <m:r>
                        <m:rPr>
                          <m:nor/>
                          <m:sty m:val="p"/>
                        </m:rPr>
                        <w:rPr>
                          <w:rFonts w:hint="default" w:ascii="Times New Roman" w:hAnsi="Times New Roman" w:cs="Times New Roman"/>
                          <w:b w:val="0"/>
                          <w:i w:val="0"/>
                          <w:szCs w:val="21"/>
                          <w:vertAlign w:val="baseline"/>
                          <w:lang w:val="en-US" w:bidi="en-US"/>
                        </w:rPr>
                        <m:t>×</m:t>
                      </m:r>
                      <m:f>
                        <m:fPr>
                          <m:ctrlPr>
                            <w:rPr>
                              <w:rFonts w:hint="default" w:ascii="Cambria Math" w:hAnsi="Cambria Math" w:cs="Times New Roman"/>
                              <w:i/>
                              <w:szCs w:val="21"/>
                              <w:vertAlign w:val="baseline"/>
                              <w:lang w:val="en-US" w:bidi="en-US"/>
                            </w:rPr>
                          </m:ctrlPr>
                        </m:fPr>
                        <m:num>
                          <m:r>
                            <m:rPr>
                              <m:nor/>
                              <m:sty m:val="p"/>
                            </m:rPr>
                            <w:rPr>
                              <w:rFonts w:hint="default" w:ascii="Times New Roman" w:hAnsi="Times New Roman" w:eastAsia="宋体" w:cs="Times New Roman"/>
                              <w:b w:val="0"/>
                              <w:i w:val="0"/>
                              <w:szCs w:val="21"/>
                              <w:vertAlign w:val="baseline"/>
                              <w:lang w:val="en-US" w:eastAsia="zh-CN" w:bidi="en-US"/>
                            </w:rPr>
                            <m:t>1</m:t>
                          </m:r>
                          <m:ctrlPr>
                            <w:rPr>
                              <w:rFonts w:hint="default" w:ascii="Cambria Math" w:hAnsi="Cambria Math" w:cs="Times New Roman"/>
                              <w:i/>
                              <w:szCs w:val="21"/>
                              <w:vertAlign w:val="baseline"/>
                              <w:lang w:val="en-US" w:bidi="en-US"/>
                            </w:rPr>
                          </m:ctrlPr>
                        </m:num>
                        <m:den>
                          <m:r>
                            <m:rPr>
                              <m:nor/>
                              <m:sty m:val="p"/>
                            </m:rPr>
                            <w:rPr>
                              <w:rFonts w:hint="default" w:ascii="Times New Roman" w:hAnsi="Times New Roman" w:eastAsia="宋体" w:cs="Times New Roman"/>
                              <w:b w:val="0"/>
                              <w:i w:val="0"/>
                              <w:szCs w:val="21"/>
                              <w:vertAlign w:val="baseline"/>
                              <w:lang w:val="en-US" w:eastAsia="zh-CN" w:bidi="en-US"/>
                            </w:rPr>
                            <m:t>3</m:t>
                          </m:r>
                          <m:ctrlPr>
                            <w:rPr>
                              <w:rFonts w:hint="default" w:ascii="Cambria Math" w:hAnsi="Cambria Math" w:cs="Times New Roman"/>
                              <w:i/>
                              <w:szCs w:val="21"/>
                              <w:vertAlign w:val="baseline"/>
                              <w:lang w:val="en-US" w:bidi="en-US"/>
                            </w:rPr>
                          </m:ctrlPr>
                        </m:den>
                      </m:f>
                      <m:r>
                        <m:rPr>
                          <m:nor/>
                          <m:sty m:val="p"/>
                        </m:rPr>
                        <w:rPr>
                          <w:rFonts w:hint="default" w:ascii="Times New Roman" w:hAnsi="Times New Roman" w:cs="Times New Roman"/>
                          <w:b w:val="0"/>
                          <w:i w:val="0"/>
                          <w:szCs w:val="21"/>
                          <w:vertAlign w:val="baseline"/>
                          <w:lang w:val="en-US" w:bidi="en-US"/>
                        </w:rPr>
                        <m:t>=</m:t>
                      </m:r>
                      <m:r>
                        <m:rPr>
                          <m:nor/>
                          <m:sty m:val="p"/>
                        </m:rPr>
                        <w:rPr>
                          <w:rFonts w:hint="default" w:ascii="Times New Roman" w:hAnsi="Times New Roman" w:eastAsia="宋体" w:cs="Times New Roman"/>
                          <w:b w:val="0"/>
                          <w:i w:val="0"/>
                          <w:szCs w:val="21"/>
                          <w:vertAlign w:val="baseline"/>
                          <w:lang w:val="en-US" w:eastAsia="zh-CN" w:bidi="en-US"/>
                        </w:rPr>
                        <m:t>1091</m:t>
                      </m:r>
                    </m:oMath>
                  </m:oMathPara>
                </w:p>
              </w:tc>
            </w:tr>
            <w:tr w14:paraId="58EEB7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Merge w:val="continue"/>
                  <w:vAlign w:val="center"/>
                </w:tcPr>
                <w:p w14:paraId="7D437139">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p>
              </w:tc>
              <w:tc>
                <w:tcPr>
                  <w:tcW w:w="1165" w:type="dxa"/>
                  <w:vMerge w:val="continue"/>
                  <w:shd w:val="clear" w:color="auto" w:fill="auto"/>
                  <w:vAlign w:val="center"/>
                </w:tcPr>
                <w:p w14:paraId="0B72C53D">
                  <w:pPr>
                    <w:pStyle w:val="13"/>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szCs w:val="21"/>
                      <w:vertAlign w:val="baseline"/>
                      <w:lang w:val="en-US" w:eastAsia="zh-CN" w:bidi="en-US"/>
                    </w:rPr>
                  </w:pPr>
                </w:p>
              </w:tc>
              <w:tc>
                <w:tcPr>
                  <w:tcW w:w="1325" w:type="dxa"/>
                  <w:vMerge w:val="continue"/>
                  <w:vAlign w:val="center"/>
                </w:tcPr>
                <w:p w14:paraId="0D5B46A0">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p>
              </w:tc>
              <w:tc>
                <w:tcPr>
                  <w:tcW w:w="1202" w:type="dxa"/>
                  <w:shd w:val="clear" w:color="auto" w:fill="auto"/>
                  <w:vAlign w:val="center"/>
                </w:tcPr>
                <w:p w14:paraId="645A20C3">
                  <w:pPr>
                    <w:pStyle w:val="13"/>
                    <w:keepNext w:val="0"/>
                    <w:keepLines w:val="0"/>
                    <w:suppressLineNumbers w:val="0"/>
                    <w:spacing w:before="0" w:beforeAutospacing="0" w:after="0" w:afterAutospacing="0"/>
                    <w:ind w:left="0" w:leftChars="0" w:right="0" w:rightChars="0" w:firstLine="0" w:firstLineChars="0"/>
                    <w:jc w:val="center"/>
                    <w:rPr>
                      <w:rFonts w:hint="default" w:ascii="Times New Roman" w:hAnsi="Times New Roman" w:eastAsia="宋体" w:cs="Times New Roman"/>
                      <w:kern w:val="2"/>
                      <w:sz w:val="21"/>
                      <w:szCs w:val="21"/>
                      <w:vertAlign w:val="baseline"/>
                      <w:lang w:val="en-US" w:eastAsia="zh-CN" w:bidi="en-US"/>
                    </w:rPr>
                  </w:pPr>
                  <w:r>
                    <w:rPr>
                      <w:rFonts w:hint="default" w:ascii="Times New Roman" w:hAnsi="Times New Roman" w:eastAsia="宋体" w:cs="Times New Roman"/>
                      <w:szCs w:val="21"/>
                      <w:vertAlign w:val="baseline"/>
                      <w:lang w:val="en-US" w:eastAsia="zh-CN" w:bidi="en-US"/>
                    </w:rPr>
                    <w:t>胶粘剂</w:t>
                  </w:r>
                </w:p>
              </w:tc>
              <w:tc>
                <w:tcPr>
                  <w:tcW w:w="855" w:type="dxa"/>
                  <w:vAlign w:val="center"/>
                </w:tcPr>
                <w:p w14:paraId="5E171E8C">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0.761</w:t>
                  </w:r>
                </w:p>
              </w:tc>
              <w:tc>
                <w:tcPr>
                  <w:tcW w:w="2789" w:type="dxa"/>
                  <w:vAlign w:val="center"/>
                </w:tcPr>
                <w:p w14:paraId="5580D649">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b w:val="0"/>
                      <w:i w:val="0"/>
                      <w:szCs w:val="21"/>
                      <w:vertAlign w:val="baseline"/>
                      <w:lang w:val="en-US" w:eastAsia="zh-CN" w:bidi="en-US"/>
                      <w:oMath/>
                    </w:rPr>
                  </w:pPr>
                  <m:oMathPara>
                    <m:oMath>
                      <m:r>
                        <m:rPr>
                          <m:nor/>
                          <m:sty m:val="p"/>
                        </m:rPr>
                        <w:rPr>
                          <w:rFonts w:hint="default" w:ascii="Times New Roman" w:hAnsi="Times New Roman" w:eastAsia="宋体" w:cs="Times New Roman"/>
                          <w:b w:val="0"/>
                          <w:i w:val="0"/>
                          <w:szCs w:val="21"/>
                          <w:vertAlign w:val="baseline"/>
                          <w:lang w:val="en-US" w:eastAsia="zh-CN" w:bidi="en-US"/>
                        </w:rPr>
                        <m:t>2.283</m:t>
                      </m:r>
                      <m:r>
                        <m:rPr>
                          <m:nor/>
                          <m:sty m:val="p"/>
                        </m:rPr>
                        <w:rPr>
                          <w:rFonts w:hint="default" w:ascii="Times New Roman" w:hAnsi="Times New Roman" w:cs="Times New Roman"/>
                          <w:b w:val="0"/>
                          <w:i w:val="0"/>
                          <w:szCs w:val="21"/>
                          <w:vertAlign w:val="baseline"/>
                          <w:lang w:val="en-US" w:bidi="en-US"/>
                        </w:rPr>
                        <m:t>×</m:t>
                      </m:r>
                      <m:r>
                        <m:rPr>
                          <m:nor/>
                          <m:sty m:val="p"/>
                        </m:rPr>
                        <w:rPr>
                          <w:rFonts w:hint="default" w:ascii="Times New Roman" w:hAnsi="Times New Roman" w:eastAsia="宋体" w:cs="Times New Roman"/>
                          <w:b w:val="0"/>
                          <w:i w:val="0"/>
                          <w:szCs w:val="21"/>
                          <w:vertAlign w:val="baseline"/>
                          <w:lang w:val="en-US" w:eastAsia="zh-CN" w:bidi="en-US"/>
                        </w:rPr>
                        <m:t>1</m:t>
                      </m:r>
                      <m:r>
                        <m:rPr>
                          <m:nor/>
                          <m:sty m:val="p"/>
                        </m:rPr>
                        <w:rPr>
                          <w:rFonts w:hint="default" w:ascii="Times New Roman" w:hAnsi="Times New Roman" w:cs="Times New Roman"/>
                          <w:b w:val="0"/>
                          <w:i w:val="0"/>
                          <w:szCs w:val="21"/>
                          <w:vertAlign w:val="baseline"/>
                          <w:lang w:val="en-US" w:bidi="en-US"/>
                        </w:rPr>
                        <m:t>×</m:t>
                      </m:r>
                      <m:f>
                        <m:fPr>
                          <m:ctrlPr>
                            <w:rPr>
                              <w:rFonts w:hint="default" w:ascii="Cambria Math" w:hAnsi="Cambria Math" w:cs="Times New Roman"/>
                              <w:i/>
                              <w:szCs w:val="21"/>
                              <w:vertAlign w:val="baseline"/>
                              <w:lang w:val="en-US" w:bidi="en-US"/>
                            </w:rPr>
                          </m:ctrlPr>
                        </m:fPr>
                        <m:num>
                          <m:r>
                            <m:rPr>
                              <m:nor/>
                              <m:sty m:val="p"/>
                            </m:rPr>
                            <w:rPr>
                              <w:rFonts w:hint="default" w:ascii="Times New Roman" w:hAnsi="Times New Roman" w:eastAsia="宋体" w:cs="Times New Roman"/>
                              <w:b w:val="0"/>
                              <w:i w:val="0"/>
                              <w:szCs w:val="21"/>
                              <w:vertAlign w:val="baseline"/>
                              <w:lang w:val="en-US" w:eastAsia="zh-CN" w:bidi="en-US"/>
                            </w:rPr>
                            <m:t>1</m:t>
                          </m:r>
                          <m:ctrlPr>
                            <w:rPr>
                              <w:rFonts w:hint="default" w:ascii="Cambria Math" w:hAnsi="Cambria Math" w:cs="Times New Roman"/>
                              <w:i/>
                              <w:szCs w:val="21"/>
                              <w:vertAlign w:val="baseline"/>
                              <w:lang w:val="en-US" w:bidi="en-US"/>
                            </w:rPr>
                          </m:ctrlPr>
                        </m:num>
                        <m:den>
                          <m:r>
                            <m:rPr>
                              <m:nor/>
                              <m:sty m:val="p"/>
                            </m:rPr>
                            <w:rPr>
                              <w:rFonts w:hint="default" w:ascii="Times New Roman" w:hAnsi="Times New Roman" w:eastAsia="宋体" w:cs="Times New Roman"/>
                              <w:b w:val="0"/>
                              <w:i w:val="0"/>
                              <w:szCs w:val="21"/>
                              <w:vertAlign w:val="baseline"/>
                              <w:lang w:val="en-US" w:eastAsia="zh-CN" w:bidi="en-US"/>
                            </w:rPr>
                            <m:t>3</m:t>
                          </m:r>
                          <m:ctrlPr>
                            <w:rPr>
                              <w:rFonts w:hint="default" w:ascii="Cambria Math" w:hAnsi="Cambria Math" w:cs="Times New Roman"/>
                              <w:i/>
                              <w:szCs w:val="21"/>
                              <w:vertAlign w:val="baseline"/>
                              <w:lang w:val="en-US" w:bidi="en-US"/>
                            </w:rPr>
                          </m:ctrlPr>
                        </m:den>
                      </m:f>
                      <m:r>
                        <m:rPr>
                          <m:nor/>
                          <m:sty m:val="p"/>
                        </m:rPr>
                        <w:rPr>
                          <w:rFonts w:hint="default" w:ascii="Times New Roman" w:hAnsi="Times New Roman" w:cs="Times New Roman"/>
                          <w:b w:val="0"/>
                          <w:i w:val="0"/>
                          <w:szCs w:val="21"/>
                          <w:vertAlign w:val="baseline"/>
                          <w:lang w:val="en-US" w:bidi="en-US"/>
                        </w:rPr>
                        <m:t>=</m:t>
                      </m:r>
                      <m:r>
                        <m:rPr>
                          <m:nor/>
                          <m:sty m:val="p"/>
                        </m:rPr>
                        <w:rPr>
                          <w:rFonts w:hint="default" w:ascii="Times New Roman" w:hAnsi="Times New Roman" w:eastAsia="宋体" w:cs="Times New Roman"/>
                          <w:b w:val="0"/>
                          <w:i w:val="0"/>
                          <w:szCs w:val="21"/>
                          <w:vertAlign w:val="baseline"/>
                          <w:lang w:val="en-US" w:eastAsia="zh-CN" w:bidi="en-US"/>
                        </w:rPr>
                        <m:t>0.761</m:t>
                      </m:r>
                    </m:oMath>
                  </m:oMathPara>
                </w:p>
              </w:tc>
            </w:tr>
            <w:tr w14:paraId="2390E2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Merge w:val="continue"/>
                  <w:vAlign w:val="center"/>
                </w:tcPr>
                <w:p w14:paraId="1BA43320">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p>
              </w:tc>
              <w:tc>
                <w:tcPr>
                  <w:tcW w:w="1165" w:type="dxa"/>
                  <w:vMerge w:val="restart"/>
                  <w:shd w:val="clear" w:color="auto" w:fill="auto"/>
                  <w:vAlign w:val="center"/>
                </w:tcPr>
                <w:p w14:paraId="709372AB">
                  <w:pPr>
                    <w:pStyle w:val="13"/>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kern w:val="2"/>
                      <w:sz w:val="21"/>
                      <w:szCs w:val="21"/>
                      <w:vertAlign w:val="baseline"/>
                      <w:lang w:val="en-US" w:eastAsia="zh-CN" w:bidi="en-US"/>
                    </w:rPr>
                  </w:pPr>
                  <w:r>
                    <w:rPr>
                      <w:rFonts w:hint="default" w:ascii="Times New Roman" w:hAnsi="Times New Roman" w:eastAsia="宋体" w:cs="Times New Roman"/>
                      <w:szCs w:val="21"/>
                      <w:vertAlign w:val="baseline"/>
                      <w:lang w:val="en-US" w:eastAsia="zh-CN" w:bidi="en-US"/>
                    </w:rPr>
                    <w:t>固化工序废气</w:t>
                  </w:r>
                </w:p>
              </w:tc>
              <w:tc>
                <w:tcPr>
                  <w:tcW w:w="1325" w:type="dxa"/>
                  <w:vMerge w:val="restart"/>
                  <w:vAlign w:val="center"/>
                </w:tcPr>
                <w:p w14:paraId="2BD4567B">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固化室A-K</w:t>
                  </w:r>
                </w:p>
              </w:tc>
              <w:tc>
                <w:tcPr>
                  <w:tcW w:w="1202" w:type="dxa"/>
                  <w:vAlign w:val="center"/>
                </w:tcPr>
                <w:p w14:paraId="4304EED0">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PE+PET</w:t>
                  </w:r>
                </w:p>
              </w:tc>
              <w:tc>
                <w:tcPr>
                  <w:tcW w:w="855" w:type="dxa"/>
                  <w:vAlign w:val="center"/>
                </w:tcPr>
                <w:p w14:paraId="1F9DA88F">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3272</w:t>
                  </w:r>
                </w:p>
              </w:tc>
              <w:tc>
                <w:tcPr>
                  <w:tcW w:w="2789" w:type="dxa"/>
                  <w:vAlign w:val="center"/>
                </w:tcPr>
                <w:p w14:paraId="183BF394">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m:oMathPara>
                    <m:oMath>
                      <m:r>
                        <m:rPr>
                          <m:nor/>
                          <m:sty m:val="p"/>
                        </m:rPr>
                        <w:rPr>
                          <w:rFonts w:hint="default" w:ascii="Times New Roman" w:hAnsi="Times New Roman" w:eastAsia="宋体" w:cs="Times New Roman"/>
                          <w:b w:val="0"/>
                          <w:i w:val="0"/>
                          <w:szCs w:val="21"/>
                          <w:vertAlign w:val="baseline"/>
                          <w:lang w:val="en-US" w:eastAsia="zh-CN" w:bidi="en-US"/>
                        </w:rPr>
                        <m:t>（3700+600）</m:t>
                      </m:r>
                      <m:r>
                        <m:rPr>
                          <m:nor/>
                          <m:sty m:val="p"/>
                        </m:rPr>
                        <w:rPr>
                          <w:rFonts w:hint="default" w:ascii="Times New Roman" w:hAnsi="Times New Roman" w:cs="Times New Roman"/>
                          <w:b w:val="0"/>
                          <w:i w:val="0"/>
                          <w:szCs w:val="21"/>
                          <w:vertAlign w:val="baseline"/>
                          <w:lang w:val="en-US" w:bidi="en-US"/>
                        </w:rPr>
                        <m:t>×</m:t>
                      </m:r>
                      <m:f>
                        <m:fPr>
                          <m:ctrlPr>
                            <w:rPr>
                              <w:rFonts w:hint="default" w:ascii="Cambria Math" w:hAnsi="Cambria Math" w:cs="Times New Roman"/>
                              <w:i/>
                              <w:szCs w:val="21"/>
                              <w:vertAlign w:val="baseline"/>
                              <w:lang w:val="en-US" w:bidi="en-US"/>
                            </w:rPr>
                          </m:ctrlPr>
                        </m:fPr>
                        <m:num>
                          <m:r>
                            <m:rPr>
                              <m:nor/>
                              <m:sty m:val="p"/>
                            </m:rPr>
                            <w:rPr>
                              <w:rFonts w:hint="default" w:ascii="Times New Roman" w:hAnsi="Times New Roman" w:eastAsia="宋体" w:cs="Times New Roman"/>
                              <w:b w:val="0"/>
                              <w:i w:val="0"/>
                              <w:szCs w:val="21"/>
                              <w:vertAlign w:val="baseline"/>
                              <w:lang w:val="en-US" w:eastAsia="zh-CN" w:bidi="en-US"/>
                            </w:rPr>
                            <m:t>35</m:t>
                          </m:r>
                          <m:ctrlPr>
                            <w:rPr>
                              <w:rFonts w:hint="default" w:ascii="Cambria Math" w:hAnsi="Cambria Math" w:cs="Times New Roman"/>
                              <w:i/>
                              <w:szCs w:val="21"/>
                              <w:vertAlign w:val="baseline"/>
                              <w:lang w:val="en-US" w:bidi="en-US"/>
                            </w:rPr>
                          </m:ctrlPr>
                        </m:num>
                        <m:den>
                          <m:r>
                            <m:rPr>
                              <m:nor/>
                              <m:sty m:val="p"/>
                            </m:rPr>
                            <w:rPr>
                              <w:rFonts w:hint="default" w:ascii="Times New Roman" w:hAnsi="Times New Roman" w:eastAsia="宋体" w:cs="Times New Roman"/>
                              <w:b w:val="0"/>
                              <w:i w:val="0"/>
                              <w:szCs w:val="21"/>
                              <w:vertAlign w:val="baseline"/>
                              <w:lang w:val="en-US" w:eastAsia="zh-CN" w:bidi="en-US"/>
                            </w:rPr>
                            <m:t>46</m:t>
                          </m:r>
                          <m:ctrlPr>
                            <w:rPr>
                              <w:rFonts w:hint="default" w:ascii="Cambria Math" w:hAnsi="Cambria Math" w:cs="Times New Roman"/>
                              <w:i/>
                              <w:szCs w:val="21"/>
                              <w:vertAlign w:val="baseline"/>
                              <w:lang w:val="en-US" w:bidi="en-US"/>
                            </w:rPr>
                          </m:ctrlPr>
                        </m:den>
                      </m:f>
                      <m:r>
                        <m:rPr>
                          <m:nor/>
                          <m:sty m:val="p"/>
                        </m:rPr>
                        <w:rPr>
                          <w:rFonts w:hint="default" w:ascii="Times New Roman" w:hAnsi="Times New Roman" w:cs="Times New Roman"/>
                          <w:b w:val="0"/>
                          <w:i w:val="0"/>
                          <w:szCs w:val="21"/>
                          <w:vertAlign w:val="baseline"/>
                          <w:lang w:val="en-US" w:bidi="en-US"/>
                        </w:rPr>
                        <m:t>×</m:t>
                      </m:r>
                      <m:r>
                        <m:rPr>
                          <m:nor/>
                          <m:sty m:val="p"/>
                        </m:rPr>
                        <w:rPr>
                          <w:rFonts w:hint="default" w:ascii="Times New Roman" w:hAnsi="Times New Roman" w:eastAsia="宋体" w:cs="Times New Roman"/>
                          <w:b w:val="0"/>
                          <w:i w:val="0"/>
                          <w:szCs w:val="21"/>
                          <w:vertAlign w:val="baseline"/>
                          <w:lang w:val="en-US" w:eastAsia="zh-CN" w:bidi="en-US"/>
                        </w:rPr>
                        <m:t>1</m:t>
                      </m:r>
                      <m:r>
                        <m:rPr>
                          <m:nor/>
                          <m:sty m:val="p"/>
                        </m:rPr>
                        <w:rPr>
                          <w:rFonts w:hint="default" w:ascii="Times New Roman" w:hAnsi="Times New Roman" w:cs="Times New Roman"/>
                          <w:b w:val="0"/>
                          <w:i w:val="0"/>
                          <w:szCs w:val="21"/>
                          <w:vertAlign w:val="baseline"/>
                          <w:lang w:val="en-US" w:bidi="en-US"/>
                        </w:rPr>
                        <m:t>=</m:t>
                      </m:r>
                      <m:r>
                        <m:rPr>
                          <m:nor/>
                          <m:sty m:val="p"/>
                        </m:rPr>
                        <w:rPr>
                          <w:rFonts w:hint="default" w:ascii="Times New Roman" w:hAnsi="Times New Roman" w:eastAsia="宋体" w:cs="Times New Roman"/>
                          <w:b w:val="0"/>
                          <w:i w:val="0"/>
                          <w:szCs w:val="21"/>
                          <w:vertAlign w:val="baseline"/>
                          <w:lang w:val="en-US" w:eastAsia="zh-CN" w:bidi="en-US"/>
                        </w:rPr>
                        <m:t>3272</m:t>
                      </m:r>
                    </m:oMath>
                  </m:oMathPara>
                </w:p>
              </w:tc>
            </w:tr>
            <w:tr w14:paraId="41BA39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Merge w:val="continue"/>
                  <w:vAlign w:val="center"/>
                </w:tcPr>
                <w:p w14:paraId="514B936C">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p>
              </w:tc>
              <w:tc>
                <w:tcPr>
                  <w:tcW w:w="1165" w:type="dxa"/>
                  <w:vMerge w:val="continue"/>
                  <w:shd w:val="clear" w:color="auto" w:fill="auto"/>
                  <w:vAlign w:val="center"/>
                </w:tcPr>
                <w:p w14:paraId="51184BF9">
                  <w:pPr>
                    <w:pStyle w:val="13"/>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kern w:val="2"/>
                      <w:sz w:val="21"/>
                      <w:szCs w:val="21"/>
                      <w:vertAlign w:val="baseline"/>
                      <w:lang w:val="en-US" w:eastAsia="zh-CN" w:bidi="en-US"/>
                    </w:rPr>
                  </w:pPr>
                </w:p>
              </w:tc>
              <w:tc>
                <w:tcPr>
                  <w:tcW w:w="1325" w:type="dxa"/>
                  <w:vMerge w:val="continue"/>
                  <w:vAlign w:val="center"/>
                </w:tcPr>
                <w:p w14:paraId="4F61CDDE">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p>
              </w:tc>
              <w:tc>
                <w:tcPr>
                  <w:tcW w:w="1202" w:type="dxa"/>
                  <w:vAlign w:val="center"/>
                </w:tcPr>
                <w:p w14:paraId="5AFB7CB6">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胶粘剂</w:t>
                  </w:r>
                </w:p>
              </w:tc>
              <w:tc>
                <w:tcPr>
                  <w:tcW w:w="855" w:type="dxa"/>
                  <w:vAlign w:val="center"/>
                </w:tcPr>
                <w:p w14:paraId="446FE1F2">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2.283</w:t>
                  </w:r>
                </w:p>
              </w:tc>
              <w:tc>
                <w:tcPr>
                  <w:tcW w:w="2789" w:type="dxa"/>
                  <w:vAlign w:val="center"/>
                </w:tcPr>
                <w:p w14:paraId="37510C12">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m:oMathPara>
                    <m:oMath>
                      <m:r>
                        <m:rPr>
                          <m:nor/>
                          <m:sty m:val="p"/>
                        </m:rPr>
                        <w:rPr>
                          <w:rFonts w:hint="default" w:ascii="Times New Roman" w:hAnsi="Times New Roman" w:eastAsia="宋体" w:cs="Times New Roman"/>
                          <w:b w:val="0"/>
                          <w:i w:val="0"/>
                          <w:szCs w:val="21"/>
                          <w:vertAlign w:val="baseline"/>
                          <w:lang w:val="en-US" w:eastAsia="zh-CN" w:bidi="en-US"/>
                        </w:rPr>
                        <m:t>2.283</m:t>
                      </m:r>
                      <m:r>
                        <m:rPr>
                          <m:nor/>
                          <m:sty m:val="p"/>
                        </m:rPr>
                        <w:rPr>
                          <w:rFonts w:hint="default" w:ascii="Times New Roman" w:hAnsi="Times New Roman" w:cs="Times New Roman"/>
                          <w:b w:val="0"/>
                          <w:i w:val="0"/>
                          <w:szCs w:val="21"/>
                          <w:vertAlign w:val="baseline"/>
                          <w:lang w:val="en-US" w:bidi="en-US"/>
                        </w:rPr>
                        <m:t>×</m:t>
                      </m:r>
                      <m:r>
                        <m:rPr>
                          <m:nor/>
                          <m:sty m:val="p"/>
                        </m:rPr>
                        <w:rPr>
                          <w:rFonts w:hint="default" w:ascii="Times New Roman" w:hAnsi="Times New Roman" w:eastAsia="宋体" w:cs="Times New Roman"/>
                          <w:b w:val="0"/>
                          <w:i w:val="0"/>
                          <w:szCs w:val="21"/>
                          <w:vertAlign w:val="baseline"/>
                          <w:lang w:val="en-US" w:eastAsia="zh-CN" w:bidi="en-US"/>
                        </w:rPr>
                        <m:t>1</m:t>
                      </m:r>
                      <m:r>
                        <m:rPr>
                          <m:nor/>
                          <m:sty m:val="p"/>
                        </m:rPr>
                        <w:rPr>
                          <w:rFonts w:hint="default" w:ascii="Times New Roman" w:hAnsi="Times New Roman" w:cs="Times New Roman"/>
                          <w:b w:val="0"/>
                          <w:i w:val="0"/>
                          <w:szCs w:val="21"/>
                          <w:vertAlign w:val="baseline"/>
                          <w:lang w:val="en-US" w:bidi="en-US"/>
                        </w:rPr>
                        <m:t>×</m:t>
                      </m:r>
                      <m:r>
                        <m:rPr>
                          <m:nor/>
                          <m:sty m:val="p"/>
                        </m:rPr>
                        <w:rPr>
                          <w:rFonts w:hint="default" w:ascii="Times New Roman" w:hAnsi="Times New Roman" w:eastAsia="宋体" w:cs="Times New Roman"/>
                          <w:b w:val="0"/>
                          <w:i w:val="0"/>
                          <w:szCs w:val="21"/>
                          <w:vertAlign w:val="baseline"/>
                          <w:lang w:val="en-US" w:eastAsia="zh-CN" w:bidi="en-US"/>
                        </w:rPr>
                        <m:t>1</m:t>
                      </m:r>
                      <m:r>
                        <m:rPr>
                          <m:nor/>
                          <m:sty m:val="p"/>
                        </m:rPr>
                        <w:rPr>
                          <w:rFonts w:hint="default" w:ascii="Times New Roman" w:hAnsi="Times New Roman" w:cs="Times New Roman"/>
                          <w:b w:val="0"/>
                          <w:i w:val="0"/>
                          <w:szCs w:val="21"/>
                          <w:vertAlign w:val="baseline"/>
                          <w:lang w:val="en-US" w:bidi="en-US"/>
                        </w:rPr>
                        <m:t>=</m:t>
                      </m:r>
                      <m:r>
                        <m:rPr>
                          <m:nor/>
                          <m:sty m:val="p"/>
                        </m:rPr>
                        <w:rPr>
                          <w:rFonts w:hint="default" w:ascii="Times New Roman" w:hAnsi="Times New Roman" w:eastAsia="宋体" w:cs="Times New Roman"/>
                          <w:b w:val="0"/>
                          <w:i w:val="0"/>
                          <w:szCs w:val="21"/>
                          <w:vertAlign w:val="baseline"/>
                          <w:lang w:val="en-US" w:eastAsia="zh-CN" w:bidi="en-US"/>
                        </w:rPr>
                        <m:t>2.283</m:t>
                      </m:r>
                    </m:oMath>
                  </m:oMathPara>
                </w:p>
              </w:tc>
            </w:tr>
            <w:tr w14:paraId="350C04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Merge w:val="restart"/>
                  <w:vAlign w:val="center"/>
                </w:tcPr>
                <w:p w14:paraId="4B6503A5">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DA003</w:t>
                  </w:r>
                </w:p>
              </w:tc>
              <w:tc>
                <w:tcPr>
                  <w:tcW w:w="1165" w:type="dxa"/>
                  <w:vMerge w:val="restart"/>
                  <w:shd w:val="clear" w:color="auto" w:fill="auto"/>
                  <w:vAlign w:val="center"/>
                </w:tcPr>
                <w:p w14:paraId="0D2282D5">
                  <w:pPr>
                    <w:pStyle w:val="13"/>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kern w:val="2"/>
                      <w:sz w:val="21"/>
                      <w:szCs w:val="21"/>
                      <w:vertAlign w:val="baseline"/>
                      <w:lang w:val="en-US" w:eastAsia="zh-CN" w:bidi="en-US"/>
                    </w:rPr>
                  </w:pPr>
                  <w:r>
                    <w:rPr>
                      <w:rFonts w:hint="default" w:ascii="Times New Roman" w:hAnsi="Times New Roman" w:eastAsia="宋体" w:cs="Times New Roman"/>
                      <w:szCs w:val="21"/>
                      <w:vertAlign w:val="baseline"/>
                      <w:lang w:val="en-US" w:eastAsia="zh-CN" w:bidi="en-US"/>
                    </w:rPr>
                    <w:t>印刷废气</w:t>
                  </w:r>
                </w:p>
              </w:tc>
              <w:tc>
                <w:tcPr>
                  <w:tcW w:w="1325" w:type="dxa"/>
                  <w:vMerge w:val="restart"/>
                  <w:vAlign w:val="center"/>
                </w:tcPr>
                <w:p w14:paraId="2D21B9F7">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印刷机D</w:t>
                  </w:r>
                </w:p>
              </w:tc>
              <w:tc>
                <w:tcPr>
                  <w:tcW w:w="1202" w:type="dxa"/>
                  <w:vAlign w:val="center"/>
                </w:tcPr>
                <w:p w14:paraId="19466728">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水性油墨</w:t>
                  </w:r>
                </w:p>
              </w:tc>
              <w:tc>
                <w:tcPr>
                  <w:tcW w:w="855" w:type="dxa"/>
                  <w:vAlign w:val="center"/>
                </w:tcPr>
                <w:p w14:paraId="20B1EF54">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6.818</w:t>
                  </w:r>
                </w:p>
              </w:tc>
              <w:tc>
                <w:tcPr>
                  <w:tcW w:w="2789" w:type="dxa"/>
                  <w:vAlign w:val="center"/>
                </w:tcPr>
                <w:p w14:paraId="663E0EC9">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m:oMathPara>
                    <m:oMath>
                      <m:r>
                        <m:rPr>
                          <m:nor/>
                          <m:sty m:val="p"/>
                        </m:rPr>
                        <w:rPr>
                          <w:rFonts w:hint="default" w:ascii="Times New Roman" w:hAnsi="Times New Roman" w:eastAsia="宋体" w:cs="Times New Roman"/>
                          <w:b w:val="0"/>
                          <w:i w:val="0"/>
                          <w:szCs w:val="21"/>
                          <w:vertAlign w:val="baseline"/>
                          <w:lang w:val="en-US" w:eastAsia="zh-CN" w:bidi="en-US"/>
                        </w:rPr>
                        <m:t>6.818</m:t>
                      </m:r>
                      <m:r>
                        <m:rPr>
                          <m:nor/>
                          <m:sty m:val="p"/>
                        </m:rPr>
                        <w:rPr>
                          <w:rFonts w:hint="default" w:ascii="Times New Roman" w:hAnsi="Times New Roman" w:cs="Times New Roman"/>
                          <w:b w:val="0"/>
                          <w:i w:val="0"/>
                          <w:szCs w:val="21"/>
                          <w:vertAlign w:val="baseline"/>
                          <w:lang w:val="en-US" w:bidi="en-US"/>
                        </w:rPr>
                        <m:t>×</m:t>
                      </m:r>
                      <m:r>
                        <m:rPr>
                          <m:nor/>
                          <m:sty m:val="p"/>
                        </m:rPr>
                        <w:rPr>
                          <w:rFonts w:hint="default" w:ascii="Times New Roman" w:hAnsi="Times New Roman" w:eastAsia="宋体" w:cs="Times New Roman"/>
                          <w:b w:val="0"/>
                          <w:i w:val="0"/>
                          <w:szCs w:val="21"/>
                          <w:vertAlign w:val="baseline"/>
                          <w:lang w:val="en-US" w:eastAsia="zh-CN" w:bidi="en-US"/>
                        </w:rPr>
                        <m:t>1</m:t>
                      </m:r>
                      <m:r>
                        <m:rPr>
                          <m:nor/>
                          <m:sty m:val="p"/>
                        </m:rPr>
                        <w:rPr>
                          <w:rFonts w:hint="default" w:ascii="Times New Roman" w:hAnsi="Times New Roman" w:cs="Times New Roman"/>
                          <w:b w:val="0"/>
                          <w:i w:val="0"/>
                          <w:szCs w:val="21"/>
                          <w:vertAlign w:val="baseline"/>
                          <w:lang w:val="en-US" w:bidi="en-US"/>
                        </w:rPr>
                        <m:t>×</m:t>
                      </m:r>
                      <m:r>
                        <m:rPr>
                          <m:nor/>
                          <m:sty m:val="p"/>
                        </m:rPr>
                        <w:rPr>
                          <w:rFonts w:hint="default" w:ascii="Times New Roman" w:hAnsi="Times New Roman" w:eastAsia="宋体" w:cs="Times New Roman"/>
                          <w:b w:val="0"/>
                          <w:i w:val="0"/>
                          <w:szCs w:val="21"/>
                          <w:vertAlign w:val="baseline"/>
                          <w:lang w:val="en-US" w:eastAsia="zh-CN" w:bidi="en-US"/>
                        </w:rPr>
                        <m:t>1</m:t>
                      </m:r>
                      <m:r>
                        <m:rPr>
                          <m:nor/>
                          <m:sty m:val="p"/>
                        </m:rPr>
                        <w:rPr>
                          <w:rFonts w:hint="default" w:ascii="Times New Roman" w:hAnsi="Times New Roman" w:cs="Times New Roman"/>
                          <w:b w:val="0"/>
                          <w:i w:val="0"/>
                          <w:szCs w:val="21"/>
                          <w:vertAlign w:val="baseline"/>
                          <w:lang w:val="en-US" w:bidi="en-US"/>
                        </w:rPr>
                        <m:t>=</m:t>
                      </m:r>
                      <m:r>
                        <m:rPr>
                          <m:nor/>
                          <m:sty m:val="p"/>
                        </m:rPr>
                        <w:rPr>
                          <w:rFonts w:hint="default" w:ascii="Times New Roman" w:hAnsi="Times New Roman" w:eastAsia="宋体" w:cs="Times New Roman"/>
                          <w:b w:val="0"/>
                          <w:i w:val="0"/>
                          <w:szCs w:val="21"/>
                          <w:vertAlign w:val="baseline"/>
                          <w:lang w:val="en-US" w:eastAsia="zh-CN" w:bidi="en-US"/>
                        </w:rPr>
                        <m:t>6.818</m:t>
                      </m:r>
                    </m:oMath>
                  </m:oMathPara>
                </w:p>
              </w:tc>
            </w:tr>
            <w:tr w14:paraId="2D5D93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Merge w:val="continue"/>
                  <w:vAlign w:val="center"/>
                </w:tcPr>
                <w:p w14:paraId="39926DA5">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p>
              </w:tc>
              <w:tc>
                <w:tcPr>
                  <w:tcW w:w="1165" w:type="dxa"/>
                  <w:vMerge w:val="continue"/>
                  <w:shd w:val="clear" w:color="auto" w:fill="auto"/>
                  <w:vAlign w:val="center"/>
                </w:tcPr>
                <w:p w14:paraId="548BC80F">
                  <w:pPr>
                    <w:pStyle w:val="13"/>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kern w:val="2"/>
                      <w:sz w:val="21"/>
                      <w:szCs w:val="21"/>
                      <w:vertAlign w:val="baseline"/>
                      <w:lang w:val="en-US" w:eastAsia="zh-CN" w:bidi="en-US"/>
                    </w:rPr>
                  </w:pPr>
                </w:p>
              </w:tc>
              <w:tc>
                <w:tcPr>
                  <w:tcW w:w="1325" w:type="dxa"/>
                  <w:vMerge w:val="continue"/>
                  <w:vAlign w:val="center"/>
                </w:tcPr>
                <w:p w14:paraId="18FE631A">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p>
              </w:tc>
              <w:tc>
                <w:tcPr>
                  <w:tcW w:w="1202" w:type="dxa"/>
                  <w:vAlign w:val="center"/>
                </w:tcPr>
                <w:p w14:paraId="373688AA">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无水乙醇</w:t>
                  </w:r>
                </w:p>
              </w:tc>
              <w:tc>
                <w:tcPr>
                  <w:tcW w:w="855" w:type="dxa"/>
                  <w:vAlign w:val="center"/>
                </w:tcPr>
                <w:p w14:paraId="4B1C066D">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0.227</w:t>
                  </w:r>
                </w:p>
              </w:tc>
              <w:tc>
                <w:tcPr>
                  <w:tcW w:w="2789" w:type="dxa"/>
                  <w:vAlign w:val="center"/>
                </w:tcPr>
                <w:p w14:paraId="56C5633B">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m:oMathPara>
                    <m:oMath>
                      <m:r>
                        <m:rPr>
                          <m:nor/>
                          <m:sty m:val="p"/>
                        </m:rPr>
                        <w:rPr>
                          <w:rFonts w:hint="default" w:ascii="Times New Roman" w:hAnsi="Times New Roman" w:eastAsia="宋体" w:cs="Times New Roman"/>
                          <w:b w:val="0"/>
                          <w:i w:val="0"/>
                          <w:szCs w:val="21"/>
                          <w:vertAlign w:val="baseline"/>
                          <w:lang w:val="en-US" w:eastAsia="zh-CN" w:bidi="en-US"/>
                        </w:rPr>
                        <m:t>0.227</m:t>
                      </m:r>
                      <m:r>
                        <m:rPr>
                          <m:nor/>
                          <m:sty m:val="p"/>
                        </m:rPr>
                        <w:rPr>
                          <w:rFonts w:hint="default" w:ascii="Times New Roman" w:hAnsi="Times New Roman" w:cs="Times New Roman"/>
                          <w:b w:val="0"/>
                          <w:i w:val="0"/>
                          <w:szCs w:val="21"/>
                          <w:vertAlign w:val="baseline"/>
                          <w:lang w:val="en-US" w:bidi="en-US"/>
                        </w:rPr>
                        <m:t>×</m:t>
                      </m:r>
                      <m:r>
                        <m:rPr>
                          <m:nor/>
                          <m:sty m:val="p"/>
                        </m:rPr>
                        <w:rPr>
                          <w:rFonts w:hint="default" w:ascii="Times New Roman" w:hAnsi="Times New Roman" w:eastAsia="宋体" w:cs="Times New Roman"/>
                          <w:b w:val="0"/>
                          <w:i w:val="0"/>
                          <w:szCs w:val="21"/>
                          <w:vertAlign w:val="baseline"/>
                          <w:lang w:val="en-US" w:eastAsia="zh-CN" w:bidi="en-US"/>
                        </w:rPr>
                        <m:t>1</m:t>
                      </m:r>
                      <m:r>
                        <m:rPr>
                          <m:nor/>
                          <m:sty m:val="p"/>
                        </m:rPr>
                        <w:rPr>
                          <w:rFonts w:hint="default" w:ascii="Times New Roman" w:hAnsi="Times New Roman" w:cs="Times New Roman"/>
                          <w:b w:val="0"/>
                          <w:i w:val="0"/>
                          <w:szCs w:val="21"/>
                          <w:vertAlign w:val="baseline"/>
                          <w:lang w:val="en-US" w:bidi="en-US"/>
                        </w:rPr>
                        <m:t>×</m:t>
                      </m:r>
                      <m:r>
                        <m:rPr>
                          <m:nor/>
                          <m:sty m:val="p"/>
                        </m:rPr>
                        <w:rPr>
                          <w:rFonts w:hint="default" w:ascii="Times New Roman" w:hAnsi="Times New Roman" w:eastAsia="宋体" w:cs="Times New Roman"/>
                          <w:b w:val="0"/>
                          <w:i w:val="0"/>
                          <w:szCs w:val="21"/>
                          <w:vertAlign w:val="baseline"/>
                          <w:lang w:val="en-US" w:eastAsia="zh-CN" w:bidi="en-US"/>
                        </w:rPr>
                        <m:t>1</m:t>
                      </m:r>
                      <m:r>
                        <m:rPr>
                          <m:nor/>
                          <m:sty m:val="p"/>
                        </m:rPr>
                        <w:rPr>
                          <w:rFonts w:hint="default" w:ascii="Times New Roman" w:hAnsi="Times New Roman" w:cs="Times New Roman"/>
                          <w:b w:val="0"/>
                          <w:i w:val="0"/>
                          <w:szCs w:val="21"/>
                          <w:vertAlign w:val="baseline"/>
                          <w:lang w:val="en-US" w:bidi="en-US"/>
                        </w:rPr>
                        <m:t>=</m:t>
                      </m:r>
                      <m:r>
                        <m:rPr>
                          <m:nor/>
                          <m:sty m:val="p"/>
                        </m:rPr>
                        <w:rPr>
                          <w:rFonts w:hint="default" w:ascii="Times New Roman" w:hAnsi="Times New Roman" w:eastAsia="宋体" w:cs="Times New Roman"/>
                          <w:b w:val="0"/>
                          <w:i w:val="0"/>
                          <w:szCs w:val="21"/>
                          <w:vertAlign w:val="baseline"/>
                          <w:lang w:val="en-US" w:eastAsia="zh-CN" w:bidi="en-US"/>
                        </w:rPr>
                        <m:t>0.227</m:t>
                      </m:r>
                    </m:oMath>
                  </m:oMathPara>
                </w:p>
              </w:tc>
            </w:tr>
            <w:tr w14:paraId="01E99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Merge w:val="continue"/>
                  <w:vAlign w:val="center"/>
                </w:tcPr>
                <w:p w14:paraId="4C35218F">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p>
              </w:tc>
              <w:tc>
                <w:tcPr>
                  <w:tcW w:w="1165" w:type="dxa"/>
                  <w:vMerge w:val="restart"/>
                  <w:shd w:val="clear" w:color="auto" w:fill="auto"/>
                  <w:vAlign w:val="center"/>
                </w:tcPr>
                <w:p w14:paraId="3A0B7F0A">
                  <w:pPr>
                    <w:pStyle w:val="13"/>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kern w:val="2"/>
                      <w:sz w:val="21"/>
                      <w:szCs w:val="21"/>
                      <w:vertAlign w:val="baseline"/>
                      <w:lang w:val="en-US" w:eastAsia="zh-CN" w:bidi="en-US"/>
                    </w:rPr>
                  </w:pPr>
                  <w:r>
                    <w:rPr>
                      <w:rFonts w:hint="default" w:ascii="Times New Roman" w:hAnsi="Times New Roman" w:eastAsia="宋体" w:cs="Times New Roman"/>
                      <w:szCs w:val="21"/>
                      <w:vertAlign w:val="baseline"/>
                      <w:lang w:val="en-US" w:eastAsia="zh-CN" w:bidi="en-US"/>
                    </w:rPr>
                    <w:t>复合工序废气</w:t>
                  </w:r>
                </w:p>
              </w:tc>
              <w:tc>
                <w:tcPr>
                  <w:tcW w:w="1325" w:type="dxa"/>
                  <w:vMerge w:val="restart"/>
                  <w:vAlign w:val="center"/>
                </w:tcPr>
                <w:p w14:paraId="350DB7E0">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复合机D</w:t>
                  </w:r>
                </w:p>
              </w:tc>
              <w:tc>
                <w:tcPr>
                  <w:tcW w:w="1202" w:type="dxa"/>
                  <w:vAlign w:val="center"/>
                </w:tcPr>
                <w:p w14:paraId="2A2E4559">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PE+PET</w:t>
                  </w:r>
                </w:p>
              </w:tc>
              <w:tc>
                <w:tcPr>
                  <w:tcW w:w="855" w:type="dxa"/>
                  <w:vAlign w:val="center"/>
                </w:tcPr>
                <w:p w14:paraId="4148C74C">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1028</w:t>
                  </w:r>
                </w:p>
              </w:tc>
              <w:tc>
                <w:tcPr>
                  <w:tcW w:w="2789" w:type="dxa"/>
                  <w:vAlign w:val="center"/>
                </w:tcPr>
                <w:p w14:paraId="243364B7">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m:oMathPara>
                    <m:oMath>
                      <m:r>
                        <m:rPr>
                          <m:nor/>
                          <m:sty m:val="p"/>
                        </m:rPr>
                        <w:rPr>
                          <w:rFonts w:hint="default" w:ascii="Times New Roman" w:hAnsi="Times New Roman" w:eastAsia="宋体" w:cs="Times New Roman"/>
                          <w:b w:val="0"/>
                          <w:i w:val="0"/>
                          <w:szCs w:val="21"/>
                          <w:vertAlign w:val="baseline"/>
                          <w:lang w:val="en-US" w:eastAsia="zh-CN" w:bidi="en-US"/>
                        </w:rPr>
                        <m:t>（3700+600）</m:t>
                      </m:r>
                      <m:r>
                        <m:rPr>
                          <m:nor/>
                          <m:sty m:val="p"/>
                        </m:rPr>
                        <w:rPr>
                          <w:rFonts w:hint="default" w:ascii="Times New Roman" w:hAnsi="Times New Roman" w:cs="Times New Roman"/>
                          <w:b w:val="0"/>
                          <w:i w:val="0"/>
                          <w:szCs w:val="21"/>
                          <w:vertAlign w:val="baseline"/>
                          <w:lang w:val="en-US" w:bidi="en-US"/>
                        </w:rPr>
                        <m:t>×</m:t>
                      </m:r>
                      <m:f>
                        <m:fPr>
                          <m:ctrlPr>
                            <w:rPr>
                              <w:rFonts w:hint="default" w:ascii="Cambria Math" w:hAnsi="Cambria Math" w:cs="Times New Roman"/>
                              <w:i/>
                              <w:szCs w:val="21"/>
                              <w:vertAlign w:val="baseline"/>
                              <w:lang w:val="en-US" w:bidi="en-US"/>
                            </w:rPr>
                          </m:ctrlPr>
                        </m:fPr>
                        <m:num>
                          <m:r>
                            <m:rPr>
                              <m:nor/>
                              <m:sty m:val="p"/>
                            </m:rPr>
                            <w:rPr>
                              <w:rFonts w:hint="default" w:ascii="Times New Roman" w:hAnsi="Times New Roman" w:eastAsia="宋体" w:cs="Times New Roman"/>
                              <w:b w:val="0"/>
                              <w:i w:val="0"/>
                              <w:szCs w:val="21"/>
                              <w:vertAlign w:val="baseline"/>
                              <w:lang w:val="en-US" w:eastAsia="zh-CN" w:bidi="en-US"/>
                            </w:rPr>
                            <m:t>11</m:t>
                          </m:r>
                          <m:ctrlPr>
                            <w:rPr>
                              <w:rFonts w:hint="default" w:ascii="Cambria Math" w:hAnsi="Cambria Math" w:cs="Times New Roman"/>
                              <w:i/>
                              <w:szCs w:val="21"/>
                              <w:vertAlign w:val="baseline"/>
                              <w:lang w:val="en-US" w:bidi="en-US"/>
                            </w:rPr>
                          </m:ctrlPr>
                        </m:num>
                        <m:den>
                          <m:r>
                            <m:rPr>
                              <m:nor/>
                              <m:sty m:val="p"/>
                            </m:rPr>
                            <w:rPr>
                              <w:rFonts w:hint="default" w:ascii="Times New Roman" w:hAnsi="Times New Roman" w:eastAsia="宋体" w:cs="Times New Roman"/>
                              <w:b w:val="0"/>
                              <w:i w:val="0"/>
                              <w:szCs w:val="21"/>
                              <w:vertAlign w:val="baseline"/>
                              <w:lang w:val="en-US" w:eastAsia="zh-CN" w:bidi="en-US"/>
                            </w:rPr>
                            <m:t>46</m:t>
                          </m:r>
                          <m:ctrlPr>
                            <w:rPr>
                              <w:rFonts w:hint="default" w:ascii="Cambria Math" w:hAnsi="Cambria Math" w:cs="Times New Roman"/>
                              <w:i/>
                              <w:szCs w:val="21"/>
                              <w:vertAlign w:val="baseline"/>
                              <w:lang w:val="en-US" w:bidi="en-US"/>
                            </w:rPr>
                          </m:ctrlPr>
                        </m:den>
                      </m:f>
                      <m:r>
                        <m:rPr>
                          <m:nor/>
                          <m:sty m:val="p"/>
                        </m:rPr>
                        <w:rPr>
                          <w:rFonts w:hint="default" w:ascii="Times New Roman" w:hAnsi="Times New Roman" w:cs="Times New Roman"/>
                          <w:b w:val="0"/>
                          <w:i w:val="0"/>
                          <w:szCs w:val="21"/>
                          <w:vertAlign w:val="baseline"/>
                          <w:lang w:val="en-US" w:bidi="en-US"/>
                        </w:rPr>
                        <m:t>×</m:t>
                      </m:r>
                      <m:r>
                        <m:rPr>
                          <m:nor/>
                          <m:sty m:val="p"/>
                        </m:rPr>
                        <w:rPr>
                          <w:rFonts w:hint="default" w:ascii="Times New Roman" w:hAnsi="Times New Roman" w:eastAsia="宋体" w:cs="Times New Roman"/>
                          <w:b w:val="0"/>
                          <w:i w:val="0"/>
                          <w:szCs w:val="21"/>
                          <w:vertAlign w:val="baseline"/>
                          <w:lang w:val="en-US" w:eastAsia="zh-CN" w:bidi="en-US"/>
                        </w:rPr>
                        <m:t>1</m:t>
                      </m:r>
                      <m:r>
                        <m:rPr>
                          <m:nor/>
                          <m:sty m:val="p"/>
                        </m:rPr>
                        <w:rPr>
                          <w:rFonts w:hint="default" w:ascii="Times New Roman" w:hAnsi="Times New Roman" w:cs="Times New Roman"/>
                          <w:b w:val="0"/>
                          <w:i w:val="0"/>
                          <w:szCs w:val="21"/>
                          <w:vertAlign w:val="baseline"/>
                          <w:lang w:val="en-US" w:bidi="en-US"/>
                        </w:rPr>
                        <m:t>=</m:t>
                      </m:r>
                      <m:r>
                        <m:rPr>
                          <m:nor/>
                          <m:sty m:val="p"/>
                        </m:rPr>
                        <w:rPr>
                          <w:rFonts w:hint="default" w:ascii="Times New Roman" w:hAnsi="Times New Roman" w:eastAsia="宋体" w:cs="Times New Roman"/>
                          <w:b w:val="0"/>
                          <w:i w:val="0"/>
                          <w:szCs w:val="21"/>
                          <w:vertAlign w:val="baseline"/>
                          <w:lang w:val="en-US" w:eastAsia="zh-CN" w:bidi="en-US"/>
                        </w:rPr>
                        <m:t>1028</m:t>
                      </m:r>
                    </m:oMath>
                  </m:oMathPara>
                </w:p>
              </w:tc>
            </w:tr>
            <w:tr w14:paraId="3CF72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Merge w:val="continue"/>
                  <w:vAlign w:val="center"/>
                </w:tcPr>
                <w:p w14:paraId="3574B673">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p>
              </w:tc>
              <w:tc>
                <w:tcPr>
                  <w:tcW w:w="1165" w:type="dxa"/>
                  <w:vMerge w:val="continue"/>
                  <w:shd w:val="clear" w:color="auto" w:fill="auto"/>
                  <w:vAlign w:val="center"/>
                </w:tcPr>
                <w:p w14:paraId="388A7E55">
                  <w:pPr>
                    <w:pStyle w:val="13"/>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kern w:val="2"/>
                      <w:sz w:val="21"/>
                      <w:szCs w:val="21"/>
                      <w:vertAlign w:val="baseline"/>
                      <w:lang w:val="en-US" w:eastAsia="zh-CN" w:bidi="en-US"/>
                    </w:rPr>
                  </w:pPr>
                </w:p>
              </w:tc>
              <w:tc>
                <w:tcPr>
                  <w:tcW w:w="1325" w:type="dxa"/>
                  <w:vMerge w:val="continue"/>
                  <w:vAlign w:val="center"/>
                </w:tcPr>
                <w:p w14:paraId="72D5FEAC">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p>
              </w:tc>
              <w:tc>
                <w:tcPr>
                  <w:tcW w:w="1202" w:type="dxa"/>
                  <w:vAlign w:val="center"/>
                </w:tcPr>
                <w:p w14:paraId="22E532AB">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胶粘剂</w:t>
                  </w:r>
                </w:p>
              </w:tc>
              <w:tc>
                <w:tcPr>
                  <w:tcW w:w="855" w:type="dxa"/>
                  <w:vAlign w:val="center"/>
                </w:tcPr>
                <w:p w14:paraId="04B252A4">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0.717</w:t>
                  </w:r>
                </w:p>
              </w:tc>
              <w:tc>
                <w:tcPr>
                  <w:tcW w:w="2789" w:type="dxa"/>
                  <w:vAlign w:val="center"/>
                </w:tcPr>
                <w:p w14:paraId="7CCA78B1">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m:oMathPara>
                    <m:oMath>
                      <m:r>
                        <m:rPr>
                          <m:nor/>
                          <m:sty m:val="p"/>
                        </m:rPr>
                        <w:rPr>
                          <w:rFonts w:hint="default" w:ascii="Times New Roman" w:hAnsi="Times New Roman" w:eastAsia="宋体" w:cs="Times New Roman"/>
                          <w:b w:val="0"/>
                          <w:i w:val="0"/>
                          <w:szCs w:val="21"/>
                          <w:vertAlign w:val="baseline"/>
                          <w:lang w:val="en-US" w:eastAsia="zh-CN" w:bidi="en-US"/>
                        </w:rPr>
                        <m:t>0.717</m:t>
                      </m:r>
                      <m:r>
                        <m:rPr>
                          <m:nor/>
                          <m:sty m:val="p"/>
                        </m:rPr>
                        <w:rPr>
                          <w:rFonts w:hint="default" w:ascii="Times New Roman" w:hAnsi="Times New Roman" w:cs="Times New Roman"/>
                          <w:b w:val="0"/>
                          <w:i w:val="0"/>
                          <w:szCs w:val="21"/>
                          <w:vertAlign w:val="baseline"/>
                          <w:lang w:val="en-US" w:bidi="en-US"/>
                        </w:rPr>
                        <m:t>×</m:t>
                      </m:r>
                      <m:r>
                        <m:rPr>
                          <m:nor/>
                          <m:sty m:val="p"/>
                        </m:rPr>
                        <w:rPr>
                          <w:rFonts w:hint="default" w:ascii="Times New Roman" w:hAnsi="Times New Roman" w:eastAsia="宋体" w:cs="Times New Roman"/>
                          <w:b w:val="0"/>
                          <w:i w:val="0"/>
                          <w:szCs w:val="21"/>
                          <w:vertAlign w:val="baseline"/>
                          <w:lang w:val="en-US" w:eastAsia="zh-CN" w:bidi="en-US"/>
                        </w:rPr>
                        <m:t>1</m:t>
                      </m:r>
                      <m:r>
                        <m:rPr>
                          <m:nor/>
                          <m:sty m:val="p"/>
                        </m:rPr>
                        <w:rPr>
                          <w:rFonts w:hint="default" w:ascii="Times New Roman" w:hAnsi="Times New Roman" w:cs="Times New Roman"/>
                          <w:b w:val="0"/>
                          <w:i w:val="0"/>
                          <w:szCs w:val="21"/>
                          <w:vertAlign w:val="baseline"/>
                          <w:lang w:val="en-US" w:bidi="en-US"/>
                        </w:rPr>
                        <m:t>×</m:t>
                      </m:r>
                      <m:r>
                        <m:rPr>
                          <m:nor/>
                          <m:sty m:val="p"/>
                        </m:rPr>
                        <w:rPr>
                          <w:rFonts w:hint="default" w:ascii="Times New Roman" w:hAnsi="Times New Roman" w:eastAsia="宋体" w:cs="Times New Roman"/>
                          <w:b w:val="0"/>
                          <w:i w:val="0"/>
                          <w:szCs w:val="21"/>
                          <w:vertAlign w:val="baseline"/>
                          <w:lang w:val="en-US" w:eastAsia="zh-CN" w:bidi="en-US"/>
                        </w:rPr>
                        <m:t>1</m:t>
                      </m:r>
                      <m:r>
                        <m:rPr>
                          <m:nor/>
                          <m:sty m:val="p"/>
                        </m:rPr>
                        <w:rPr>
                          <w:rFonts w:hint="default" w:ascii="Times New Roman" w:hAnsi="Times New Roman" w:cs="Times New Roman"/>
                          <w:b w:val="0"/>
                          <w:i w:val="0"/>
                          <w:szCs w:val="21"/>
                          <w:vertAlign w:val="baseline"/>
                          <w:lang w:val="en-US" w:bidi="en-US"/>
                        </w:rPr>
                        <m:t>=</m:t>
                      </m:r>
                      <m:r>
                        <m:rPr>
                          <m:nor/>
                          <m:sty m:val="p"/>
                        </m:rPr>
                        <w:rPr>
                          <w:rFonts w:hint="default" w:ascii="Times New Roman" w:hAnsi="Times New Roman" w:eastAsia="宋体" w:cs="Times New Roman"/>
                          <w:b w:val="0"/>
                          <w:i w:val="0"/>
                          <w:szCs w:val="21"/>
                          <w:vertAlign w:val="baseline"/>
                          <w:lang w:val="en-US" w:eastAsia="zh-CN" w:bidi="en-US"/>
                        </w:rPr>
                        <m:t>0.717</m:t>
                      </m:r>
                    </m:oMath>
                  </m:oMathPara>
                </w:p>
              </w:tc>
            </w:tr>
            <w:tr w14:paraId="6B11B8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Merge w:val="continue"/>
                  <w:vAlign w:val="center"/>
                </w:tcPr>
                <w:p w14:paraId="4B34570C">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p>
              </w:tc>
              <w:tc>
                <w:tcPr>
                  <w:tcW w:w="1165" w:type="dxa"/>
                  <w:vMerge w:val="restart"/>
                  <w:shd w:val="clear" w:color="auto" w:fill="auto"/>
                  <w:vAlign w:val="center"/>
                </w:tcPr>
                <w:p w14:paraId="6BF449C3">
                  <w:pPr>
                    <w:pStyle w:val="13"/>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固化工序废气</w:t>
                  </w:r>
                </w:p>
              </w:tc>
              <w:tc>
                <w:tcPr>
                  <w:tcW w:w="1325" w:type="dxa"/>
                  <w:vMerge w:val="restart"/>
                  <w:vAlign w:val="center"/>
                </w:tcPr>
                <w:p w14:paraId="14B82FD2">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r>
                    <w:rPr>
                      <w:rFonts w:hint="default" w:ascii="Times New Roman" w:hAnsi="Times New Roman" w:eastAsia="宋体" w:cs="Times New Roman"/>
                      <w:szCs w:val="21"/>
                      <w:vertAlign w:val="baseline"/>
                      <w:lang w:val="en-US" w:eastAsia="zh-CN" w:bidi="en-US"/>
                    </w:rPr>
                    <w:t>固化室L-N</w:t>
                  </w:r>
                </w:p>
              </w:tc>
              <w:tc>
                <w:tcPr>
                  <w:tcW w:w="1202" w:type="dxa"/>
                  <w:shd w:val="clear" w:color="auto" w:fill="auto"/>
                  <w:vAlign w:val="center"/>
                </w:tcPr>
                <w:p w14:paraId="2868021C">
                  <w:pPr>
                    <w:pStyle w:val="13"/>
                    <w:keepNext w:val="0"/>
                    <w:keepLines w:val="0"/>
                    <w:suppressLineNumbers w:val="0"/>
                    <w:spacing w:before="0" w:beforeAutospacing="0" w:after="0" w:afterAutospacing="0"/>
                    <w:ind w:left="0" w:leftChars="0" w:right="0" w:rightChars="0" w:firstLine="0" w:firstLineChars="0"/>
                    <w:jc w:val="center"/>
                    <w:rPr>
                      <w:rFonts w:hint="default" w:ascii="Times New Roman" w:hAnsi="Times New Roman" w:eastAsia="宋体" w:cs="Times New Roman"/>
                      <w:kern w:val="2"/>
                      <w:sz w:val="21"/>
                      <w:szCs w:val="21"/>
                      <w:vertAlign w:val="baseline"/>
                      <w:lang w:val="en-US" w:eastAsia="zh-CN" w:bidi="en-US"/>
                    </w:rPr>
                  </w:pPr>
                  <w:r>
                    <w:rPr>
                      <w:rFonts w:hint="default" w:ascii="Times New Roman" w:hAnsi="Times New Roman" w:eastAsia="宋体" w:cs="Times New Roman"/>
                      <w:szCs w:val="21"/>
                      <w:vertAlign w:val="baseline"/>
                      <w:lang w:val="en-US" w:eastAsia="zh-CN" w:bidi="en-US"/>
                    </w:rPr>
                    <w:t>PE+PET</w:t>
                  </w:r>
                </w:p>
              </w:tc>
              <w:tc>
                <w:tcPr>
                  <w:tcW w:w="855" w:type="dxa"/>
                  <w:shd w:val="clear" w:color="auto" w:fill="auto"/>
                  <w:vAlign w:val="center"/>
                </w:tcPr>
                <w:p w14:paraId="14F5CBBF">
                  <w:pPr>
                    <w:pStyle w:val="13"/>
                    <w:keepNext w:val="0"/>
                    <w:keepLines w:val="0"/>
                    <w:suppressLineNumbers w:val="0"/>
                    <w:spacing w:before="0" w:beforeAutospacing="0" w:after="0" w:afterAutospacing="0"/>
                    <w:ind w:left="0" w:leftChars="0" w:right="0" w:rightChars="0" w:firstLine="0" w:firstLineChars="0"/>
                    <w:jc w:val="center"/>
                    <w:rPr>
                      <w:rFonts w:hint="default" w:ascii="Times New Roman" w:hAnsi="Times New Roman" w:eastAsia="宋体" w:cs="Times New Roman"/>
                      <w:kern w:val="2"/>
                      <w:sz w:val="21"/>
                      <w:szCs w:val="21"/>
                      <w:vertAlign w:val="baseline"/>
                      <w:lang w:val="en-US" w:eastAsia="zh-CN" w:bidi="en-US"/>
                    </w:rPr>
                  </w:pPr>
                  <w:r>
                    <w:rPr>
                      <w:rFonts w:hint="default" w:ascii="Times New Roman" w:hAnsi="Times New Roman" w:eastAsia="宋体" w:cs="Times New Roman"/>
                      <w:szCs w:val="21"/>
                      <w:vertAlign w:val="baseline"/>
                      <w:lang w:val="en-US" w:eastAsia="zh-CN" w:bidi="en-US"/>
                    </w:rPr>
                    <w:t>1028</w:t>
                  </w:r>
                </w:p>
              </w:tc>
              <w:tc>
                <w:tcPr>
                  <w:tcW w:w="2789" w:type="dxa"/>
                  <w:shd w:val="clear" w:color="auto" w:fill="auto"/>
                  <w:vAlign w:val="center"/>
                </w:tcPr>
                <w:p w14:paraId="1A0C1F84">
                  <w:pPr>
                    <w:pStyle w:val="13"/>
                    <w:keepNext w:val="0"/>
                    <w:keepLines w:val="0"/>
                    <w:suppressLineNumbers w:val="0"/>
                    <w:spacing w:before="0" w:beforeAutospacing="0" w:after="0" w:afterAutospacing="0"/>
                    <w:ind w:left="0" w:leftChars="0" w:right="0" w:rightChars="0" w:firstLine="0" w:firstLineChars="0"/>
                    <w:jc w:val="center"/>
                    <w:rPr>
                      <w:rFonts w:hint="default" w:ascii="Times New Roman" w:hAnsi="Times New Roman" w:eastAsia="宋体" w:cs="Times New Roman"/>
                      <w:kern w:val="2"/>
                      <w:sz w:val="21"/>
                      <w:szCs w:val="21"/>
                      <w:vertAlign w:val="baseline"/>
                      <w:lang w:val="en-US" w:eastAsia="zh-CN" w:bidi="en-US"/>
                      <w:oMath/>
                    </w:rPr>
                  </w:pPr>
                  <m:oMathPara>
                    <m:oMath>
                      <m:r>
                        <m:rPr>
                          <m:nor/>
                          <m:sty m:val="p"/>
                        </m:rPr>
                        <w:rPr>
                          <w:rFonts w:hint="default" w:ascii="Times New Roman" w:hAnsi="Times New Roman" w:eastAsia="宋体" w:cs="Times New Roman"/>
                          <w:b w:val="0"/>
                          <w:i w:val="0"/>
                          <w:szCs w:val="21"/>
                          <w:vertAlign w:val="baseline"/>
                          <w:lang w:val="en-US" w:eastAsia="zh-CN" w:bidi="en-US"/>
                        </w:rPr>
                        <m:t>（3700+600）</m:t>
                      </m:r>
                      <m:r>
                        <m:rPr>
                          <m:nor/>
                          <m:sty m:val="p"/>
                        </m:rPr>
                        <w:rPr>
                          <w:rFonts w:hint="default" w:ascii="Times New Roman" w:hAnsi="Times New Roman" w:cs="Times New Roman"/>
                          <w:b w:val="0"/>
                          <w:i w:val="0"/>
                          <w:szCs w:val="21"/>
                          <w:vertAlign w:val="baseline"/>
                          <w:lang w:val="en-US" w:bidi="en-US"/>
                        </w:rPr>
                        <m:t>×</m:t>
                      </m:r>
                      <m:f>
                        <m:fPr>
                          <m:ctrlPr>
                            <w:rPr>
                              <w:rFonts w:hint="default" w:ascii="Cambria Math" w:hAnsi="Cambria Math" w:cs="Times New Roman"/>
                              <w:i/>
                              <w:szCs w:val="21"/>
                              <w:vertAlign w:val="baseline"/>
                              <w:lang w:val="en-US" w:bidi="en-US"/>
                            </w:rPr>
                          </m:ctrlPr>
                        </m:fPr>
                        <m:num>
                          <m:r>
                            <m:rPr>
                              <m:nor/>
                              <m:sty m:val="p"/>
                            </m:rPr>
                            <w:rPr>
                              <w:rFonts w:hint="default" w:ascii="Times New Roman" w:hAnsi="Times New Roman" w:eastAsia="宋体" w:cs="Times New Roman"/>
                              <w:b w:val="0"/>
                              <w:i w:val="0"/>
                              <w:szCs w:val="21"/>
                              <w:vertAlign w:val="baseline"/>
                              <w:lang w:val="en-US" w:eastAsia="zh-CN" w:bidi="en-US"/>
                            </w:rPr>
                            <m:t>11</m:t>
                          </m:r>
                          <m:ctrlPr>
                            <w:rPr>
                              <w:rFonts w:hint="default" w:ascii="Cambria Math" w:hAnsi="Cambria Math" w:cs="Times New Roman"/>
                              <w:i/>
                              <w:szCs w:val="21"/>
                              <w:vertAlign w:val="baseline"/>
                              <w:lang w:val="en-US" w:bidi="en-US"/>
                            </w:rPr>
                          </m:ctrlPr>
                        </m:num>
                        <m:den>
                          <m:r>
                            <m:rPr>
                              <m:nor/>
                              <m:sty m:val="p"/>
                            </m:rPr>
                            <w:rPr>
                              <w:rFonts w:hint="default" w:ascii="Times New Roman" w:hAnsi="Times New Roman" w:eastAsia="宋体" w:cs="Times New Roman"/>
                              <w:b w:val="0"/>
                              <w:i w:val="0"/>
                              <w:szCs w:val="21"/>
                              <w:vertAlign w:val="baseline"/>
                              <w:lang w:val="en-US" w:eastAsia="zh-CN" w:bidi="en-US"/>
                            </w:rPr>
                            <m:t>46</m:t>
                          </m:r>
                          <m:ctrlPr>
                            <w:rPr>
                              <w:rFonts w:hint="default" w:ascii="Cambria Math" w:hAnsi="Cambria Math" w:cs="Times New Roman"/>
                              <w:i/>
                              <w:szCs w:val="21"/>
                              <w:vertAlign w:val="baseline"/>
                              <w:lang w:val="en-US" w:bidi="en-US"/>
                            </w:rPr>
                          </m:ctrlPr>
                        </m:den>
                      </m:f>
                      <m:r>
                        <m:rPr>
                          <m:nor/>
                          <m:sty m:val="p"/>
                        </m:rPr>
                        <w:rPr>
                          <w:rFonts w:hint="default" w:ascii="Times New Roman" w:hAnsi="Times New Roman" w:cs="Times New Roman"/>
                          <w:b w:val="0"/>
                          <w:i w:val="0"/>
                          <w:szCs w:val="21"/>
                          <w:vertAlign w:val="baseline"/>
                          <w:lang w:val="en-US" w:bidi="en-US"/>
                        </w:rPr>
                        <m:t>×</m:t>
                      </m:r>
                      <m:r>
                        <m:rPr>
                          <m:nor/>
                          <m:sty m:val="p"/>
                        </m:rPr>
                        <w:rPr>
                          <w:rFonts w:hint="default" w:ascii="Times New Roman" w:hAnsi="Times New Roman" w:eastAsia="宋体" w:cs="Times New Roman"/>
                          <w:b w:val="0"/>
                          <w:i w:val="0"/>
                          <w:szCs w:val="21"/>
                          <w:vertAlign w:val="baseline"/>
                          <w:lang w:val="en-US" w:eastAsia="zh-CN" w:bidi="en-US"/>
                        </w:rPr>
                        <m:t>1</m:t>
                      </m:r>
                      <m:r>
                        <m:rPr>
                          <m:nor/>
                          <m:sty m:val="p"/>
                        </m:rPr>
                        <w:rPr>
                          <w:rFonts w:hint="default" w:ascii="Times New Roman" w:hAnsi="Times New Roman" w:cs="Times New Roman"/>
                          <w:b w:val="0"/>
                          <w:i w:val="0"/>
                          <w:szCs w:val="21"/>
                          <w:vertAlign w:val="baseline"/>
                          <w:lang w:val="en-US" w:bidi="en-US"/>
                        </w:rPr>
                        <m:t>=</m:t>
                      </m:r>
                      <m:r>
                        <m:rPr>
                          <m:nor/>
                          <m:sty m:val="p"/>
                        </m:rPr>
                        <w:rPr>
                          <w:rFonts w:hint="default" w:ascii="Times New Roman" w:hAnsi="Times New Roman" w:eastAsia="宋体" w:cs="Times New Roman"/>
                          <w:b w:val="0"/>
                          <w:i w:val="0"/>
                          <w:szCs w:val="21"/>
                          <w:vertAlign w:val="baseline"/>
                          <w:lang w:val="en-US" w:eastAsia="zh-CN" w:bidi="en-US"/>
                        </w:rPr>
                        <m:t>1028</m:t>
                      </m:r>
                    </m:oMath>
                  </m:oMathPara>
                </w:p>
              </w:tc>
            </w:tr>
            <w:tr w14:paraId="101D71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Merge w:val="continue"/>
                  <w:vAlign w:val="center"/>
                </w:tcPr>
                <w:p w14:paraId="440E386D">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p>
              </w:tc>
              <w:tc>
                <w:tcPr>
                  <w:tcW w:w="1165" w:type="dxa"/>
                  <w:vMerge w:val="continue"/>
                  <w:shd w:val="clear" w:color="auto" w:fill="auto"/>
                  <w:vAlign w:val="center"/>
                </w:tcPr>
                <w:p w14:paraId="552DF6F7">
                  <w:pPr>
                    <w:pStyle w:val="13"/>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szCs w:val="21"/>
                      <w:vertAlign w:val="baseline"/>
                      <w:lang w:val="en-US" w:eastAsia="zh-CN" w:bidi="en-US"/>
                    </w:rPr>
                  </w:pPr>
                </w:p>
              </w:tc>
              <w:tc>
                <w:tcPr>
                  <w:tcW w:w="1325" w:type="dxa"/>
                  <w:vMerge w:val="continue"/>
                  <w:vAlign w:val="center"/>
                </w:tcPr>
                <w:p w14:paraId="257BD47D">
                  <w:pPr>
                    <w:pStyle w:val="13"/>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Cs w:val="21"/>
                      <w:vertAlign w:val="baseline"/>
                      <w:lang w:val="en-US" w:eastAsia="zh-CN" w:bidi="en-US"/>
                    </w:rPr>
                  </w:pPr>
                </w:p>
              </w:tc>
              <w:tc>
                <w:tcPr>
                  <w:tcW w:w="1202" w:type="dxa"/>
                  <w:shd w:val="clear" w:color="auto" w:fill="auto"/>
                  <w:vAlign w:val="center"/>
                </w:tcPr>
                <w:p w14:paraId="1EB6B765">
                  <w:pPr>
                    <w:pStyle w:val="13"/>
                    <w:keepNext w:val="0"/>
                    <w:keepLines w:val="0"/>
                    <w:suppressLineNumbers w:val="0"/>
                    <w:spacing w:before="0" w:beforeAutospacing="0" w:after="0" w:afterAutospacing="0"/>
                    <w:ind w:left="0" w:leftChars="0" w:right="0" w:rightChars="0" w:firstLine="0" w:firstLineChars="0"/>
                    <w:jc w:val="center"/>
                    <w:rPr>
                      <w:rFonts w:hint="default" w:ascii="Times New Roman" w:hAnsi="Times New Roman" w:eastAsia="宋体" w:cs="Times New Roman"/>
                      <w:kern w:val="2"/>
                      <w:sz w:val="21"/>
                      <w:szCs w:val="21"/>
                      <w:vertAlign w:val="baseline"/>
                      <w:lang w:val="en-US" w:eastAsia="zh-CN" w:bidi="en-US"/>
                    </w:rPr>
                  </w:pPr>
                  <w:r>
                    <w:rPr>
                      <w:rFonts w:hint="default" w:ascii="Times New Roman" w:hAnsi="Times New Roman" w:eastAsia="宋体" w:cs="Times New Roman"/>
                      <w:szCs w:val="21"/>
                      <w:vertAlign w:val="baseline"/>
                      <w:lang w:val="en-US" w:eastAsia="zh-CN" w:bidi="en-US"/>
                    </w:rPr>
                    <w:t>胶粘剂</w:t>
                  </w:r>
                </w:p>
              </w:tc>
              <w:tc>
                <w:tcPr>
                  <w:tcW w:w="855" w:type="dxa"/>
                  <w:shd w:val="clear" w:color="auto" w:fill="auto"/>
                  <w:vAlign w:val="center"/>
                </w:tcPr>
                <w:p w14:paraId="68E7852D">
                  <w:pPr>
                    <w:pStyle w:val="13"/>
                    <w:keepNext w:val="0"/>
                    <w:keepLines w:val="0"/>
                    <w:suppressLineNumbers w:val="0"/>
                    <w:spacing w:before="0" w:beforeAutospacing="0" w:after="0" w:afterAutospacing="0"/>
                    <w:ind w:left="0" w:leftChars="0" w:right="0" w:rightChars="0" w:firstLine="0" w:firstLineChars="0"/>
                    <w:jc w:val="center"/>
                    <w:rPr>
                      <w:rFonts w:hint="default" w:ascii="Times New Roman" w:hAnsi="Times New Roman" w:eastAsia="宋体" w:cs="Times New Roman"/>
                      <w:kern w:val="2"/>
                      <w:sz w:val="21"/>
                      <w:szCs w:val="21"/>
                      <w:vertAlign w:val="baseline"/>
                      <w:lang w:val="en-US" w:eastAsia="zh-CN" w:bidi="en-US"/>
                    </w:rPr>
                  </w:pPr>
                  <w:r>
                    <w:rPr>
                      <w:rFonts w:hint="default" w:ascii="Times New Roman" w:hAnsi="Times New Roman" w:eastAsia="宋体" w:cs="Times New Roman"/>
                      <w:szCs w:val="21"/>
                      <w:vertAlign w:val="baseline"/>
                      <w:lang w:val="en-US" w:eastAsia="zh-CN" w:bidi="en-US"/>
                    </w:rPr>
                    <w:t>0.717</w:t>
                  </w:r>
                </w:p>
              </w:tc>
              <w:tc>
                <w:tcPr>
                  <w:tcW w:w="2789" w:type="dxa"/>
                  <w:shd w:val="clear" w:color="auto" w:fill="auto"/>
                  <w:vAlign w:val="center"/>
                </w:tcPr>
                <w:p w14:paraId="75CCF0C0">
                  <w:pPr>
                    <w:pStyle w:val="13"/>
                    <w:keepNext w:val="0"/>
                    <w:keepLines w:val="0"/>
                    <w:suppressLineNumbers w:val="0"/>
                    <w:spacing w:before="0" w:beforeAutospacing="0" w:after="0" w:afterAutospacing="0"/>
                    <w:ind w:left="0" w:leftChars="0" w:right="0" w:rightChars="0" w:firstLine="0" w:firstLineChars="0"/>
                    <w:jc w:val="center"/>
                    <w:rPr>
                      <w:rFonts w:hint="default" w:ascii="Times New Roman" w:hAnsi="Times New Roman" w:eastAsia="宋体" w:cs="Times New Roman"/>
                      <w:kern w:val="2"/>
                      <w:sz w:val="21"/>
                      <w:szCs w:val="21"/>
                      <w:vertAlign w:val="baseline"/>
                      <w:lang w:val="en-US" w:eastAsia="zh-CN" w:bidi="en-US"/>
                      <w:oMath/>
                    </w:rPr>
                  </w:pPr>
                  <m:oMathPara>
                    <m:oMath>
                      <m:r>
                        <m:rPr>
                          <m:nor/>
                          <m:sty m:val="p"/>
                        </m:rPr>
                        <w:rPr>
                          <w:rFonts w:hint="default" w:ascii="Times New Roman" w:hAnsi="Times New Roman" w:eastAsia="宋体" w:cs="Times New Roman"/>
                          <w:b w:val="0"/>
                          <w:i w:val="0"/>
                          <w:szCs w:val="21"/>
                          <w:vertAlign w:val="baseline"/>
                          <w:lang w:val="en-US" w:eastAsia="zh-CN" w:bidi="en-US"/>
                        </w:rPr>
                        <m:t>0.717</m:t>
                      </m:r>
                      <m:r>
                        <m:rPr>
                          <m:nor/>
                          <m:sty m:val="p"/>
                        </m:rPr>
                        <w:rPr>
                          <w:rFonts w:hint="default" w:ascii="Times New Roman" w:hAnsi="Times New Roman" w:cs="Times New Roman"/>
                          <w:b w:val="0"/>
                          <w:i w:val="0"/>
                          <w:szCs w:val="21"/>
                          <w:vertAlign w:val="baseline"/>
                          <w:lang w:val="en-US" w:bidi="en-US"/>
                        </w:rPr>
                        <m:t>×</m:t>
                      </m:r>
                      <m:r>
                        <m:rPr>
                          <m:nor/>
                          <m:sty m:val="p"/>
                        </m:rPr>
                        <w:rPr>
                          <w:rFonts w:hint="default" w:ascii="Times New Roman" w:hAnsi="Times New Roman" w:eastAsia="宋体" w:cs="Times New Roman"/>
                          <w:b w:val="0"/>
                          <w:i w:val="0"/>
                          <w:szCs w:val="21"/>
                          <w:vertAlign w:val="baseline"/>
                          <w:lang w:val="en-US" w:eastAsia="zh-CN" w:bidi="en-US"/>
                        </w:rPr>
                        <m:t>1</m:t>
                      </m:r>
                      <m:r>
                        <m:rPr>
                          <m:nor/>
                          <m:sty m:val="p"/>
                        </m:rPr>
                        <w:rPr>
                          <w:rFonts w:hint="default" w:ascii="Times New Roman" w:hAnsi="Times New Roman" w:cs="Times New Roman"/>
                          <w:b w:val="0"/>
                          <w:i w:val="0"/>
                          <w:szCs w:val="21"/>
                          <w:vertAlign w:val="baseline"/>
                          <w:lang w:val="en-US" w:bidi="en-US"/>
                        </w:rPr>
                        <m:t>×</m:t>
                      </m:r>
                      <m:r>
                        <m:rPr>
                          <m:nor/>
                          <m:sty m:val="p"/>
                        </m:rPr>
                        <w:rPr>
                          <w:rFonts w:hint="default" w:ascii="Times New Roman" w:hAnsi="Times New Roman" w:eastAsia="宋体" w:cs="Times New Roman"/>
                          <w:b w:val="0"/>
                          <w:i w:val="0"/>
                          <w:szCs w:val="21"/>
                          <w:vertAlign w:val="baseline"/>
                          <w:lang w:val="en-US" w:eastAsia="zh-CN" w:bidi="en-US"/>
                        </w:rPr>
                        <m:t>1</m:t>
                      </m:r>
                      <m:r>
                        <m:rPr>
                          <m:nor/>
                          <m:sty m:val="p"/>
                        </m:rPr>
                        <w:rPr>
                          <w:rFonts w:hint="default" w:ascii="Times New Roman" w:hAnsi="Times New Roman" w:cs="Times New Roman"/>
                          <w:b w:val="0"/>
                          <w:i w:val="0"/>
                          <w:szCs w:val="21"/>
                          <w:vertAlign w:val="baseline"/>
                          <w:lang w:val="en-US" w:bidi="en-US"/>
                        </w:rPr>
                        <m:t>=</m:t>
                      </m:r>
                      <m:r>
                        <m:rPr>
                          <m:nor/>
                          <m:sty m:val="p"/>
                        </m:rPr>
                        <w:rPr>
                          <w:rFonts w:hint="default" w:ascii="Times New Roman" w:hAnsi="Times New Roman" w:eastAsia="宋体" w:cs="Times New Roman"/>
                          <w:b w:val="0"/>
                          <w:i w:val="0"/>
                          <w:szCs w:val="21"/>
                          <w:vertAlign w:val="baseline"/>
                          <w:lang w:val="en-US" w:eastAsia="zh-CN" w:bidi="en-US"/>
                        </w:rPr>
                        <m:t>0.717</m:t>
                      </m:r>
                    </m:oMath>
                  </m:oMathPara>
                </w:p>
              </w:tc>
            </w:tr>
            <w:tr w14:paraId="4216EB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88" w:type="dxa"/>
                  <w:gridSpan w:val="6"/>
                  <w:vAlign w:val="center"/>
                </w:tcPr>
                <w:p w14:paraId="12B3E5BE">
                  <w:pPr>
                    <w:pStyle w:val="13"/>
                    <w:keepNext w:val="0"/>
                    <w:keepLines w:val="0"/>
                    <w:suppressLineNumbers w:val="0"/>
                    <w:spacing w:before="0" w:beforeAutospacing="0" w:after="0" w:afterAutospacing="0"/>
                    <w:ind w:left="0" w:leftChars="0" w:right="0" w:rightChars="0" w:firstLine="0" w:firstLineChars="0"/>
                    <w:jc w:val="both"/>
                    <w:rPr>
                      <w:rFonts w:hint="default" w:ascii="Times New Roman" w:hAnsi="Times New Roman" w:eastAsia="宋体" w:cs="Times New Roman"/>
                      <w:b w:val="0"/>
                      <w:i w:val="0"/>
                      <w:szCs w:val="21"/>
                      <w:vertAlign w:val="baseline"/>
                      <w:lang w:val="en-US" w:eastAsia="zh-CN" w:bidi="en-US"/>
                      <w:oMath/>
                    </w:rPr>
                  </w:pPr>
                  <w:r>
                    <w:rPr>
                      <w:rFonts w:hint="default" w:ascii="Times New Roman" w:hAnsi="Times New Roman" w:eastAsia="宋体" w:cs="Times New Roman"/>
                      <w:sz w:val="21"/>
                      <w:szCs w:val="21"/>
                      <w:vertAlign w:val="baseline"/>
                      <w:lang w:val="en-US" w:eastAsia="zh-CN" w:bidi="en-US"/>
                    </w:rPr>
                    <w:t>核算公式：年用量=使用量</w:t>
                  </w:r>
                  <w:r>
                    <w:rPr>
                      <w:rFonts w:hint="default" w:ascii="Times New Roman" w:hAnsi="Times New Roman" w:eastAsia="宋体" w:cs="Times New Roman"/>
                      <w:color w:val="auto"/>
                      <w:sz w:val="21"/>
                      <w:szCs w:val="21"/>
                      <w:highlight w:val="none"/>
                      <w:lang w:val="en-US" w:eastAsia="zh-CN"/>
                    </w:rPr>
                    <w:t>×产能比重×设备数量比重</w:t>
                  </w:r>
                </w:p>
              </w:tc>
            </w:tr>
          </w:tbl>
          <w:p w14:paraId="28D3CB76">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beforeAutospacing="0" w:after="0" w:afterAutospacing="0" w:line="360" w:lineRule="auto"/>
              <w:ind w:left="0" w:leftChars="0" w:right="0" w:rightChars="0" w:firstLine="480" w:firstLineChars="200"/>
              <w:jc w:val="both"/>
              <w:textAlignment w:val="auto"/>
              <w:rPr>
                <w:rFonts w:hint="default" w:ascii="Times New Roman" w:hAnsi="Times New Roman" w:eastAsia="宋体" w:cs="Times New Roman"/>
                <w:b w:val="0"/>
                <w:bCs w:val="0"/>
                <w:color w:val="auto"/>
                <w:kern w:val="0"/>
                <w:sz w:val="24"/>
                <w:lang w:val="en-US" w:eastAsia="zh-CN" w:bidi="en-US"/>
              </w:rPr>
            </w:pPr>
            <w:r>
              <w:rPr>
                <w:rFonts w:hint="default" w:cs="Times New Roman"/>
                <w:b w:val="0"/>
                <w:bCs w:val="0"/>
                <w:color w:val="auto"/>
                <w:kern w:val="0"/>
                <w:sz w:val="24"/>
                <w:lang w:val="en-US" w:eastAsia="zh-CN" w:bidi="en-US"/>
              </w:rPr>
              <w:t>（1）</w:t>
            </w:r>
            <w:r>
              <w:rPr>
                <w:rFonts w:hint="default" w:ascii="Times New Roman" w:hAnsi="Times New Roman" w:eastAsia="宋体" w:cs="Times New Roman"/>
                <w:b w:val="0"/>
                <w:bCs w:val="0"/>
                <w:color w:val="auto"/>
                <w:kern w:val="0"/>
                <w:sz w:val="24"/>
                <w:lang w:val="en-US" w:eastAsia="zh-CN" w:bidi="en-US"/>
              </w:rPr>
              <w:t>有组织废气</w:t>
            </w:r>
          </w:p>
          <w:p w14:paraId="6567C24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b w:val="0"/>
                <w:bCs w:val="0"/>
                <w:color w:val="auto"/>
                <w:kern w:val="0"/>
                <w:sz w:val="24"/>
                <w:highlight w:val="none"/>
                <w:lang w:val="en-US" w:eastAsia="zh-CN" w:bidi="en-US"/>
              </w:rPr>
            </w:pPr>
            <w:r>
              <w:rPr>
                <w:rFonts w:hint="default" w:ascii="Times New Roman" w:hAnsi="Times New Roman" w:eastAsia="宋体" w:cs="Times New Roman"/>
                <w:b w:val="0"/>
                <w:bCs w:val="0"/>
                <w:color w:val="auto"/>
                <w:kern w:val="0"/>
                <w:sz w:val="24"/>
                <w:highlight w:val="none"/>
                <w:lang w:val="en-US" w:eastAsia="zh-CN" w:bidi="en-US"/>
              </w:rPr>
              <w:t>①DA001：非洁净车间吹膜、印刷、复合工序废气</w:t>
            </w:r>
          </w:p>
          <w:p w14:paraId="18EF562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b w:val="0"/>
                <w:bCs w:val="0"/>
                <w:color w:val="auto"/>
                <w:kern w:val="0"/>
                <w:sz w:val="24"/>
                <w:lang w:val="en-US" w:eastAsia="zh-CN" w:bidi="en-US"/>
              </w:rPr>
            </w:pPr>
            <w:r>
              <w:rPr>
                <w:rFonts w:hint="default" w:ascii="Times New Roman" w:hAnsi="Times New Roman" w:eastAsia="宋体" w:cs="Times New Roman"/>
                <w:b w:val="0"/>
                <w:bCs w:val="0"/>
                <w:color w:val="auto"/>
                <w:kern w:val="0"/>
                <w:sz w:val="24"/>
                <w:lang w:val="en-US" w:eastAsia="zh-CN" w:bidi="en-US"/>
              </w:rPr>
              <w:t>DA001：非洁净车间吹膜、印刷（包括配制间A、印刷工序）、复合工序产生废气，主要污染因子为非甲烷总烃、</w:t>
            </w:r>
            <w:r>
              <w:rPr>
                <w:rFonts w:hint="default" w:ascii="Times New Roman" w:hAnsi="Times New Roman" w:eastAsia="宋体" w:cs="Times New Roman"/>
                <w:color w:val="auto"/>
                <w:spacing w:val="0"/>
                <w:position w:val="0"/>
                <w:sz w:val="24"/>
                <w:szCs w:val="22"/>
                <w:highlight w:val="none"/>
                <w:lang w:val="en-US" w:eastAsia="zh-CN"/>
              </w:rPr>
              <w:t>二苯基甲烷二异氰酸酯（MDI）</w:t>
            </w:r>
            <w:r>
              <w:rPr>
                <w:rFonts w:hint="default" w:cs="Times New Roman"/>
                <w:color w:val="auto"/>
                <w:spacing w:val="0"/>
                <w:position w:val="0"/>
                <w:sz w:val="24"/>
                <w:szCs w:val="22"/>
                <w:highlight w:val="none"/>
                <w:lang w:val="en-US" w:eastAsia="zh-CN"/>
              </w:rPr>
              <w:t>、臭气浓度</w:t>
            </w:r>
            <w:r>
              <w:rPr>
                <w:rFonts w:hint="default" w:ascii="Times New Roman" w:hAnsi="Times New Roman" w:eastAsia="宋体" w:cs="Times New Roman"/>
                <w:b w:val="0"/>
                <w:bCs w:val="0"/>
                <w:color w:val="auto"/>
                <w:kern w:val="0"/>
                <w:sz w:val="24"/>
                <w:lang w:val="en-US" w:eastAsia="zh-CN" w:bidi="en-US"/>
              </w:rPr>
              <w:t>。计算如下：</w:t>
            </w:r>
          </w:p>
          <w:p w14:paraId="12F2248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b w:val="0"/>
                <w:bCs w:val="0"/>
                <w:color w:val="auto"/>
                <w:kern w:val="0"/>
                <w:sz w:val="24"/>
                <w:lang w:val="en-US" w:eastAsia="zh-CN" w:bidi="en-US"/>
              </w:rPr>
            </w:pPr>
            <w:r>
              <w:rPr>
                <w:rFonts w:hint="default" w:ascii="Times New Roman" w:hAnsi="Times New Roman" w:eastAsia="宋体" w:cs="Times New Roman"/>
                <w:b w:val="0"/>
                <w:bCs w:val="0"/>
                <w:color w:val="auto"/>
                <w:kern w:val="0"/>
                <w:sz w:val="24"/>
                <w:lang w:val="en-US" w:eastAsia="zh-CN" w:bidi="en-US"/>
              </w:rPr>
              <w:t>根据天津</w:t>
            </w:r>
            <w:r>
              <w:rPr>
                <w:rFonts w:hint="default" w:cs="Times New Roman"/>
                <w:b w:val="0"/>
                <w:bCs w:val="0"/>
                <w:color w:val="auto"/>
                <w:kern w:val="0"/>
                <w:sz w:val="24"/>
                <w:lang w:val="en-US" w:eastAsia="zh-CN" w:bidi="en-US"/>
              </w:rPr>
              <w:t>东海检测技术</w:t>
            </w:r>
            <w:r>
              <w:rPr>
                <w:rFonts w:hint="default" w:ascii="Times New Roman" w:hAnsi="Times New Roman" w:eastAsia="宋体" w:cs="Times New Roman"/>
                <w:b w:val="0"/>
                <w:bCs w:val="0"/>
                <w:color w:val="auto"/>
                <w:kern w:val="0"/>
                <w:sz w:val="24"/>
                <w:lang w:val="en-US" w:eastAsia="zh-CN" w:bidi="en-US"/>
              </w:rPr>
              <w:t>有限公司出具的检测报告（报告编号：津</w:t>
            </w:r>
            <w:r>
              <w:rPr>
                <w:rFonts w:hint="default" w:cs="Times New Roman"/>
                <w:b w:val="0"/>
                <w:bCs w:val="0"/>
                <w:color w:val="auto"/>
                <w:kern w:val="0"/>
                <w:sz w:val="24"/>
                <w:lang w:val="en-US" w:eastAsia="zh-CN" w:bidi="en-US"/>
              </w:rPr>
              <w:t>东海</w:t>
            </w:r>
            <w:r>
              <w:rPr>
                <w:rFonts w:hint="default" w:ascii="Times New Roman" w:hAnsi="Times New Roman" w:eastAsia="宋体" w:cs="Times New Roman"/>
                <w:b w:val="0"/>
                <w:bCs w:val="0"/>
                <w:color w:val="auto"/>
                <w:kern w:val="0"/>
                <w:sz w:val="24"/>
                <w:lang w:val="en-US" w:eastAsia="zh-CN" w:bidi="en-US"/>
              </w:rPr>
              <w:t>检</w:t>
            </w:r>
            <w:r>
              <w:rPr>
                <w:rFonts w:hint="default" w:cs="Times New Roman"/>
                <w:b w:val="0"/>
                <w:bCs w:val="0"/>
                <w:color w:val="auto"/>
                <w:kern w:val="0"/>
                <w:sz w:val="24"/>
                <w:lang w:val="en-US" w:eastAsia="zh-CN" w:bidi="en-US"/>
              </w:rPr>
              <w:t>251015S-06号</w:t>
            </w:r>
            <w:r>
              <w:rPr>
                <w:rFonts w:hint="default" w:ascii="Times New Roman" w:hAnsi="Times New Roman" w:eastAsia="宋体" w:cs="Times New Roman"/>
                <w:b w:val="0"/>
                <w:bCs w:val="0"/>
                <w:color w:val="auto"/>
                <w:kern w:val="0"/>
                <w:sz w:val="24"/>
                <w:lang w:val="en-US" w:eastAsia="zh-CN" w:bidi="en-US"/>
              </w:rPr>
              <w:t>），现有工程吹膜、印刷、复合工序净化设施出口（DA001）废气治理设施检测期间风量为</w:t>
            </w:r>
            <w:r>
              <w:rPr>
                <w:rFonts w:hint="default" w:cs="Times New Roman"/>
                <w:b w:val="0"/>
                <w:bCs w:val="0"/>
                <w:color w:val="auto"/>
                <w:kern w:val="0"/>
                <w:sz w:val="24"/>
                <w:lang w:val="en-US" w:eastAsia="zh-CN" w:bidi="en-US"/>
              </w:rPr>
              <w:t>30439</w:t>
            </w:r>
            <w:r>
              <w:rPr>
                <w:rFonts w:hint="default" w:ascii="Times New Roman" w:hAnsi="Times New Roman" w:eastAsia="宋体" w:cs="Times New Roman"/>
                <w:color w:val="auto"/>
                <w:sz w:val="24"/>
              </w:rPr>
              <w:t>m</w:t>
            </w:r>
            <w:r>
              <w:rPr>
                <w:rFonts w:hint="default" w:ascii="Times New Roman" w:hAnsi="Times New Roman" w:eastAsia="宋体" w:cs="Times New Roman"/>
                <w:color w:val="auto"/>
                <w:sz w:val="24"/>
                <w:vertAlign w:val="superscript"/>
              </w:rPr>
              <w:t>3</w:t>
            </w:r>
            <w:r>
              <w:rPr>
                <w:rFonts w:hint="default" w:ascii="Times New Roman" w:hAnsi="Times New Roman" w:eastAsia="宋体" w:cs="Times New Roman"/>
                <w:color w:val="auto"/>
                <w:sz w:val="24"/>
                <w:lang w:val="en-US" w:eastAsia="zh-CN"/>
              </w:rPr>
              <w:t>/h，工作时间为7200h/a，非甲烷总烃排放浓度为</w:t>
            </w:r>
            <w:r>
              <w:rPr>
                <w:rFonts w:hint="default" w:cs="Times New Roman"/>
                <w:color w:val="auto"/>
                <w:sz w:val="24"/>
                <w:lang w:val="en-US" w:eastAsia="zh-CN"/>
              </w:rPr>
              <w:t>2.45</w:t>
            </w:r>
            <w:r>
              <w:rPr>
                <w:rFonts w:hint="default" w:ascii="Times New Roman" w:hAnsi="Times New Roman" w:eastAsia="宋体" w:cs="Times New Roman"/>
                <w:b w:val="0"/>
                <w:bCs w:val="0"/>
                <w:color w:val="auto"/>
                <w:kern w:val="0"/>
                <w:sz w:val="24"/>
                <w:lang w:val="en-US" w:eastAsia="zh-CN" w:bidi="en-US"/>
              </w:rPr>
              <w:t>mg/m³</w:t>
            </w:r>
            <w:r>
              <w:rPr>
                <w:rFonts w:hint="default" w:ascii="Times New Roman" w:hAnsi="Times New Roman" w:eastAsia="宋体" w:cs="Times New Roman"/>
                <w:color w:val="auto"/>
                <w:sz w:val="24"/>
                <w:lang w:val="en-US" w:eastAsia="zh-CN"/>
              </w:rPr>
              <w:t>，排放速率为</w:t>
            </w:r>
            <w:r>
              <w:rPr>
                <w:rFonts w:hint="default" w:cs="Times New Roman"/>
                <w:color w:val="auto"/>
                <w:sz w:val="24"/>
                <w:lang w:val="en-US" w:eastAsia="zh-CN"/>
              </w:rPr>
              <w:t>7.46</w:t>
            </w:r>
            <w:r>
              <w:rPr>
                <w:rFonts w:hint="default" w:ascii="Times New Roman" w:hAnsi="Times New Roman" w:cs="Times New Roman"/>
                <w:color w:val="auto"/>
                <w:sz w:val="24"/>
                <w:lang w:val="en-US" w:eastAsia="zh-CN"/>
              </w:rPr>
              <w:t>×</w:t>
            </w:r>
            <w:r>
              <w:rPr>
                <w:rFonts w:hint="default" w:cs="Times New Roman"/>
                <w:color w:val="auto"/>
                <w:sz w:val="24"/>
                <w:lang w:val="en-US" w:eastAsia="zh-CN"/>
              </w:rPr>
              <w:t>10</w:t>
            </w:r>
            <w:r>
              <w:rPr>
                <w:rFonts w:hint="default" w:cs="Times New Roman"/>
                <w:color w:val="auto"/>
                <w:sz w:val="24"/>
                <w:vertAlign w:val="superscript"/>
                <w:lang w:val="en-US" w:eastAsia="zh-CN"/>
              </w:rPr>
              <w:t>-2</w:t>
            </w:r>
            <w:r>
              <w:rPr>
                <w:rFonts w:hint="default" w:ascii="Times New Roman" w:hAnsi="Times New Roman" w:eastAsia="宋体" w:cs="Times New Roman"/>
                <w:color w:val="auto"/>
                <w:sz w:val="24"/>
                <w:lang w:val="en-US" w:eastAsia="zh-CN"/>
              </w:rPr>
              <w:t>kg/h，去除效率为</w:t>
            </w:r>
            <w:r>
              <w:rPr>
                <w:rFonts w:hint="default" w:cs="Times New Roman"/>
                <w:color w:val="auto"/>
                <w:sz w:val="24"/>
                <w:lang w:val="en-US" w:eastAsia="zh-CN"/>
              </w:rPr>
              <w:t>77.6</w:t>
            </w:r>
            <w:r>
              <w:rPr>
                <w:rFonts w:hint="default" w:ascii="Times New Roman" w:hAnsi="Times New Roman" w:eastAsia="宋体" w:cs="Times New Roman"/>
                <w:color w:val="auto"/>
                <w:sz w:val="24"/>
                <w:lang w:val="en-US" w:eastAsia="zh-CN"/>
              </w:rPr>
              <w:t>%，</w:t>
            </w:r>
            <w:r>
              <w:rPr>
                <w:rFonts w:hint="default" w:cs="Times New Roman"/>
                <w:color w:val="auto"/>
                <w:sz w:val="24"/>
                <w:lang w:val="en-US" w:eastAsia="zh-CN"/>
              </w:rPr>
              <w:t>收集效率为90%，</w:t>
            </w:r>
            <w:r>
              <w:rPr>
                <w:rFonts w:hint="default" w:ascii="Times New Roman" w:hAnsi="Times New Roman" w:cs="Times New Roman"/>
                <w:color w:val="auto"/>
                <w:sz w:val="24"/>
                <w:lang w:val="en-US" w:eastAsia="zh-CN"/>
              </w:rPr>
              <w:t>技改前</w:t>
            </w:r>
            <w:r>
              <w:rPr>
                <w:rFonts w:hint="default" w:ascii="Times New Roman" w:hAnsi="Times New Roman" w:eastAsia="宋体" w:cs="Times New Roman"/>
                <w:color w:val="auto"/>
                <w:sz w:val="24"/>
                <w:lang w:val="en-US" w:eastAsia="zh-CN"/>
              </w:rPr>
              <w:t>共使用原辅料</w:t>
            </w:r>
            <w:r>
              <w:rPr>
                <w:rFonts w:hint="default" w:ascii="Times New Roman" w:hAnsi="Times New Roman" w:cs="Times New Roman"/>
                <w:color w:val="auto"/>
                <w:sz w:val="24"/>
                <w:lang w:val="en-US" w:eastAsia="zh-CN"/>
              </w:rPr>
              <w:t>6580</w:t>
            </w:r>
            <w:r>
              <w:rPr>
                <w:rFonts w:hint="default" w:ascii="Times New Roman" w:hAnsi="Times New Roman" w:eastAsia="宋体" w:cs="Times New Roman"/>
                <w:color w:val="auto"/>
                <w:sz w:val="24"/>
                <w:lang w:val="en-US" w:eastAsia="zh-CN"/>
              </w:rPr>
              <w:t>t，则</w:t>
            </w:r>
            <w:r>
              <w:rPr>
                <w:rFonts w:hint="default" w:ascii="Times New Roman" w:hAnsi="Times New Roman" w:eastAsia="宋体" w:cs="Times New Roman"/>
                <w:b w:val="0"/>
                <w:bCs w:val="0"/>
                <w:color w:val="auto"/>
                <w:kern w:val="0"/>
                <w:sz w:val="24"/>
                <w:lang w:val="en-US" w:eastAsia="zh-CN" w:bidi="en-US"/>
              </w:rPr>
              <w:t>非甲烷总烃产污系数为</w:t>
            </w:r>
            <w:r>
              <w:rPr>
                <w:rFonts w:hint="default" w:ascii="Times New Roman" w:hAnsi="Times New Roman" w:cs="Times New Roman"/>
                <w:b w:val="0"/>
                <w:bCs w:val="0"/>
                <w:color w:val="auto"/>
                <w:kern w:val="0"/>
                <w:sz w:val="24"/>
                <w:lang w:val="en-US" w:eastAsia="zh-CN" w:bidi="en-US"/>
              </w:rPr>
              <w:t>0.</w:t>
            </w:r>
            <w:r>
              <w:rPr>
                <w:rFonts w:hint="default" w:cs="Times New Roman"/>
                <w:b w:val="0"/>
                <w:bCs w:val="0"/>
                <w:color w:val="auto"/>
                <w:kern w:val="0"/>
                <w:sz w:val="24"/>
                <w:lang w:val="en-US" w:eastAsia="zh-CN" w:bidi="en-US"/>
              </w:rPr>
              <w:t>405</w:t>
            </w:r>
            <w:r>
              <w:rPr>
                <w:rFonts w:hint="default" w:ascii="Times New Roman" w:hAnsi="Times New Roman" w:eastAsia="宋体" w:cs="Times New Roman"/>
                <w:b w:val="0"/>
                <w:bCs w:val="0"/>
                <w:color w:val="auto"/>
                <w:kern w:val="0"/>
                <w:sz w:val="24"/>
                <w:lang w:val="en-US" w:eastAsia="zh-CN" w:bidi="en-US"/>
              </w:rPr>
              <w:t>kg/t原料</w:t>
            </w:r>
            <w:r>
              <w:rPr>
                <w:rFonts w:hint="default" w:ascii="Times New Roman" w:hAnsi="Times New Roman" w:eastAsia="宋体" w:cs="Times New Roman"/>
                <w:color w:val="auto"/>
                <w:sz w:val="24"/>
                <w:lang w:val="en-US" w:eastAsia="zh-CN"/>
              </w:rPr>
              <w:t>；</w:t>
            </w:r>
            <w:r>
              <w:rPr>
                <w:rFonts w:hint="default" w:ascii="Times New Roman" w:hAnsi="Times New Roman" w:cs="Times New Roman"/>
                <w:color w:val="auto"/>
                <w:sz w:val="24"/>
                <w:lang w:val="en-US" w:eastAsia="zh-CN"/>
              </w:rPr>
              <w:t>技改完成后共使用原辅料5891t，则非甲烷总烃产生量为</w:t>
            </w:r>
            <w:r>
              <w:rPr>
                <w:rFonts w:hint="default" w:cs="Times New Roman"/>
                <w:color w:val="auto"/>
                <w:sz w:val="24"/>
                <w:lang w:val="en-US" w:eastAsia="zh-CN"/>
              </w:rPr>
              <w:t>2.386</w:t>
            </w:r>
            <w:r>
              <w:rPr>
                <w:rFonts w:hint="default" w:ascii="Times New Roman" w:hAnsi="Times New Roman" w:cs="Times New Roman"/>
                <w:color w:val="auto"/>
                <w:sz w:val="24"/>
                <w:lang w:val="en-US" w:eastAsia="zh-CN"/>
              </w:rPr>
              <w:t>t/a。</w:t>
            </w:r>
          </w:p>
          <w:p w14:paraId="18A8D6B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lang w:val="en-US" w:eastAsia="zh-CN"/>
              </w:rPr>
              <w:t>本项目</w:t>
            </w:r>
            <w:r>
              <w:rPr>
                <w:rFonts w:hint="default" w:cs="Times New Roman"/>
                <w:color w:val="auto"/>
                <w:sz w:val="24"/>
                <w:lang w:val="en-US" w:eastAsia="zh-CN"/>
              </w:rPr>
              <w:t>双组分</w:t>
            </w:r>
            <w:r>
              <w:rPr>
                <w:rFonts w:hint="default" w:ascii="Times New Roman" w:hAnsi="Times New Roman" w:eastAsia="宋体" w:cs="Times New Roman"/>
                <w:color w:val="auto"/>
                <w:sz w:val="24"/>
                <w:lang w:val="en-US" w:eastAsia="zh-CN"/>
              </w:rPr>
              <w:t>无溶剂聚氨酯复膜胶在80℃情况下</w:t>
            </w:r>
            <w:r>
              <w:rPr>
                <w:rFonts w:hint="default" w:ascii="Times New Roman" w:hAnsi="Times New Roman" w:eastAsia="宋体" w:cs="Times New Roman"/>
                <w:color w:val="auto"/>
                <w:sz w:val="24"/>
                <w:highlight w:val="none"/>
                <w:lang w:val="en-US" w:eastAsia="zh-CN"/>
              </w:rPr>
              <w:t>胶粘剂可能产生极少量的单体二苯基甲烷二异氰酸酯</w:t>
            </w:r>
            <w:r>
              <w:rPr>
                <w:rFonts w:hint="default" w:cs="Times New Roman"/>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MDI</w:t>
            </w:r>
            <w:r>
              <w:rPr>
                <w:rFonts w:hint="default" w:cs="Times New Roman"/>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参照《低游离聚氨酯预聚体在工业中的应用》（中国聚氨酯工业协会弹性体专业委员会2013年论文集）中低游离聚氨酯预聚体中异氰酸酯基质量分数含量＜0.1%，考虑最不利情况，生产过程中游离异氰酸酯全部挥发计，项目二苯基甲烷二异氰酸酯</w:t>
            </w:r>
            <w:r>
              <w:rPr>
                <w:rFonts w:hint="default" w:cs="Times New Roman"/>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MDI</w:t>
            </w:r>
            <w:r>
              <w:rPr>
                <w:rFonts w:hint="default" w:cs="Times New Roman"/>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最大含量为1.522×45%=0.685t/a</w:t>
            </w:r>
            <w:r>
              <w:rPr>
                <w:rFonts w:hint="default" w:cs="Times New Roman"/>
                <w:color w:val="auto"/>
                <w:sz w:val="24"/>
                <w:highlight w:val="none"/>
                <w:lang w:val="en-US" w:eastAsia="zh-CN"/>
              </w:rPr>
              <w:t>（根据胶粘剂产品说明书，</w:t>
            </w:r>
            <w:r>
              <w:rPr>
                <w:rFonts w:hint="default" w:ascii="Times New Roman" w:hAnsi="Times New Roman" w:eastAsia="宋体" w:cs="Times New Roman"/>
                <w:color w:val="auto"/>
                <w:sz w:val="24"/>
                <w:highlight w:val="none"/>
                <w:lang w:val="en-US" w:eastAsia="zh-CN"/>
              </w:rPr>
              <w:t>二苯基甲烷二异氰酸酯含量为25%~45%，考虑最不利情况，本项目取45%），则二苯基甲烷二异氰酸酯</w:t>
            </w:r>
            <w:r>
              <w:rPr>
                <w:rFonts w:hint="default" w:cs="Times New Roman"/>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MDI</w:t>
            </w:r>
            <w:r>
              <w:rPr>
                <w:rFonts w:hint="default" w:cs="Times New Roman"/>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产生量为6.85×10</w:t>
            </w:r>
            <w:r>
              <w:rPr>
                <w:rFonts w:hint="default" w:ascii="Times New Roman" w:hAnsi="Times New Roman" w:eastAsia="宋体" w:cs="Times New Roman"/>
                <w:color w:val="auto"/>
                <w:sz w:val="24"/>
                <w:highlight w:val="none"/>
                <w:vertAlign w:val="superscript"/>
                <w:lang w:val="en-US" w:eastAsia="zh-CN"/>
              </w:rPr>
              <w:t>-4</w:t>
            </w:r>
            <w:r>
              <w:rPr>
                <w:rFonts w:hint="default" w:ascii="Times New Roman" w:hAnsi="Times New Roman" w:eastAsia="宋体" w:cs="Times New Roman"/>
                <w:color w:val="auto"/>
                <w:sz w:val="24"/>
                <w:highlight w:val="none"/>
                <w:lang w:val="en-US" w:eastAsia="zh-CN"/>
              </w:rPr>
              <w:t>t/a。</w:t>
            </w:r>
          </w:p>
          <w:p w14:paraId="28F071A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b w:val="0"/>
                <w:bCs w:val="0"/>
                <w:color w:val="auto"/>
                <w:kern w:val="0"/>
                <w:sz w:val="24"/>
                <w:lang w:val="en-US" w:eastAsia="zh-CN" w:bidi="en-US"/>
              </w:rPr>
            </w:pPr>
            <w:r>
              <w:rPr>
                <w:rFonts w:hint="default" w:cs="Times New Roman"/>
                <w:color w:val="auto"/>
                <w:sz w:val="24"/>
                <w:lang w:val="en-US" w:eastAsia="zh-CN"/>
              </w:rPr>
              <w:t>吹膜废气经管道收集、配制间A</w:t>
            </w:r>
            <w:r>
              <w:rPr>
                <w:rFonts w:hint="default" w:ascii="Times New Roman" w:hAnsi="Times New Roman" w:eastAsia="宋体" w:cs="Times New Roman"/>
                <w:color w:val="auto"/>
                <w:sz w:val="24"/>
                <w:lang w:val="en-US" w:eastAsia="zh-CN"/>
              </w:rPr>
              <w:t>废气经</w:t>
            </w:r>
            <w:r>
              <w:rPr>
                <w:rFonts w:hint="default" w:cs="Times New Roman"/>
                <w:color w:val="auto"/>
                <w:sz w:val="24"/>
                <w:lang w:val="en-US" w:eastAsia="zh-CN"/>
              </w:rPr>
              <w:t>管道</w:t>
            </w:r>
            <w:r>
              <w:rPr>
                <w:rFonts w:hint="default" w:ascii="Times New Roman" w:hAnsi="Times New Roman" w:eastAsia="宋体" w:cs="Times New Roman"/>
                <w:color w:val="auto"/>
                <w:sz w:val="24"/>
                <w:lang w:val="en-US" w:eastAsia="zh-CN"/>
              </w:rPr>
              <w:t>收集</w:t>
            </w:r>
            <w:r>
              <w:rPr>
                <w:rFonts w:hint="default" w:cs="Times New Roman"/>
                <w:color w:val="auto"/>
                <w:sz w:val="24"/>
                <w:lang w:val="en-US" w:eastAsia="zh-CN"/>
              </w:rPr>
              <w:t>、印刷废气经集气罩+软帘收集、复合废气经集气罩+软帘收集</w:t>
            </w:r>
            <w:r>
              <w:rPr>
                <w:rFonts w:hint="default" w:ascii="Times New Roman" w:hAnsi="Times New Roman" w:eastAsia="宋体" w:cs="Times New Roman"/>
                <w:color w:val="auto"/>
                <w:sz w:val="24"/>
                <w:lang w:val="en-US" w:eastAsia="zh-CN"/>
              </w:rPr>
              <w:t>后，</w:t>
            </w:r>
            <w:r>
              <w:rPr>
                <w:rFonts w:hint="default" w:cs="Times New Roman"/>
                <w:color w:val="auto"/>
                <w:sz w:val="24"/>
                <w:lang w:val="en-US" w:eastAsia="zh-CN"/>
              </w:rPr>
              <w:t>共同</w:t>
            </w:r>
            <w:r>
              <w:rPr>
                <w:rFonts w:hint="default" w:ascii="Times New Roman" w:hAnsi="Times New Roman" w:eastAsia="宋体" w:cs="Times New Roman"/>
                <w:color w:val="auto"/>
                <w:sz w:val="24"/>
                <w:lang w:val="en-US" w:eastAsia="zh-CN"/>
              </w:rPr>
              <w:t>由1套二级活性炭吸附装置处理后，通过1根15m排气筒（DA001）排放，非甲烷总烃总产生量为</w:t>
            </w:r>
            <w:r>
              <w:rPr>
                <w:rFonts w:hint="default" w:cs="Times New Roman"/>
                <w:color w:val="auto"/>
                <w:sz w:val="24"/>
                <w:lang w:val="en-US" w:eastAsia="zh-CN"/>
              </w:rPr>
              <w:t>2.386</w:t>
            </w:r>
            <w:r>
              <w:rPr>
                <w:rFonts w:hint="default" w:ascii="Times New Roman" w:hAnsi="Times New Roman" w:eastAsia="宋体" w:cs="Times New Roman"/>
                <w:color w:val="auto"/>
                <w:sz w:val="24"/>
                <w:lang w:val="en-US" w:eastAsia="zh-CN"/>
              </w:rPr>
              <w:t>t/a，废气</w:t>
            </w:r>
            <w:r>
              <w:rPr>
                <w:rFonts w:hint="default" w:ascii="Times New Roman" w:hAnsi="Times New Roman" w:eastAsia="宋体" w:cs="Times New Roman"/>
                <w:b w:val="0"/>
                <w:bCs w:val="0"/>
                <w:color w:val="auto"/>
                <w:kern w:val="0"/>
                <w:sz w:val="24"/>
                <w:lang w:val="en-US" w:eastAsia="zh-CN" w:bidi="en-US"/>
              </w:rPr>
              <w:t>收集效率按90%计，处理效率为</w:t>
            </w:r>
            <w:r>
              <w:rPr>
                <w:rFonts w:hint="default" w:cs="Times New Roman"/>
                <w:b w:val="0"/>
                <w:bCs w:val="0"/>
                <w:color w:val="auto"/>
                <w:kern w:val="0"/>
                <w:sz w:val="24"/>
                <w:lang w:val="en-US" w:eastAsia="zh-CN" w:bidi="en-US"/>
              </w:rPr>
              <w:t>77.6</w:t>
            </w:r>
            <w:r>
              <w:rPr>
                <w:rFonts w:hint="default" w:ascii="Times New Roman" w:hAnsi="Times New Roman" w:eastAsia="宋体" w:cs="Times New Roman"/>
                <w:b w:val="0"/>
                <w:bCs w:val="0"/>
                <w:color w:val="auto"/>
                <w:kern w:val="0"/>
                <w:sz w:val="24"/>
                <w:lang w:val="en-US" w:eastAsia="zh-CN" w:bidi="en-US"/>
              </w:rPr>
              <w:t>%，风机风量为</w:t>
            </w:r>
            <w:r>
              <w:rPr>
                <w:rFonts w:hint="default" w:cs="Times New Roman"/>
                <w:b w:val="0"/>
                <w:bCs w:val="0"/>
                <w:color w:val="auto"/>
                <w:kern w:val="0"/>
                <w:sz w:val="24"/>
                <w:lang w:val="en-US" w:eastAsia="zh-CN" w:bidi="en-US"/>
              </w:rPr>
              <w:t>30429</w:t>
            </w:r>
            <w:r>
              <w:rPr>
                <w:rFonts w:hint="default" w:ascii="Times New Roman" w:hAnsi="Times New Roman" w:eastAsia="宋体" w:cs="Times New Roman"/>
                <w:b w:val="0"/>
                <w:bCs w:val="0"/>
                <w:color w:val="auto"/>
                <w:kern w:val="0"/>
                <w:sz w:val="24"/>
                <w:lang w:val="en-US" w:eastAsia="zh-CN" w:bidi="en-US"/>
              </w:rPr>
              <w:t>m³/h，年运行时间7200h。则有组织非甲烷总烃产生量为</w:t>
            </w:r>
            <w:r>
              <w:rPr>
                <w:rFonts w:hint="default" w:cs="Times New Roman"/>
                <w:b w:val="0"/>
                <w:bCs w:val="0"/>
                <w:color w:val="auto"/>
                <w:kern w:val="0"/>
                <w:sz w:val="24"/>
                <w:lang w:val="en-US" w:eastAsia="zh-CN" w:bidi="en-US"/>
              </w:rPr>
              <w:t>2.147t</w:t>
            </w:r>
            <w:r>
              <w:rPr>
                <w:rFonts w:hint="default" w:ascii="Times New Roman" w:hAnsi="Times New Roman" w:eastAsia="宋体" w:cs="Times New Roman"/>
                <w:b w:val="0"/>
                <w:bCs w:val="0"/>
                <w:color w:val="auto"/>
                <w:kern w:val="0"/>
                <w:sz w:val="24"/>
                <w:lang w:val="en-US" w:eastAsia="zh-CN" w:bidi="en-US"/>
              </w:rPr>
              <w:t>/a，产生浓度为</w:t>
            </w:r>
            <w:r>
              <w:rPr>
                <w:rFonts w:hint="default" w:cs="Times New Roman"/>
                <w:b w:val="0"/>
                <w:bCs w:val="0"/>
                <w:color w:val="auto"/>
                <w:kern w:val="0"/>
                <w:sz w:val="24"/>
                <w:lang w:val="en-US" w:eastAsia="zh-CN" w:bidi="en-US"/>
              </w:rPr>
              <w:t>9.798</w:t>
            </w:r>
            <w:r>
              <w:rPr>
                <w:rFonts w:hint="default" w:ascii="Times New Roman" w:hAnsi="Times New Roman" w:eastAsia="宋体" w:cs="Times New Roman"/>
                <w:b w:val="0"/>
                <w:bCs w:val="0"/>
                <w:color w:val="auto"/>
                <w:kern w:val="0"/>
                <w:sz w:val="24"/>
                <w:lang w:val="en-US" w:eastAsia="zh-CN" w:bidi="en-US"/>
              </w:rPr>
              <w:t>mg/m³，产生速率为</w:t>
            </w:r>
            <w:r>
              <w:rPr>
                <w:rFonts w:hint="default" w:cs="Times New Roman"/>
                <w:b w:val="0"/>
                <w:bCs w:val="0"/>
                <w:color w:val="auto"/>
                <w:kern w:val="0"/>
                <w:sz w:val="24"/>
                <w:lang w:val="en-US" w:eastAsia="zh-CN" w:bidi="en-US"/>
              </w:rPr>
              <w:t>0.298</w:t>
            </w:r>
            <w:r>
              <w:rPr>
                <w:rFonts w:hint="default" w:ascii="Times New Roman" w:hAnsi="Times New Roman" w:eastAsia="宋体" w:cs="Times New Roman"/>
                <w:b w:val="0"/>
                <w:bCs w:val="0"/>
                <w:color w:val="auto"/>
                <w:kern w:val="0"/>
                <w:sz w:val="24"/>
                <w:lang w:val="en-US" w:eastAsia="zh-CN" w:bidi="en-US"/>
              </w:rPr>
              <w:t>kg/h；有组织</w:t>
            </w:r>
            <w:r>
              <w:rPr>
                <w:rFonts w:hint="default" w:ascii="Times New Roman" w:hAnsi="Times New Roman" w:eastAsia="宋体" w:cs="Times New Roman"/>
                <w:color w:val="auto"/>
                <w:spacing w:val="0"/>
                <w:position w:val="0"/>
                <w:sz w:val="24"/>
                <w:szCs w:val="22"/>
                <w:highlight w:val="none"/>
                <w:lang w:val="en-US" w:eastAsia="zh-CN"/>
              </w:rPr>
              <w:t>二苯基甲烷二异氰酸酯（MDI）</w:t>
            </w:r>
            <w:r>
              <w:rPr>
                <w:rFonts w:hint="default" w:ascii="Times New Roman" w:hAnsi="Times New Roman" w:eastAsia="宋体" w:cs="Times New Roman"/>
                <w:b w:val="0"/>
                <w:bCs w:val="0"/>
                <w:color w:val="auto"/>
                <w:kern w:val="0"/>
                <w:sz w:val="24"/>
                <w:lang w:val="en-US" w:eastAsia="zh-CN" w:bidi="en-US"/>
              </w:rPr>
              <w:t>产生量为</w:t>
            </w:r>
            <w:r>
              <w:rPr>
                <w:rFonts w:hint="default" w:ascii="Times New Roman" w:hAnsi="Times New Roman" w:eastAsia="宋体" w:cs="Times New Roman"/>
                <w:color w:val="auto"/>
                <w:spacing w:val="0"/>
                <w:position w:val="0"/>
                <w:sz w:val="24"/>
                <w:szCs w:val="22"/>
                <w:highlight w:val="none"/>
                <w:lang w:val="en-US" w:eastAsia="zh-CN"/>
              </w:rPr>
              <w:t>6.16×10</w:t>
            </w:r>
            <w:r>
              <w:rPr>
                <w:rFonts w:hint="default" w:ascii="Times New Roman" w:hAnsi="Times New Roman" w:eastAsia="宋体" w:cs="Times New Roman"/>
                <w:color w:val="auto"/>
                <w:spacing w:val="0"/>
                <w:position w:val="0"/>
                <w:sz w:val="24"/>
                <w:szCs w:val="22"/>
                <w:highlight w:val="none"/>
                <w:vertAlign w:val="superscript"/>
                <w:lang w:val="en-US" w:eastAsia="zh-CN"/>
              </w:rPr>
              <w:t>-4</w:t>
            </w:r>
            <w:r>
              <w:rPr>
                <w:rFonts w:hint="default" w:ascii="Times New Roman" w:hAnsi="Times New Roman" w:eastAsia="宋体" w:cs="Times New Roman"/>
                <w:b w:val="0"/>
                <w:bCs w:val="0"/>
                <w:color w:val="auto"/>
                <w:kern w:val="0"/>
                <w:sz w:val="24"/>
                <w:lang w:val="en-US" w:eastAsia="zh-CN" w:bidi="en-US"/>
              </w:rPr>
              <w:t>t/a，产生浓度为</w:t>
            </w:r>
            <w:r>
              <w:rPr>
                <w:rFonts w:hint="default" w:cs="Times New Roman"/>
                <w:color w:val="auto"/>
                <w:spacing w:val="0"/>
                <w:position w:val="0"/>
                <w:sz w:val="24"/>
                <w:szCs w:val="22"/>
                <w:highlight w:val="none"/>
                <w:lang w:val="en-US" w:eastAsia="zh-CN"/>
              </w:rPr>
              <w:t>2.81</w:t>
            </w:r>
            <w:r>
              <w:rPr>
                <w:rFonts w:hint="default" w:ascii="Times New Roman" w:hAnsi="Times New Roman" w:eastAsia="宋体" w:cs="Times New Roman"/>
                <w:color w:val="auto"/>
                <w:spacing w:val="0"/>
                <w:position w:val="0"/>
                <w:sz w:val="24"/>
                <w:szCs w:val="22"/>
                <w:highlight w:val="none"/>
                <w:lang w:val="en-US" w:eastAsia="zh-CN"/>
              </w:rPr>
              <w:t>×10</w:t>
            </w:r>
            <w:r>
              <w:rPr>
                <w:rFonts w:hint="default" w:ascii="Times New Roman" w:hAnsi="Times New Roman" w:eastAsia="宋体" w:cs="Times New Roman"/>
                <w:color w:val="auto"/>
                <w:spacing w:val="0"/>
                <w:position w:val="0"/>
                <w:sz w:val="24"/>
                <w:szCs w:val="22"/>
                <w:highlight w:val="none"/>
                <w:vertAlign w:val="superscript"/>
                <w:lang w:val="en-US" w:eastAsia="zh-CN"/>
              </w:rPr>
              <w:t>-3</w:t>
            </w:r>
            <w:r>
              <w:rPr>
                <w:rFonts w:hint="default" w:ascii="Times New Roman" w:hAnsi="Times New Roman" w:eastAsia="宋体" w:cs="Times New Roman"/>
                <w:b w:val="0"/>
                <w:bCs w:val="0"/>
                <w:color w:val="auto"/>
                <w:kern w:val="0"/>
                <w:sz w:val="24"/>
                <w:lang w:val="en-US" w:eastAsia="zh-CN" w:bidi="en-US"/>
              </w:rPr>
              <w:t>mg/m³，产生速率为</w:t>
            </w:r>
            <w:r>
              <w:rPr>
                <w:rFonts w:hint="default" w:ascii="Times New Roman" w:hAnsi="Times New Roman" w:eastAsia="宋体" w:cs="Times New Roman"/>
                <w:color w:val="auto"/>
                <w:spacing w:val="0"/>
                <w:position w:val="0"/>
                <w:sz w:val="24"/>
                <w:szCs w:val="22"/>
                <w:highlight w:val="none"/>
                <w:lang w:val="en-US" w:eastAsia="zh-CN"/>
              </w:rPr>
              <w:t>8.56×10</w:t>
            </w:r>
            <w:r>
              <w:rPr>
                <w:rFonts w:hint="default" w:ascii="Times New Roman" w:hAnsi="Times New Roman" w:eastAsia="宋体" w:cs="Times New Roman"/>
                <w:color w:val="auto"/>
                <w:spacing w:val="0"/>
                <w:position w:val="0"/>
                <w:sz w:val="24"/>
                <w:szCs w:val="22"/>
                <w:highlight w:val="none"/>
                <w:vertAlign w:val="superscript"/>
                <w:lang w:val="en-US" w:eastAsia="zh-CN"/>
              </w:rPr>
              <w:t>-5</w:t>
            </w:r>
            <w:r>
              <w:rPr>
                <w:rFonts w:hint="default" w:ascii="Times New Roman" w:hAnsi="Times New Roman" w:eastAsia="宋体" w:cs="Times New Roman"/>
                <w:b w:val="0"/>
                <w:bCs w:val="0"/>
                <w:color w:val="auto"/>
                <w:kern w:val="0"/>
                <w:sz w:val="24"/>
                <w:lang w:val="en-US" w:eastAsia="zh-CN" w:bidi="en-US"/>
              </w:rPr>
              <w:t>kg/h。处理后有组织非甲烷总烃排放量为</w:t>
            </w:r>
            <w:r>
              <w:rPr>
                <w:rFonts w:hint="default" w:cs="Times New Roman"/>
                <w:b w:val="0"/>
                <w:bCs w:val="0"/>
                <w:color w:val="auto"/>
                <w:kern w:val="0"/>
                <w:sz w:val="24"/>
                <w:lang w:val="en-US" w:eastAsia="zh-CN" w:bidi="en-US"/>
              </w:rPr>
              <w:t>0.481</w:t>
            </w:r>
            <w:r>
              <w:rPr>
                <w:rFonts w:hint="default" w:ascii="Times New Roman" w:hAnsi="Times New Roman" w:eastAsia="宋体" w:cs="Times New Roman"/>
                <w:b w:val="0"/>
                <w:bCs w:val="0"/>
                <w:color w:val="auto"/>
                <w:kern w:val="0"/>
                <w:sz w:val="24"/>
                <w:lang w:val="en-US" w:eastAsia="zh-CN" w:bidi="en-US"/>
              </w:rPr>
              <w:t>t/a，排放浓度为</w:t>
            </w:r>
            <w:r>
              <w:rPr>
                <w:rFonts w:hint="default" w:cs="Times New Roman"/>
                <w:b w:val="0"/>
                <w:bCs w:val="0"/>
                <w:color w:val="auto"/>
                <w:kern w:val="0"/>
                <w:sz w:val="24"/>
                <w:lang w:val="en-US" w:eastAsia="zh-CN" w:bidi="en-US"/>
              </w:rPr>
              <w:t>2.195</w:t>
            </w:r>
            <w:r>
              <w:rPr>
                <w:rFonts w:hint="default" w:ascii="Times New Roman" w:hAnsi="Times New Roman" w:eastAsia="宋体" w:cs="Times New Roman"/>
                <w:b w:val="0"/>
                <w:bCs w:val="0"/>
                <w:color w:val="auto"/>
                <w:kern w:val="0"/>
                <w:sz w:val="24"/>
                <w:lang w:val="en-US" w:eastAsia="zh-CN" w:bidi="en-US"/>
              </w:rPr>
              <w:t>mg/m³，排放速率为</w:t>
            </w:r>
            <w:r>
              <w:rPr>
                <w:rFonts w:hint="default" w:cs="Times New Roman"/>
                <w:b w:val="0"/>
                <w:bCs w:val="0"/>
                <w:color w:val="auto"/>
                <w:kern w:val="0"/>
                <w:sz w:val="24"/>
                <w:lang w:val="en-US" w:eastAsia="zh-CN" w:bidi="en-US"/>
              </w:rPr>
              <w:t>0.067</w:t>
            </w:r>
            <w:r>
              <w:rPr>
                <w:rFonts w:hint="default" w:ascii="Times New Roman" w:hAnsi="Times New Roman" w:eastAsia="宋体" w:cs="Times New Roman"/>
                <w:b w:val="0"/>
                <w:bCs w:val="0"/>
                <w:color w:val="auto"/>
                <w:kern w:val="0"/>
                <w:sz w:val="24"/>
                <w:lang w:val="en-US" w:eastAsia="zh-CN" w:bidi="en-US"/>
              </w:rPr>
              <w:t>kg/h；有组织</w:t>
            </w:r>
            <w:r>
              <w:rPr>
                <w:rFonts w:hint="default" w:ascii="Times New Roman" w:hAnsi="Times New Roman" w:eastAsia="宋体" w:cs="Times New Roman"/>
                <w:color w:val="auto"/>
                <w:spacing w:val="0"/>
                <w:position w:val="0"/>
                <w:sz w:val="24"/>
                <w:szCs w:val="22"/>
                <w:highlight w:val="none"/>
                <w:lang w:val="en-US" w:eastAsia="zh-CN"/>
              </w:rPr>
              <w:t>二苯基甲烷二异氰酸酯（MDI）</w:t>
            </w:r>
            <w:r>
              <w:rPr>
                <w:rFonts w:hint="default" w:ascii="Times New Roman" w:hAnsi="Times New Roman" w:eastAsia="宋体" w:cs="Times New Roman"/>
                <w:b w:val="0"/>
                <w:bCs w:val="0"/>
                <w:color w:val="auto"/>
                <w:kern w:val="0"/>
                <w:sz w:val="24"/>
                <w:lang w:val="en-US" w:eastAsia="zh-CN" w:bidi="en-US"/>
              </w:rPr>
              <w:t>排放量为</w:t>
            </w:r>
            <w:r>
              <w:rPr>
                <w:rFonts w:hint="default" w:cs="Times New Roman"/>
                <w:color w:val="auto"/>
                <w:spacing w:val="0"/>
                <w:position w:val="0"/>
                <w:sz w:val="24"/>
                <w:szCs w:val="22"/>
                <w:highlight w:val="none"/>
                <w:lang w:val="en-US" w:eastAsia="zh-CN"/>
              </w:rPr>
              <w:t>1.38</w:t>
            </w:r>
            <w:r>
              <w:rPr>
                <w:rFonts w:hint="default" w:ascii="Times New Roman" w:hAnsi="Times New Roman" w:eastAsia="宋体" w:cs="Times New Roman"/>
                <w:color w:val="auto"/>
                <w:spacing w:val="0"/>
                <w:position w:val="0"/>
                <w:sz w:val="24"/>
                <w:szCs w:val="22"/>
                <w:highlight w:val="none"/>
                <w:lang w:val="en-US" w:eastAsia="zh-CN"/>
              </w:rPr>
              <w:t>×10</w:t>
            </w:r>
            <w:r>
              <w:rPr>
                <w:rFonts w:hint="default" w:ascii="Times New Roman" w:hAnsi="Times New Roman" w:eastAsia="宋体" w:cs="Times New Roman"/>
                <w:color w:val="auto"/>
                <w:spacing w:val="0"/>
                <w:position w:val="0"/>
                <w:sz w:val="24"/>
                <w:szCs w:val="22"/>
                <w:highlight w:val="none"/>
                <w:vertAlign w:val="superscript"/>
                <w:lang w:val="en-US" w:eastAsia="zh-CN"/>
              </w:rPr>
              <w:t>-</w:t>
            </w:r>
            <w:r>
              <w:rPr>
                <w:rFonts w:hint="default" w:cs="Times New Roman"/>
                <w:color w:val="auto"/>
                <w:spacing w:val="0"/>
                <w:position w:val="0"/>
                <w:sz w:val="24"/>
                <w:szCs w:val="22"/>
                <w:highlight w:val="none"/>
                <w:vertAlign w:val="superscript"/>
                <w:lang w:val="en-US" w:eastAsia="zh-CN"/>
              </w:rPr>
              <w:t>4</w:t>
            </w:r>
            <w:r>
              <w:rPr>
                <w:rFonts w:hint="default" w:ascii="Times New Roman" w:hAnsi="Times New Roman" w:eastAsia="宋体" w:cs="Times New Roman"/>
                <w:b w:val="0"/>
                <w:bCs w:val="0"/>
                <w:color w:val="auto"/>
                <w:kern w:val="0"/>
                <w:sz w:val="24"/>
                <w:lang w:val="en-US" w:eastAsia="zh-CN" w:bidi="en-US"/>
              </w:rPr>
              <w:t>t/a，排放浓度为</w:t>
            </w:r>
            <w:r>
              <w:rPr>
                <w:rFonts w:hint="default" w:cs="Times New Roman"/>
                <w:color w:val="auto"/>
                <w:spacing w:val="0"/>
                <w:position w:val="0"/>
                <w:sz w:val="24"/>
                <w:szCs w:val="22"/>
                <w:highlight w:val="none"/>
                <w:lang w:val="en-US" w:eastAsia="zh-CN"/>
              </w:rPr>
              <w:t>6.30</w:t>
            </w:r>
            <w:r>
              <w:rPr>
                <w:rFonts w:hint="default" w:ascii="Times New Roman" w:hAnsi="Times New Roman" w:eastAsia="宋体" w:cs="Times New Roman"/>
                <w:color w:val="auto"/>
                <w:spacing w:val="0"/>
                <w:position w:val="0"/>
                <w:sz w:val="24"/>
                <w:szCs w:val="22"/>
                <w:highlight w:val="none"/>
                <w:lang w:val="en-US" w:eastAsia="zh-CN"/>
              </w:rPr>
              <w:t>×10</w:t>
            </w:r>
            <w:r>
              <w:rPr>
                <w:rFonts w:hint="default" w:ascii="Times New Roman" w:hAnsi="Times New Roman" w:eastAsia="宋体" w:cs="Times New Roman"/>
                <w:color w:val="auto"/>
                <w:spacing w:val="0"/>
                <w:position w:val="0"/>
                <w:sz w:val="24"/>
                <w:szCs w:val="22"/>
                <w:highlight w:val="none"/>
                <w:vertAlign w:val="superscript"/>
                <w:lang w:val="en-US" w:eastAsia="zh-CN"/>
              </w:rPr>
              <w:t>-4</w:t>
            </w:r>
            <w:r>
              <w:rPr>
                <w:rFonts w:hint="default" w:ascii="Times New Roman" w:hAnsi="Times New Roman" w:eastAsia="宋体" w:cs="Times New Roman"/>
                <w:b w:val="0"/>
                <w:bCs w:val="0"/>
                <w:color w:val="auto"/>
                <w:kern w:val="0"/>
                <w:sz w:val="24"/>
                <w:lang w:val="en-US" w:eastAsia="zh-CN" w:bidi="en-US"/>
              </w:rPr>
              <w:t>mg/m³，排放速率为</w:t>
            </w:r>
            <w:r>
              <w:rPr>
                <w:rFonts w:hint="default" w:cs="Times New Roman"/>
                <w:color w:val="auto"/>
                <w:spacing w:val="0"/>
                <w:position w:val="0"/>
                <w:sz w:val="24"/>
                <w:szCs w:val="22"/>
                <w:highlight w:val="none"/>
                <w:lang w:val="en-US" w:eastAsia="zh-CN"/>
              </w:rPr>
              <w:t>1.92</w:t>
            </w:r>
            <w:r>
              <w:rPr>
                <w:rFonts w:hint="default" w:ascii="Times New Roman" w:hAnsi="Times New Roman" w:eastAsia="宋体" w:cs="Times New Roman"/>
                <w:color w:val="auto"/>
                <w:spacing w:val="0"/>
                <w:position w:val="0"/>
                <w:sz w:val="24"/>
                <w:szCs w:val="22"/>
                <w:highlight w:val="none"/>
                <w:lang w:val="en-US" w:eastAsia="zh-CN"/>
              </w:rPr>
              <w:t>×10</w:t>
            </w:r>
            <w:r>
              <w:rPr>
                <w:rFonts w:hint="default" w:ascii="Times New Roman" w:hAnsi="Times New Roman" w:eastAsia="宋体" w:cs="Times New Roman"/>
                <w:color w:val="auto"/>
                <w:spacing w:val="0"/>
                <w:position w:val="0"/>
                <w:sz w:val="24"/>
                <w:szCs w:val="22"/>
                <w:highlight w:val="none"/>
                <w:vertAlign w:val="superscript"/>
                <w:lang w:val="en-US" w:eastAsia="zh-CN"/>
              </w:rPr>
              <w:t>-</w:t>
            </w:r>
            <w:r>
              <w:rPr>
                <w:rFonts w:hint="default" w:cs="Times New Roman"/>
                <w:color w:val="auto"/>
                <w:spacing w:val="0"/>
                <w:position w:val="0"/>
                <w:sz w:val="24"/>
                <w:szCs w:val="22"/>
                <w:highlight w:val="none"/>
                <w:vertAlign w:val="superscript"/>
                <w:lang w:val="en-US" w:eastAsia="zh-CN"/>
              </w:rPr>
              <w:t>5</w:t>
            </w:r>
            <w:r>
              <w:rPr>
                <w:rFonts w:hint="default" w:ascii="Times New Roman" w:hAnsi="Times New Roman" w:eastAsia="宋体" w:cs="Times New Roman"/>
                <w:b w:val="0"/>
                <w:bCs w:val="0"/>
                <w:color w:val="auto"/>
                <w:kern w:val="0"/>
                <w:sz w:val="24"/>
                <w:lang w:val="en-US" w:eastAsia="zh-CN" w:bidi="en-US"/>
              </w:rPr>
              <w:t>kg/h。</w:t>
            </w:r>
          </w:p>
          <w:p w14:paraId="41F4F277">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360" w:lineRule="auto"/>
              <w:ind w:left="0" w:right="0" w:firstLine="480" w:firstLineChars="200"/>
              <w:jc w:val="both"/>
              <w:textAlignment w:val="auto"/>
              <w:rPr>
                <w:rFonts w:hint="default" w:ascii="Times New Roman" w:hAnsi="Times New Roman" w:cs="Times New Roman"/>
                <w:color w:val="auto"/>
                <w:highlight w:val="none"/>
                <w:lang w:val="en-US" w:eastAsia="zh-CN"/>
              </w:rPr>
            </w:pPr>
            <w:r>
              <w:rPr>
                <w:rFonts w:hint="default" w:ascii="Times New Roman" w:hAnsi="Times New Roman" w:eastAsia="宋体" w:cs="Times New Roman"/>
                <w:b w:val="0"/>
                <w:bCs w:val="0"/>
                <w:color w:val="auto"/>
                <w:kern w:val="0"/>
                <w:sz w:val="24"/>
                <w:highlight w:val="none"/>
                <w:lang w:val="en-US" w:eastAsia="zh-CN" w:bidi="en-US"/>
              </w:rPr>
              <w:t>②DA002：非洁净车间印刷、复合、固化工序</w:t>
            </w:r>
            <w:r>
              <w:rPr>
                <w:rFonts w:hint="default" w:ascii="Times New Roman" w:hAnsi="Times New Roman" w:cs="Times New Roman"/>
                <w:b w:val="0"/>
                <w:bCs w:val="0"/>
                <w:color w:val="auto"/>
                <w:kern w:val="0"/>
                <w:sz w:val="24"/>
                <w:highlight w:val="none"/>
                <w:lang w:val="en-US" w:eastAsia="zh-CN" w:bidi="en-US"/>
              </w:rPr>
              <w:t>与洁净车间水性油墨配制、</w:t>
            </w:r>
            <w:r>
              <w:rPr>
                <w:rFonts w:hint="eastAsia" w:cs="Times New Roman"/>
                <w:b w:val="0"/>
                <w:bCs w:val="0"/>
                <w:color w:val="auto"/>
                <w:kern w:val="0"/>
                <w:sz w:val="24"/>
                <w:highlight w:val="none"/>
                <w:lang w:val="en-US" w:eastAsia="zh-CN" w:bidi="en-US"/>
              </w:rPr>
              <w:t>擦拭</w:t>
            </w:r>
            <w:r>
              <w:rPr>
                <w:rFonts w:hint="default" w:ascii="Times New Roman" w:hAnsi="Times New Roman" w:eastAsia="宋体" w:cs="Times New Roman"/>
                <w:b w:val="0"/>
                <w:bCs w:val="0"/>
                <w:color w:val="auto"/>
                <w:kern w:val="0"/>
                <w:sz w:val="24"/>
                <w:highlight w:val="none"/>
                <w:lang w:val="en-US" w:eastAsia="zh-CN" w:bidi="en-US"/>
              </w:rPr>
              <w:t>废气</w:t>
            </w:r>
          </w:p>
          <w:p w14:paraId="3E61226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b w:val="0"/>
                <w:bCs w:val="0"/>
                <w:color w:val="auto"/>
                <w:kern w:val="0"/>
                <w:sz w:val="24"/>
                <w:lang w:val="en-US" w:eastAsia="zh-CN" w:bidi="en-US"/>
              </w:rPr>
            </w:pPr>
            <w:r>
              <w:rPr>
                <w:rFonts w:hint="default" w:ascii="Times New Roman" w:hAnsi="Times New Roman" w:eastAsia="宋体" w:cs="Times New Roman"/>
                <w:b w:val="0"/>
                <w:bCs w:val="0"/>
                <w:color w:val="auto"/>
                <w:kern w:val="0"/>
                <w:sz w:val="24"/>
                <w:lang w:val="en-US" w:eastAsia="zh-CN" w:bidi="en-US"/>
              </w:rPr>
              <w:t>DA002：非洁净车间印刷（包括配制间B、印刷工序）、复合工序、固化工序</w:t>
            </w:r>
            <w:r>
              <w:rPr>
                <w:rFonts w:hint="default" w:cs="Times New Roman"/>
                <w:b w:val="0"/>
                <w:bCs w:val="0"/>
                <w:color w:val="auto"/>
                <w:kern w:val="0"/>
                <w:sz w:val="24"/>
                <w:lang w:val="en-US" w:eastAsia="zh-CN" w:bidi="en-US"/>
              </w:rPr>
              <w:t>与洁净车间水性油墨配制</w:t>
            </w:r>
            <w:r>
              <w:rPr>
                <w:rFonts w:hint="eastAsia" w:cs="Times New Roman"/>
                <w:b w:val="0"/>
                <w:bCs w:val="0"/>
                <w:color w:val="auto"/>
                <w:kern w:val="0"/>
                <w:sz w:val="24"/>
                <w:lang w:val="en-US" w:eastAsia="zh-CN" w:bidi="en-US"/>
              </w:rPr>
              <w:t>、擦拭</w:t>
            </w:r>
            <w:r>
              <w:rPr>
                <w:rFonts w:hint="default" w:ascii="Times New Roman" w:hAnsi="Times New Roman" w:eastAsia="宋体" w:cs="Times New Roman"/>
                <w:b w:val="0"/>
                <w:bCs w:val="0"/>
                <w:color w:val="auto"/>
                <w:kern w:val="0"/>
                <w:sz w:val="24"/>
                <w:lang w:val="en-US" w:eastAsia="zh-CN" w:bidi="en-US"/>
              </w:rPr>
              <w:t>产生废气，主要污染因子为非甲烷总烃、</w:t>
            </w:r>
            <w:r>
              <w:rPr>
                <w:rFonts w:hint="default" w:ascii="Times New Roman" w:hAnsi="Times New Roman" w:eastAsia="宋体" w:cs="Times New Roman"/>
                <w:color w:val="auto"/>
                <w:spacing w:val="0"/>
                <w:position w:val="0"/>
                <w:sz w:val="24"/>
                <w:szCs w:val="22"/>
                <w:highlight w:val="none"/>
                <w:lang w:val="en-US" w:eastAsia="zh-CN"/>
              </w:rPr>
              <w:t>二苯基甲烷二异氰酸酯（MDI）</w:t>
            </w:r>
            <w:r>
              <w:rPr>
                <w:rFonts w:hint="default" w:cs="Times New Roman"/>
                <w:color w:val="auto"/>
                <w:spacing w:val="0"/>
                <w:position w:val="0"/>
                <w:sz w:val="24"/>
                <w:szCs w:val="22"/>
                <w:highlight w:val="none"/>
                <w:lang w:val="en-US" w:eastAsia="zh-CN"/>
              </w:rPr>
              <w:t>、臭气浓度</w:t>
            </w:r>
            <w:r>
              <w:rPr>
                <w:rFonts w:hint="default" w:ascii="Times New Roman" w:hAnsi="Times New Roman" w:eastAsia="宋体" w:cs="Times New Roman"/>
                <w:b w:val="0"/>
                <w:bCs w:val="0"/>
                <w:color w:val="auto"/>
                <w:kern w:val="0"/>
                <w:sz w:val="24"/>
                <w:lang w:val="en-US" w:eastAsia="zh-CN" w:bidi="en-US"/>
              </w:rPr>
              <w:t>。计算如下：</w:t>
            </w:r>
          </w:p>
          <w:p w14:paraId="0AC0B9D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cs="Times New Roman"/>
                <w:color w:val="auto"/>
                <w:sz w:val="24"/>
                <w:lang w:val="en-US" w:eastAsia="zh-CN"/>
              </w:rPr>
            </w:pPr>
            <w:r>
              <w:rPr>
                <w:rFonts w:hint="default" w:ascii="Times New Roman" w:hAnsi="Times New Roman" w:eastAsia="宋体" w:cs="Times New Roman"/>
                <w:b w:val="0"/>
                <w:bCs w:val="0"/>
                <w:color w:val="auto"/>
                <w:kern w:val="0"/>
                <w:sz w:val="24"/>
                <w:lang w:val="en-US" w:eastAsia="zh-CN" w:bidi="en-US"/>
              </w:rPr>
              <w:t>根据天津</w:t>
            </w:r>
            <w:r>
              <w:rPr>
                <w:rFonts w:hint="default" w:cs="Times New Roman"/>
                <w:b w:val="0"/>
                <w:bCs w:val="0"/>
                <w:color w:val="auto"/>
                <w:kern w:val="0"/>
                <w:sz w:val="24"/>
                <w:lang w:val="en-US" w:eastAsia="zh-CN" w:bidi="en-US"/>
              </w:rPr>
              <w:t>东海检测技术</w:t>
            </w:r>
            <w:r>
              <w:rPr>
                <w:rFonts w:hint="default" w:ascii="Times New Roman" w:hAnsi="Times New Roman" w:eastAsia="宋体" w:cs="Times New Roman"/>
                <w:b w:val="0"/>
                <w:bCs w:val="0"/>
                <w:color w:val="auto"/>
                <w:kern w:val="0"/>
                <w:sz w:val="24"/>
                <w:lang w:val="en-US" w:eastAsia="zh-CN" w:bidi="en-US"/>
              </w:rPr>
              <w:t>有限公司出具的检测报告（报告编号：津</w:t>
            </w:r>
            <w:r>
              <w:rPr>
                <w:rFonts w:hint="default" w:cs="Times New Roman"/>
                <w:b w:val="0"/>
                <w:bCs w:val="0"/>
                <w:color w:val="auto"/>
                <w:kern w:val="0"/>
                <w:sz w:val="24"/>
                <w:lang w:val="en-US" w:eastAsia="zh-CN" w:bidi="en-US"/>
              </w:rPr>
              <w:t>东海</w:t>
            </w:r>
            <w:r>
              <w:rPr>
                <w:rFonts w:hint="default" w:ascii="Times New Roman" w:hAnsi="Times New Roman" w:eastAsia="宋体" w:cs="Times New Roman"/>
                <w:b w:val="0"/>
                <w:bCs w:val="0"/>
                <w:color w:val="auto"/>
                <w:kern w:val="0"/>
                <w:sz w:val="24"/>
                <w:lang w:val="en-US" w:eastAsia="zh-CN" w:bidi="en-US"/>
              </w:rPr>
              <w:t>检</w:t>
            </w:r>
            <w:r>
              <w:rPr>
                <w:rFonts w:hint="default" w:cs="Times New Roman"/>
                <w:b w:val="0"/>
                <w:bCs w:val="0"/>
                <w:color w:val="auto"/>
                <w:kern w:val="0"/>
                <w:sz w:val="24"/>
                <w:lang w:val="en-US" w:eastAsia="zh-CN" w:bidi="en-US"/>
              </w:rPr>
              <w:t>251015S-06号</w:t>
            </w:r>
            <w:r>
              <w:rPr>
                <w:rFonts w:hint="default" w:ascii="Times New Roman" w:hAnsi="Times New Roman" w:eastAsia="宋体" w:cs="Times New Roman"/>
                <w:b w:val="0"/>
                <w:bCs w:val="0"/>
                <w:color w:val="auto"/>
                <w:kern w:val="0"/>
                <w:sz w:val="24"/>
                <w:lang w:val="en-US" w:eastAsia="zh-CN" w:bidi="en-US"/>
              </w:rPr>
              <w:t>），</w:t>
            </w:r>
            <w:r>
              <w:rPr>
                <w:rFonts w:hint="default" w:ascii="Times New Roman" w:hAnsi="Times New Roman" w:eastAsia="宋体" w:cs="Times New Roman"/>
                <w:color w:val="auto"/>
                <w:sz w:val="24"/>
                <w:lang w:val="en-US" w:eastAsia="zh-CN"/>
              </w:rPr>
              <w:t>现有工程印刷、复合、固化工序净化设施出口（DA002）废气治理设施检测期间风量为</w:t>
            </w:r>
            <w:r>
              <w:rPr>
                <w:rFonts w:hint="default" w:cs="Times New Roman"/>
                <w:color w:val="auto"/>
                <w:sz w:val="24"/>
                <w:lang w:val="en-US" w:eastAsia="zh-CN"/>
              </w:rPr>
              <w:t>26115</w:t>
            </w:r>
            <w:r>
              <w:rPr>
                <w:rFonts w:hint="default" w:ascii="Times New Roman" w:hAnsi="Times New Roman" w:eastAsia="宋体" w:cs="Times New Roman"/>
                <w:color w:val="auto"/>
                <w:sz w:val="24"/>
                <w:lang w:val="en-US" w:eastAsia="zh-CN"/>
              </w:rPr>
              <w:t>m</w:t>
            </w:r>
            <w:r>
              <w:rPr>
                <w:rFonts w:hint="default" w:ascii="Times New Roman" w:hAnsi="Times New Roman" w:eastAsia="宋体" w:cs="Times New Roman"/>
                <w:color w:val="auto"/>
                <w:sz w:val="24"/>
                <w:vertAlign w:val="superscript"/>
                <w:lang w:val="en-US" w:eastAsia="zh-CN"/>
              </w:rPr>
              <w:t>3</w:t>
            </w:r>
            <w:r>
              <w:rPr>
                <w:rFonts w:hint="default" w:ascii="Times New Roman" w:hAnsi="Times New Roman" w:eastAsia="宋体" w:cs="Times New Roman"/>
                <w:color w:val="auto"/>
                <w:sz w:val="24"/>
                <w:lang w:val="en-US" w:eastAsia="zh-CN"/>
              </w:rPr>
              <w:t>/h，工作时间为7200h/a，非甲烷总烃排放浓度为</w:t>
            </w:r>
            <w:r>
              <w:rPr>
                <w:rFonts w:hint="default" w:cs="Times New Roman"/>
                <w:color w:val="auto"/>
                <w:sz w:val="24"/>
                <w:lang w:val="en-US" w:eastAsia="zh-CN"/>
              </w:rPr>
              <w:t>3.18</w:t>
            </w:r>
            <w:r>
              <w:rPr>
                <w:rFonts w:hint="default" w:ascii="Times New Roman" w:hAnsi="Times New Roman" w:eastAsia="宋体" w:cs="Times New Roman"/>
                <w:color w:val="auto"/>
                <w:sz w:val="24"/>
                <w:lang w:val="en-US" w:eastAsia="zh-CN"/>
              </w:rPr>
              <w:t>mg/m³，排放速率为</w:t>
            </w:r>
            <w:r>
              <w:rPr>
                <w:rFonts w:hint="default" w:cs="Times New Roman"/>
                <w:color w:val="auto"/>
                <w:sz w:val="24"/>
                <w:lang w:val="en-US" w:eastAsia="zh-CN"/>
              </w:rPr>
              <w:t>8.30</w:t>
            </w:r>
            <w:r>
              <w:rPr>
                <w:rFonts w:hint="default" w:ascii="Times New Roman" w:hAnsi="Times New Roman" w:cs="Times New Roman"/>
                <w:color w:val="auto"/>
                <w:sz w:val="24"/>
                <w:lang w:val="en-US" w:eastAsia="zh-CN"/>
              </w:rPr>
              <w:t>×</w:t>
            </w:r>
            <w:r>
              <w:rPr>
                <w:rFonts w:hint="default" w:cs="Times New Roman"/>
                <w:color w:val="auto"/>
                <w:sz w:val="24"/>
                <w:lang w:val="en-US" w:eastAsia="zh-CN"/>
              </w:rPr>
              <w:t>10</w:t>
            </w:r>
            <w:r>
              <w:rPr>
                <w:rFonts w:hint="default" w:cs="Times New Roman"/>
                <w:color w:val="auto"/>
                <w:sz w:val="24"/>
                <w:vertAlign w:val="superscript"/>
                <w:lang w:val="en-US" w:eastAsia="zh-CN"/>
              </w:rPr>
              <w:t>-2</w:t>
            </w:r>
            <w:r>
              <w:rPr>
                <w:rFonts w:hint="default" w:ascii="Times New Roman" w:hAnsi="Times New Roman" w:eastAsia="宋体" w:cs="Times New Roman"/>
                <w:color w:val="auto"/>
                <w:sz w:val="24"/>
                <w:lang w:val="en-US" w:eastAsia="zh-CN"/>
              </w:rPr>
              <w:t>kg/h，去除效率为</w:t>
            </w:r>
            <w:r>
              <w:rPr>
                <w:rFonts w:hint="default" w:cs="Times New Roman"/>
                <w:color w:val="auto"/>
                <w:sz w:val="24"/>
                <w:lang w:val="en-US" w:eastAsia="zh-CN"/>
              </w:rPr>
              <w:t>76.9</w:t>
            </w:r>
            <w:r>
              <w:rPr>
                <w:rFonts w:hint="default" w:ascii="Times New Roman" w:hAnsi="Times New Roman" w:eastAsia="宋体" w:cs="Times New Roman"/>
                <w:color w:val="auto"/>
                <w:sz w:val="24"/>
                <w:lang w:val="en-US" w:eastAsia="zh-CN"/>
              </w:rPr>
              <w:t>%，</w:t>
            </w:r>
            <w:r>
              <w:rPr>
                <w:rFonts w:hint="default" w:cs="Times New Roman"/>
                <w:color w:val="auto"/>
                <w:sz w:val="24"/>
                <w:lang w:val="en-US" w:eastAsia="zh-CN"/>
              </w:rPr>
              <w:t>收集效率为90%，</w:t>
            </w:r>
            <w:r>
              <w:rPr>
                <w:rFonts w:hint="default" w:ascii="Times New Roman" w:hAnsi="Times New Roman" w:cs="Times New Roman"/>
                <w:color w:val="auto"/>
                <w:sz w:val="24"/>
                <w:lang w:val="en-US" w:eastAsia="zh-CN"/>
              </w:rPr>
              <w:t>技改前</w:t>
            </w:r>
            <w:r>
              <w:rPr>
                <w:rFonts w:hint="default" w:ascii="Times New Roman" w:hAnsi="Times New Roman" w:eastAsia="宋体" w:cs="Times New Roman"/>
                <w:color w:val="auto"/>
                <w:sz w:val="24"/>
                <w:lang w:val="en-US" w:eastAsia="zh-CN"/>
              </w:rPr>
              <w:t>共使用原辅料</w:t>
            </w:r>
            <w:r>
              <w:rPr>
                <w:rFonts w:hint="default" w:cs="Times New Roman"/>
                <w:color w:val="auto"/>
                <w:sz w:val="24"/>
                <w:lang w:val="en-US" w:eastAsia="zh-CN"/>
              </w:rPr>
              <w:t>5759</w:t>
            </w:r>
            <w:r>
              <w:rPr>
                <w:rFonts w:hint="default" w:ascii="Times New Roman" w:hAnsi="Times New Roman" w:eastAsia="宋体" w:cs="Times New Roman"/>
                <w:color w:val="auto"/>
                <w:sz w:val="24"/>
                <w:lang w:val="en-US" w:eastAsia="zh-CN"/>
              </w:rPr>
              <w:t>t，则</w:t>
            </w:r>
            <w:r>
              <w:rPr>
                <w:rFonts w:hint="default" w:ascii="Times New Roman" w:hAnsi="Times New Roman" w:eastAsia="宋体" w:cs="Times New Roman"/>
                <w:b w:val="0"/>
                <w:bCs w:val="0"/>
                <w:color w:val="auto"/>
                <w:kern w:val="0"/>
                <w:sz w:val="24"/>
                <w:lang w:val="en-US" w:eastAsia="zh-CN" w:bidi="en-US"/>
              </w:rPr>
              <w:t>非甲烷总烃产污系数为0.</w:t>
            </w:r>
            <w:r>
              <w:rPr>
                <w:rFonts w:hint="default" w:cs="Times New Roman"/>
                <w:b w:val="0"/>
                <w:bCs w:val="0"/>
                <w:color w:val="auto"/>
                <w:kern w:val="0"/>
                <w:sz w:val="24"/>
                <w:lang w:val="en-US" w:eastAsia="zh-CN" w:bidi="en-US"/>
              </w:rPr>
              <w:t>499</w:t>
            </w:r>
            <w:r>
              <w:rPr>
                <w:rFonts w:hint="default" w:ascii="Times New Roman" w:hAnsi="Times New Roman" w:eastAsia="宋体" w:cs="Times New Roman"/>
                <w:b w:val="0"/>
                <w:bCs w:val="0"/>
                <w:color w:val="auto"/>
                <w:kern w:val="0"/>
                <w:sz w:val="24"/>
                <w:lang w:val="en-US" w:eastAsia="zh-CN" w:bidi="en-US"/>
              </w:rPr>
              <w:t>kg/t原料；</w:t>
            </w:r>
            <w:r>
              <w:rPr>
                <w:rFonts w:hint="default" w:ascii="Times New Roman" w:hAnsi="Times New Roman" w:cs="Times New Roman"/>
                <w:color w:val="auto"/>
                <w:sz w:val="24"/>
                <w:lang w:val="en-US" w:eastAsia="zh-CN"/>
              </w:rPr>
              <w:t>技改完成后共使用原辅料</w:t>
            </w:r>
            <w:r>
              <w:rPr>
                <w:rFonts w:hint="default" w:cs="Times New Roman"/>
                <w:color w:val="auto"/>
                <w:sz w:val="24"/>
                <w:lang w:val="en-US" w:eastAsia="zh-CN"/>
              </w:rPr>
              <w:t>4381</w:t>
            </w:r>
            <w:r>
              <w:rPr>
                <w:rFonts w:hint="default" w:ascii="Times New Roman" w:hAnsi="Times New Roman" w:cs="Times New Roman"/>
                <w:color w:val="auto"/>
                <w:sz w:val="24"/>
                <w:lang w:val="en-US" w:eastAsia="zh-CN"/>
              </w:rPr>
              <w:t>t</w:t>
            </w:r>
            <w:r>
              <w:rPr>
                <w:rFonts w:hint="default" w:cs="Times New Roman"/>
                <w:color w:val="auto"/>
                <w:sz w:val="24"/>
                <w:lang w:val="en-US" w:eastAsia="zh-CN"/>
              </w:rPr>
              <w:t>（不包括洁净车间水性油墨配制原辅料量）</w:t>
            </w:r>
            <w:r>
              <w:rPr>
                <w:rFonts w:hint="default" w:ascii="Times New Roman" w:hAnsi="Times New Roman" w:cs="Times New Roman"/>
                <w:color w:val="auto"/>
                <w:sz w:val="24"/>
                <w:lang w:val="en-US" w:eastAsia="zh-CN"/>
              </w:rPr>
              <w:t>，则非甲烷总烃产生量为2.</w:t>
            </w:r>
            <w:r>
              <w:rPr>
                <w:rFonts w:hint="default" w:cs="Times New Roman"/>
                <w:color w:val="auto"/>
                <w:sz w:val="24"/>
                <w:lang w:val="en-US" w:eastAsia="zh-CN"/>
              </w:rPr>
              <w:t>186</w:t>
            </w:r>
            <w:r>
              <w:rPr>
                <w:rFonts w:hint="default" w:ascii="Times New Roman" w:hAnsi="Times New Roman" w:cs="Times New Roman"/>
                <w:color w:val="auto"/>
                <w:sz w:val="24"/>
                <w:lang w:val="en-US" w:eastAsia="zh-CN"/>
              </w:rPr>
              <w:t>t/a。</w:t>
            </w:r>
          </w:p>
          <w:p w14:paraId="2F23769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洁净车间水性油墨配制产生废气，主要污染物为非甲烷总烃。</w:t>
            </w:r>
            <w:r>
              <w:rPr>
                <w:rFonts w:hint="default" w:ascii="Times New Roman" w:hAnsi="Times New Roman" w:eastAsia="宋体" w:cs="Times New Roman"/>
                <w:b w:val="0"/>
                <w:bCs w:val="0"/>
                <w:color w:val="auto"/>
                <w:kern w:val="0"/>
                <w:sz w:val="24"/>
                <w:lang w:val="en-US" w:eastAsia="zh-CN" w:bidi="en-US"/>
              </w:rPr>
              <w:t>根据上海华测品标检测技术有限公司出具的检测报告（报告编号：A2210241655101001C），</w:t>
            </w:r>
            <w:r>
              <w:rPr>
                <w:rFonts w:hint="default" w:cs="Times New Roman"/>
                <w:b w:val="0"/>
                <w:bCs w:val="0"/>
                <w:color w:val="auto"/>
                <w:kern w:val="0"/>
                <w:sz w:val="24"/>
                <w:lang w:val="en-US" w:eastAsia="zh-CN" w:bidi="en-US"/>
              </w:rPr>
              <w:t>水性油墨</w:t>
            </w:r>
            <w:r>
              <w:rPr>
                <w:rFonts w:hint="default" w:ascii="Times New Roman" w:hAnsi="Times New Roman" w:eastAsia="宋体" w:cs="Times New Roman"/>
                <w:b w:val="0"/>
                <w:bCs w:val="0"/>
                <w:color w:val="auto"/>
                <w:kern w:val="0"/>
                <w:sz w:val="24"/>
                <w:lang w:val="en-US" w:eastAsia="zh-CN" w:bidi="en-US"/>
              </w:rPr>
              <w:t>VOCs含量为1.2%</w:t>
            </w:r>
            <w:r>
              <w:rPr>
                <w:rFonts w:hint="default" w:cs="Times New Roman"/>
                <w:b w:val="0"/>
                <w:bCs w:val="0"/>
                <w:color w:val="auto"/>
                <w:kern w:val="0"/>
                <w:sz w:val="24"/>
                <w:lang w:val="en-US" w:eastAsia="zh-CN" w:bidi="en-US"/>
              </w:rPr>
              <w:t>；无水乙醇中乙醇含量为99.95%。</w:t>
            </w:r>
            <w:r>
              <w:rPr>
                <w:rFonts w:hint="default" w:ascii="Times New Roman" w:hAnsi="Times New Roman" w:eastAsia="宋体" w:cs="Times New Roman"/>
                <w:b w:val="0"/>
                <w:bCs w:val="0"/>
                <w:color w:val="auto"/>
                <w:kern w:val="0"/>
                <w:sz w:val="24"/>
                <w:lang w:val="en-US" w:eastAsia="zh-CN" w:bidi="en-US"/>
              </w:rPr>
              <w:t>水性油墨配制水性油墨使用量为6.818t/a，</w:t>
            </w:r>
            <w:r>
              <w:rPr>
                <w:rFonts w:hint="default" w:cs="Times New Roman"/>
                <w:b w:val="0"/>
                <w:bCs w:val="0"/>
                <w:color w:val="auto"/>
                <w:kern w:val="0"/>
                <w:sz w:val="24"/>
                <w:lang w:val="en-US" w:eastAsia="zh-CN" w:bidi="en-US"/>
              </w:rPr>
              <w:t>无水乙醇使用量为0.227t/a，</w:t>
            </w:r>
            <w:r>
              <w:rPr>
                <w:rFonts w:hint="default" w:ascii="Times New Roman" w:hAnsi="Times New Roman" w:cs="Times New Roman"/>
                <w:color w:val="auto"/>
                <w:sz w:val="24"/>
                <w:lang w:val="en-US" w:eastAsia="zh-CN"/>
              </w:rPr>
              <w:t>本项目按水性油墨和</w:t>
            </w:r>
            <w:r>
              <w:rPr>
                <w:rFonts w:hint="default" w:cs="Times New Roman"/>
                <w:color w:val="auto"/>
                <w:sz w:val="24"/>
                <w:lang w:val="en-US" w:eastAsia="zh-CN"/>
              </w:rPr>
              <w:t>无水乙醇</w:t>
            </w:r>
            <w:r>
              <w:rPr>
                <w:rFonts w:hint="default" w:ascii="Times New Roman" w:hAnsi="Times New Roman" w:cs="Times New Roman"/>
                <w:color w:val="auto"/>
                <w:sz w:val="24"/>
                <w:lang w:val="en-US" w:eastAsia="zh-CN"/>
              </w:rPr>
              <w:t>中可挥发性成分的</w:t>
            </w:r>
            <w:r>
              <w:rPr>
                <w:rFonts w:hint="default" w:cs="Times New Roman"/>
                <w:color w:val="auto"/>
                <w:sz w:val="24"/>
                <w:lang w:val="en-US" w:eastAsia="zh-CN"/>
              </w:rPr>
              <w:t>5</w:t>
            </w:r>
            <w:r>
              <w:rPr>
                <w:rFonts w:hint="default" w:ascii="Times New Roman" w:hAnsi="Times New Roman" w:cs="Times New Roman"/>
                <w:color w:val="auto"/>
                <w:sz w:val="24"/>
                <w:lang w:val="en-US" w:eastAsia="zh-CN"/>
              </w:rPr>
              <w:t>%</w:t>
            </w:r>
            <w:r>
              <w:rPr>
                <w:rFonts w:hint="default" w:cs="Times New Roman"/>
                <w:color w:val="auto"/>
                <w:sz w:val="24"/>
                <w:lang w:val="en-US" w:eastAsia="zh-CN"/>
              </w:rPr>
              <w:t>于水性油墨配制</w:t>
            </w:r>
            <w:r>
              <w:rPr>
                <w:rFonts w:hint="eastAsia" w:cs="Times New Roman"/>
                <w:color w:val="auto"/>
                <w:sz w:val="24"/>
                <w:lang w:val="en-US" w:eastAsia="zh-CN"/>
              </w:rPr>
              <w:t>、擦拭</w:t>
            </w:r>
            <w:r>
              <w:rPr>
                <w:rFonts w:hint="default" w:ascii="Times New Roman" w:hAnsi="Times New Roman" w:cs="Times New Roman"/>
                <w:color w:val="auto"/>
                <w:sz w:val="24"/>
                <w:lang w:val="en-US" w:eastAsia="zh-CN"/>
              </w:rPr>
              <w:t>挥发计算</w:t>
            </w:r>
            <w:r>
              <w:rPr>
                <w:rFonts w:hint="default" w:cs="Times New Roman"/>
                <w:color w:val="auto"/>
                <w:sz w:val="24"/>
                <w:lang w:val="en-US" w:eastAsia="zh-CN"/>
              </w:rPr>
              <w:t>（可挥发性成分的95%于印刷工序挥发）</w:t>
            </w:r>
            <w:r>
              <w:rPr>
                <w:rFonts w:hint="default" w:ascii="Times New Roman" w:hAnsi="Times New Roman" w:cs="Times New Roman"/>
                <w:color w:val="auto"/>
                <w:sz w:val="24"/>
                <w:lang w:val="en-US" w:eastAsia="zh-CN"/>
              </w:rPr>
              <w:t>，</w:t>
            </w:r>
            <w:r>
              <w:rPr>
                <w:rFonts w:hint="default" w:ascii="Times New Roman" w:hAnsi="Times New Roman" w:eastAsia="宋体" w:cs="Times New Roman"/>
                <w:color w:val="auto"/>
                <w:sz w:val="24"/>
                <w:lang w:eastAsia="zh-CN"/>
              </w:rPr>
              <w:t>则水性油墨配制非甲烷总烃产生量为</w:t>
            </w:r>
            <w:r>
              <w:rPr>
                <w:rFonts w:hint="default" w:ascii="Times New Roman" w:hAnsi="Times New Roman" w:eastAsia="宋体" w:cs="Times New Roman"/>
                <w:color w:val="auto"/>
                <w:sz w:val="24"/>
                <w:lang w:val="en-US" w:eastAsia="zh-CN"/>
              </w:rPr>
              <w:t>0.0</w:t>
            </w:r>
            <w:r>
              <w:rPr>
                <w:rFonts w:hint="default" w:cs="Times New Roman"/>
                <w:color w:val="auto"/>
                <w:sz w:val="24"/>
                <w:lang w:val="en-US" w:eastAsia="zh-CN"/>
              </w:rPr>
              <w:t>15</w:t>
            </w:r>
            <w:r>
              <w:rPr>
                <w:rFonts w:hint="default" w:ascii="Times New Roman" w:hAnsi="Times New Roman" w:eastAsia="宋体" w:cs="Times New Roman"/>
                <w:color w:val="auto"/>
                <w:sz w:val="24"/>
                <w:lang w:eastAsia="zh-CN"/>
              </w:rPr>
              <w:t>t/a。</w:t>
            </w:r>
          </w:p>
          <w:p w14:paraId="474D611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cs="Times New Roman"/>
                <w:lang w:val="en-US" w:eastAsia="zh-CN"/>
              </w:rPr>
            </w:pPr>
            <w:r>
              <w:rPr>
                <w:rFonts w:hint="default" w:ascii="Times New Roman" w:hAnsi="Times New Roman" w:eastAsia="宋体" w:cs="Times New Roman"/>
                <w:color w:val="auto"/>
                <w:sz w:val="24"/>
                <w:lang w:val="en-US" w:eastAsia="zh-CN"/>
              </w:rPr>
              <w:t>本项目</w:t>
            </w:r>
            <w:r>
              <w:rPr>
                <w:rFonts w:hint="default" w:cs="Times New Roman"/>
                <w:color w:val="auto"/>
                <w:sz w:val="24"/>
                <w:lang w:val="en-US" w:eastAsia="zh-CN"/>
              </w:rPr>
              <w:t>双组分</w:t>
            </w:r>
            <w:r>
              <w:rPr>
                <w:rFonts w:hint="default" w:ascii="Times New Roman" w:hAnsi="Times New Roman" w:eastAsia="宋体" w:cs="Times New Roman"/>
                <w:color w:val="auto"/>
                <w:sz w:val="24"/>
                <w:lang w:val="en-US" w:eastAsia="zh-CN"/>
              </w:rPr>
              <w:t>无溶剂聚氨酯复膜胶在80℃情况下</w:t>
            </w:r>
            <w:r>
              <w:rPr>
                <w:rFonts w:hint="default" w:ascii="Times New Roman" w:hAnsi="Times New Roman" w:eastAsia="宋体" w:cs="Times New Roman"/>
                <w:color w:val="auto"/>
                <w:sz w:val="24"/>
                <w:highlight w:val="none"/>
                <w:lang w:val="en-US" w:eastAsia="zh-CN"/>
              </w:rPr>
              <w:t>胶粘剂可能产生极少量的单体二苯基甲烷二异氰酸酯</w:t>
            </w:r>
            <w:r>
              <w:rPr>
                <w:rFonts w:hint="default" w:cs="Times New Roman"/>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MDI</w:t>
            </w:r>
            <w:r>
              <w:rPr>
                <w:rFonts w:hint="default" w:cs="Times New Roman"/>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参照《低游离聚氨酯预聚体在工业中的应用》（中国聚氨酯工业协会弹性体专业委员会2013年论文集）中低游离聚氨酯预聚体中异氰酸酯基质量分数含量＜0.1%，考虑最不利情况，生产过程中游离异氰酸酯全部挥发计，项目二苯基甲烷二异氰酸酯</w:t>
            </w:r>
            <w:r>
              <w:rPr>
                <w:rFonts w:hint="default" w:cs="Times New Roman"/>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MDI</w:t>
            </w:r>
            <w:r>
              <w:rPr>
                <w:rFonts w:hint="default" w:cs="Times New Roman"/>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最大含量为0.761×45%=0.342t/a</w:t>
            </w:r>
            <w:r>
              <w:rPr>
                <w:rFonts w:hint="default" w:cs="Times New Roman"/>
                <w:color w:val="auto"/>
                <w:sz w:val="24"/>
                <w:highlight w:val="none"/>
                <w:lang w:val="en-US" w:eastAsia="zh-CN"/>
              </w:rPr>
              <w:t>（根据胶粘剂产品说明书，</w:t>
            </w:r>
            <w:r>
              <w:rPr>
                <w:rFonts w:hint="default" w:ascii="Times New Roman" w:hAnsi="Times New Roman" w:eastAsia="宋体" w:cs="Times New Roman"/>
                <w:color w:val="auto"/>
                <w:sz w:val="24"/>
                <w:highlight w:val="none"/>
                <w:lang w:val="en-US" w:eastAsia="zh-CN"/>
              </w:rPr>
              <w:t>二苯基甲烷二异氰酸酯含量为25%~45%，考虑最不利情况，本项目取45%），则二苯基甲烷二异氰酸酯</w:t>
            </w:r>
            <w:r>
              <w:rPr>
                <w:rFonts w:hint="default" w:cs="Times New Roman"/>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MDI</w:t>
            </w:r>
            <w:r>
              <w:rPr>
                <w:rFonts w:hint="default" w:cs="Times New Roman"/>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产生量为3.42×10</w:t>
            </w:r>
            <w:r>
              <w:rPr>
                <w:rFonts w:hint="default" w:ascii="Times New Roman" w:hAnsi="Times New Roman" w:eastAsia="宋体" w:cs="Times New Roman"/>
                <w:color w:val="auto"/>
                <w:sz w:val="24"/>
                <w:highlight w:val="none"/>
                <w:vertAlign w:val="superscript"/>
                <w:lang w:val="en-US" w:eastAsia="zh-CN"/>
              </w:rPr>
              <w:t>-4</w:t>
            </w:r>
            <w:r>
              <w:rPr>
                <w:rFonts w:hint="default" w:ascii="Times New Roman" w:hAnsi="Times New Roman" w:eastAsia="宋体" w:cs="Times New Roman"/>
                <w:color w:val="auto"/>
                <w:sz w:val="24"/>
                <w:highlight w:val="none"/>
                <w:lang w:val="en-US" w:eastAsia="zh-CN"/>
              </w:rPr>
              <w:t>t/a。</w:t>
            </w:r>
          </w:p>
          <w:p w14:paraId="1DF9A90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b w:val="0"/>
                <w:bCs w:val="0"/>
                <w:color w:val="auto"/>
                <w:kern w:val="0"/>
                <w:sz w:val="24"/>
                <w:lang w:val="en-US" w:eastAsia="zh-CN" w:bidi="en-US"/>
              </w:rPr>
            </w:pPr>
            <w:r>
              <w:rPr>
                <w:rFonts w:hint="default" w:cs="Times New Roman"/>
                <w:color w:val="auto"/>
                <w:sz w:val="24"/>
                <w:lang w:val="en-US" w:eastAsia="zh-CN"/>
              </w:rPr>
              <w:t>配制间B</w:t>
            </w:r>
            <w:r>
              <w:rPr>
                <w:rFonts w:hint="default" w:ascii="Times New Roman" w:hAnsi="Times New Roman" w:eastAsia="宋体" w:cs="Times New Roman"/>
                <w:color w:val="auto"/>
                <w:sz w:val="24"/>
                <w:lang w:val="en-US" w:eastAsia="zh-CN"/>
              </w:rPr>
              <w:t>废气经</w:t>
            </w:r>
            <w:r>
              <w:rPr>
                <w:rFonts w:hint="default" w:cs="Times New Roman"/>
                <w:color w:val="auto"/>
                <w:sz w:val="24"/>
                <w:lang w:val="en-US" w:eastAsia="zh-CN"/>
              </w:rPr>
              <w:t>管道</w:t>
            </w:r>
            <w:r>
              <w:rPr>
                <w:rFonts w:hint="default" w:ascii="Times New Roman" w:hAnsi="Times New Roman" w:eastAsia="宋体" w:cs="Times New Roman"/>
                <w:color w:val="auto"/>
                <w:sz w:val="24"/>
                <w:lang w:val="en-US" w:eastAsia="zh-CN"/>
              </w:rPr>
              <w:t>收集</w:t>
            </w:r>
            <w:r>
              <w:rPr>
                <w:rFonts w:hint="default" w:cs="Times New Roman"/>
                <w:color w:val="auto"/>
                <w:sz w:val="24"/>
                <w:lang w:val="en-US" w:eastAsia="zh-CN"/>
              </w:rPr>
              <w:t>、印刷废气经集气罩+软帘收集、复合废气经集气罩+软帘收集、固化废气经管道收集</w:t>
            </w:r>
            <w:r>
              <w:rPr>
                <w:rFonts w:hint="default" w:ascii="Times New Roman" w:hAnsi="Times New Roman" w:eastAsia="宋体" w:cs="Times New Roman"/>
                <w:color w:val="auto"/>
                <w:sz w:val="24"/>
                <w:lang w:val="en-US" w:eastAsia="zh-CN"/>
              </w:rPr>
              <w:t>后，</w:t>
            </w:r>
            <w:r>
              <w:rPr>
                <w:rFonts w:hint="default" w:cs="Times New Roman"/>
                <w:color w:val="auto"/>
                <w:sz w:val="24"/>
                <w:lang w:val="en-US" w:eastAsia="zh-CN"/>
              </w:rPr>
              <w:t>共同</w:t>
            </w:r>
            <w:r>
              <w:rPr>
                <w:rFonts w:hint="default" w:ascii="Times New Roman" w:hAnsi="Times New Roman" w:eastAsia="宋体" w:cs="Times New Roman"/>
                <w:color w:val="auto"/>
                <w:sz w:val="24"/>
                <w:lang w:val="en-US" w:eastAsia="zh-CN"/>
              </w:rPr>
              <w:t>由1套二级活性炭吸附装置处理后，通过1根15m排气筒（DA002）排放，非甲烷总烃总产生量为</w:t>
            </w:r>
            <w:r>
              <w:rPr>
                <w:rFonts w:hint="default" w:cs="Times New Roman"/>
                <w:color w:val="auto"/>
                <w:sz w:val="24"/>
                <w:lang w:val="en-US" w:eastAsia="zh-CN"/>
              </w:rPr>
              <w:t>2.202</w:t>
            </w:r>
            <w:r>
              <w:rPr>
                <w:rFonts w:hint="default" w:ascii="Times New Roman" w:hAnsi="Times New Roman" w:eastAsia="宋体" w:cs="Times New Roman"/>
                <w:color w:val="auto"/>
                <w:sz w:val="24"/>
                <w:lang w:val="en-US" w:eastAsia="zh-CN"/>
              </w:rPr>
              <w:t>t/a，废气</w:t>
            </w:r>
            <w:r>
              <w:rPr>
                <w:rFonts w:hint="default" w:ascii="Times New Roman" w:hAnsi="Times New Roman" w:eastAsia="宋体" w:cs="Times New Roman"/>
                <w:b w:val="0"/>
                <w:bCs w:val="0"/>
                <w:color w:val="auto"/>
                <w:kern w:val="0"/>
                <w:sz w:val="24"/>
                <w:lang w:val="en-US" w:eastAsia="zh-CN" w:bidi="en-US"/>
              </w:rPr>
              <w:t>收集效率按90%计，处理效率为</w:t>
            </w:r>
            <w:r>
              <w:rPr>
                <w:rFonts w:hint="default" w:cs="Times New Roman"/>
                <w:b w:val="0"/>
                <w:bCs w:val="0"/>
                <w:color w:val="auto"/>
                <w:kern w:val="0"/>
                <w:sz w:val="24"/>
                <w:lang w:val="en-US" w:eastAsia="zh-CN" w:bidi="en-US"/>
              </w:rPr>
              <w:t>76.9</w:t>
            </w:r>
            <w:r>
              <w:rPr>
                <w:rFonts w:hint="default" w:ascii="Times New Roman" w:hAnsi="Times New Roman" w:eastAsia="宋体" w:cs="Times New Roman"/>
                <w:b w:val="0"/>
                <w:bCs w:val="0"/>
                <w:color w:val="auto"/>
                <w:kern w:val="0"/>
                <w:sz w:val="24"/>
                <w:lang w:val="en-US" w:eastAsia="zh-CN" w:bidi="en-US"/>
              </w:rPr>
              <w:t>%，风机风量为</w:t>
            </w:r>
            <w:r>
              <w:rPr>
                <w:rFonts w:hint="default" w:cs="Times New Roman"/>
                <w:b w:val="0"/>
                <w:bCs w:val="0"/>
                <w:color w:val="auto"/>
                <w:kern w:val="0"/>
                <w:sz w:val="24"/>
                <w:lang w:val="en-US" w:eastAsia="zh-CN" w:bidi="en-US"/>
              </w:rPr>
              <w:t>26115</w:t>
            </w:r>
            <w:r>
              <w:rPr>
                <w:rFonts w:hint="default" w:ascii="Times New Roman" w:hAnsi="Times New Roman" w:eastAsia="宋体" w:cs="Times New Roman"/>
                <w:b w:val="0"/>
                <w:bCs w:val="0"/>
                <w:color w:val="auto"/>
                <w:kern w:val="0"/>
                <w:sz w:val="24"/>
                <w:lang w:val="en-US" w:eastAsia="zh-CN" w:bidi="en-US"/>
              </w:rPr>
              <w:t>m³/h，年运行时间7200h。则有组织非甲烷总烃产生量为</w:t>
            </w:r>
            <w:r>
              <w:rPr>
                <w:rFonts w:hint="default" w:cs="Times New Roman"/>
                <w:b w:val="0"/>
                <w:bCs w:val="0"/>
                <w:color w:val="auto"/>
                <w:kern w:val="0"/>
                <w:sz w:val="24"/>
                <w:lang w:val="en-US" w:eastAsia="zh-CN" w:bidi="en-US"/>
              </w:rPr>
              <w:t>1.981</w:t>
            </w:r>
            <w:r>
              <w:rPr>
                <w:rFonts w:hint="default" w:ascii="Times New Roman" w:hAnsi="Times New Roman" w:eastAsia="宋体" w:cs="Times New Roman"/>
                <w:b w:val="0"/>
                <w:bCs w:val="0"/>
                <w:color w:val="auto"/>
                <w:kern w:val="0"/>
                <w:sz w:val="24"/>
                <w:lang w:val="en-US" w:eastAsia="zh-CN" w:bidi="en-US"/>
              </w:rPr>
              <w:t>t/a，产生浓度为</w:t>
            </w:r>
            <w:r>
              <w:rPr>
                <w:rFonts w:hint="default" w:cs="Times New Roman"/>
                <w:b w:val="0"/>
                <w:bCs w:val="0"/>
                <w:color w:val="auto"/>
                <w:kern w:val="0"/>
                <w:sz w:val="24"/>
                <w:lang w:val="en-US" w:eastAsia="zh-CN" w:bidi="en-US"/>
              </w:rPr>
              <w:t>10.538</w:t>
            </w:r>
            <w:r>
              <w:rPr>
                <w:rFonts w:hint="default" w:ascii="Times New Roman" w:hAnsi="Times New Roman" w:eastAsia="宋体" w:cs="Times New Roman"/>
                <w:b w:val="0"/>
                <w:bCs w:val="0"/>
                <w:color w:val="auto"/>
                <w:kern w:val="0"/>
                <w:sz w:val="24"/>
                <w:lang w:val="en-US" w:eastAsia="zh-CN" w:bidi="en-US"/>
              </w:rPr>
              <w:t>mg/m³，产生速率为</w:t>
            </w:r>
            <w:r>
              <w:rPr>
                <w:rFonts w:hint="default" w:cs="Times New Roman"/>
                <w:b w:val="0"/>
                <w:bCs w:val="0"/>
                <w:color w:val="auto"/>
                <w:kern w:val="0"/>
                <w:sz w:val="24"/>
                <w:lang w:val="en-US" w:eastAsia="zh-CN" w:bidi="en-US"/>
              </w:rPr>
              <w:t>0.275</w:t>
            </w:r>
            <w:r>
              <w:rPr>
                <w:rFonts w:hint="default" w:ascii="Times New Roman" w:hAnsi="Times New Roman" w:eastAsia="宋体" w:cs="Times New Roman"/>
                <w:b w:val="0"/>
                <w:bCs w:val="0"/>
                <w:color w:val="auto"/>
                <w:kern w:val="0"/>
                <w:sz w:val="24"/>
                <w:lang w:val="en-US" w:eastAsia="zh-CN" w:bidi="en-US"/>
              </w:rPr>
              <w:t>kg/h；有组织</w:t>
            </w:r>
            <w:r>
              <w:rPr>
                <w:rFonts w:hint="default" w:ascii="Times New Roman" w:hAnsi="Times New Roman" w:eastAsia="宋体" w:cs="Times New Roman"/>
                <w:color w:val="auto"/>
                <w:spacing w:val="0"/>
                <w:position w:val="0"/>
                <w:sz w:val="24"/>
                <w:szCs w:val="22"/>
                <w:highlight w:val="none"/>
                <w:lang w:val="en-US" w:eastAsia="zh-CN"/>
              </w:rPr>
              <w:t>二苯基甲烷二异氰酸酯（MDI）</w:t>
            </w:r>
            <w:r>
              <w:rPr>
                <w:rFonts w:hint="default" w:ascii="Times New Roman" w:hAnsi="Times New Roman" w:eastAsia="宋体" w:cs="Times New Roman"/>
                <w:b w:val="0"/>
                <w:bCs w:val="0"/>
                <w:color w:val="auto"/>
                <w:kern w:val="0"/>
                <w:sz w:val="24"/>
                <w:lang w:val="en-US" w:eastAsia="zh-CN" w:bidi="en-US"/>
              </w:rPr>
              <w:t>产生量为</w:t>
            </w:r>
            <w:r>
              <w:rPr>
                <w:rFonts w:hint="default" w:ascii="Times New Roman" w:hAnsi="Times New Roman" w:eastAsia="宋体" w:cs="Times New Roman"/>
                <w:color w:val="auto"/>
                <w:spacing w:val="0"/>
                <w:position w:val="0"/>
                <w:sz w:val="24"/>
                <w:szCs w:val="22"/>
                <w:highlight w:val="none"/>
                <w:lang w:val="en-US" w:eastAsia="zh-CN"/>
              </w:rPr>
              <w:t>3.08×10</w:t>
            </w:r>
            <w:r>
              <w:rPr>
                <w:rFonts w:hint="default" w:ascii="Times New Roman" w:hAnsi="Times New Roman" w:eastAsia="宋体" w:cs="Times New Roman"/>
                <w:color w:val="auto"/>
                <w:spacing w:val="0"/>
                <w:position w:val="0"/>
                <w:sz w:val="24"/>
                <w:szCs w:val="22"/>
                <w:highlight w:val="none"/>
                <w:vertAlign w:val="superscript"/>
                <w:lang w:val="en-US" w:eastAsia="zh-CN"/>
              </w:rPr>
              <w:t>-4</w:t>
            </w:r>
            <w:r>
              <w:rPr>
                <w:rFonts w:hint="default" w:ascii="Times New Roman" w:hAnsi="Times New Roman" w:eastAsia="宋体" w:cs="Times New Roman"/>
                <w:b w:val="0"/>
                <w:bCs w:val="0"/>
                <w:color w:val="auto"/>
                <w:kern w:val="0"/>
                <w:sz w:val="24"/>
                <w:lang w:val="en-US" w:eastAsia="zh-CN" w:bidi="en-US"/>
              </w:rPr>
              <w:t>t/a，产生浓度为</w:t>
            </w:r>
            <w:r>
              <w:rPr>
                <w:rFonts w:hint="default" w:cs="Times New Roman"/>
                <w:color w:val="auto"/>
                <w:spacing w:val="0"/>
                <w:position w:val="0"/>
                <w:sz w:val="24"/>
                <w:szCs w:val="22"/>
                <w:highlight w:val="none"/>
                <w:lang w:val="en-US" w:eastAsia="zh-CN"/>
              </w:rPr>
              <w:t>1.64</w:t>
            </w:r>
            <w:r>
              <w:rPr>
                <w:rFonts w:hint="default" w:ascii="Times New Roman" w:hAnsi="Times New Roman" w:eastAsia="宋体" w:cs="Times New Roman"/>
                <w:color w:val="auto"/>
                <w:spacing w:val="0"/>
                <w:position w:val="0"/>
                <w:sz w:val="24"/>
                <w:szCs w:val="22"/>
                <w:highlight w:val="none"/>
                <w:lang w:val="en-US" w:eastAsia="zh-CN"/>
              </w:rPr>
              <w:t>×10</w:t>
            </w:r>
            <w:r>
              <w:rPr>
                <w:rFonts w:hint="default" w:ascii="Times New Roman" w:hAnsi="Times New Roman" w:eastAsia="宋体" w:cs="Times New Roman"/>
                <w:color w:val="auto"/>
                <w:spacing w:val="0"/>
                <w:position w:val="0"/>
                <w:sz w:val="24"/>
                <w:szCs w:val="22"/>
                <w:highlight w:val="none"/>
                <w:vertAlign w:val="superscript"/>
                <w:lang w:val="en-US" w:eastAsia="zh-CN"/>
              </w:rPr>
              <w:t>-3</w:t>
            </w:r>
            <w:r>
              <w:rPr>
                <w:rFonts w:hint="default" w:ascii="Times New Roman" w:hAnsi="Times New Roman" w:eastAsia="宋体" w:cs="Times New Roman"/>
                <w:b w:val="0"/>
                <w:bCs w:val="0"/>
                <w:color w:val="auto"/>
                <w:kern w:val="0"/>
                <w:sz w:val="24"/>
                <w:lang w:val="en-US" w:eastAsia="zh-CN" w:bidi="en-US"/>
              </w:rPr>
              <w:t>mg/m³，产生速率为</w:t>
            </w:r>
            <w:r>
              <w:rPr>
                <w:rFonts w:hint="default" w:ascii="Times New Roman" w:hAnsi="Times New Roman" w:eastAsia="宋体" w:cs="Times New Roman"/>
                <w:color w:val="auto"/>
                <w:spacing w:val="0"/>
                <w:position w:val="0"/>
                <w:sz w:val="24"/>
                <w:szCs w:val="22"/>
                <w:highlight w:val="none"/>
                <w:lang w:val="en-US" w:eastAsia="zh-CN"/>
              </w:rPr>
              <w:t>4.28×10</w:t>
            </w:r>
            <w:r>
              <w:rPr>
                <w:rFonts w:hint="default" w:ascii="Times New Roman" w:hAnsi="Times New Roman" w:eastAsia="宋体" w:cs="Times New Roman"/>
                <w:color w:val="auto"/>
                <w:spacing w:val="0"/>
                <w:position w:val="0"/>
                <w:sz w:val="24"/>
                <w:szCs w:val="22"/>
                <w:highlight w:val="none"/>
                <w:vertAlign w:val="superscript"/>
                <w:lang w:val="en-US" w:eastAsia="zh-CN"/>
              </w:rPr>
              <w:t>-5</w:t>
            </w:r>
            <w:r>
              <w:rPr>
                <w:rFonts w:hint="default" w:ascii="Times New Roman" w:hAnsi="Times New Roman" w:eastAsia="宋体" w:cs="Times New Roman"/>
                <w:b w:val="0"/>
                <w:bCs w:val="0"/>
                <w:color w:val="auto"/>
                <w:kern w:val="0"/>
                <w:sz w:val="24"/>
                <w:lang w:val="en-US" w:eastAsia="zh-CN" w:bidi="en-US"/>
              </w:rPr>
              <w:t>kg/h。处理后有组织非甲烷总烃排放量为</w:t>
            </w:r>
            <w:r>
              <w:rPr>
                <w:rFonts w:hint="default" w:cs="Times New Roman"/>
                <w:b w:val="0"/>
                <w:bCs w:val="0"/>
                <w:color w:val="auto"/>
                <w:kern w:val="0"/>
                <w:sz w:val="24"/>
                <w:lang w:val="en-US" w:eastAsia="zh-CN" w:bidi="en-US"/>
              </w:rPr>
              <w:t>0.458</w:t>
            </w:r>
            <w:r>
              <w:rPr>
                <w:rFonts w:hint="default" w:ascii="Times New Roman" w:hAnsi="Times New Roman" w:eastAsia="宋体" w:cs="Times New Roman"/>
                <w:b w:val="0"/>
                <w:bCs w:val="0"/>
                <w:color w:val="auto"/>
                <w:kern w:val="0"/>
                <w:sz w:val="24"/>
                <w:lang w:val="en-US" w:eastAsia="zh-CN" w:bidi="en-US"/>
              </w:rPr>
              <w:t>t/a，排放浓度为</w:t>
            </w:r>
            <w:r>
              <w:rPr>
                <w:rFonts w:hint="default" w:cs="Times New Roman"/>
                <w:b w:val="0"/>
                <w:bCs w:val="0"/>
                <w:color w:val="auto"/>
                <w:kern w:val="0"/>
                <w:sz w:val="24"/>
                <w:lang w:val="en-US" w:eastAsia="zh-CN" w:bidi="en-US"/>
              </w:rPr>
              <w:t>2.434</w:t>
            </w:r>
            <w:r>
              <w:rPr>
                <w:rFonts w:hint="default" w:ascii="Times New Roman" w:hAnsi="Times New Roman" w:eastAsia="宋体" w:cs="Times New Roman"/>
                <w:b w:val="0"/>
                <w:bCs w:val="0"/>
                <w:color w:val="auto"/>
                <w:kern w:val="0"/>
                <w:sz w:val="24"/>
                <w:lang w:val="en-US" w:eastAsia="zh-CN" w:bidi="en-US"/>
              </w:rPr>
              <w:t>mg/m³，排放速率为0.</w:t>
            </w:r>
            <w:r>
              <w:rPr>
                <w:rFonts w:hint="default" w:cs="Times New Roman"/>
                <w:b w:val="0"/>
                <w:bCs w:val="0"/>
                <w:color w:val="auto"/>
                <w:kern w:val="0"/>
                <w:sz w:val="24"/>
                <w:lang w:val="en-US" w:eastAsia="zh-CN" w:bidi="en-US"/>
              </w:rPr>
              <w:t>064</w:t>
            </w:r>
            <w:r>
              <w:rPr>
                <w:rFonts w:hint="default" w:ascii="Times New Roman" w:hAnsi="Times New Roman" w:eastAsia="宋体" w:cs="Times New Roman"/>
                <w:b w:val="0"/>
                <w:bCs w:val="0"/>
                <w:color w:val="auto"/>
                <w:kern w:val="0"/>
                <w:sz w:val="24"/>
                <w:lang w:val="en-US" w:eastAsia="zh-CN" w:bidi="en-US"/>
              </w:rPr>
              <w:t>kg/h；有组织</w:t>
            </w:r>
            <w:r>
              <w:rPr>
                <w:rFonts w:hint="default" w:ascii="Times New Roman" w:hAnsi="Times New Roman" w:eastAsia="宋体" w:cs="Times New Roman"/>
                <w:color w:val="auto"/>
                <w:spacing w:val="0"/>
                <w:position w:val="0"/>
                <w:sz w:val="24"/>
                <w:szCs w:val="22"/>
                <w:highlight w:val="none"/>
                <w:lang w:val="en-US" w:eastAsia="zh-CN"/>
              </w:rPr>
              <w:t>二苯基甲烷二异氰酸酯（MDI）</w:t>
            </w:r>
            <w:r>
              <w:rPr>
                <w:rFonts w:hint="default" w:ascii="Times New Roman" w:hAnsi="Times New Roman" w:eastAsia="宋体" w:cs="Times New Roman"/>
                <w:b w:val="0"/>
                <w:bCs w:val="0"/>
                <w:color w:val="auto"/>
                <w:kern w:val="0"/>
                <w:sz w:val="24"/>
                <w:lang w:val="en-US" w:eastAsia="zh-CN" w:bidi="en-US"/>
              </w:rPr>
              <w:t>排放量为</w:t>
            </w:r>
            <w:r>
              <w:rPr>
                <w:rFonts w:hint="default" w:cs="Times New Roman"/>
                <w:color w:val="auto"/>
                <w:spacing w:val="0"/>
                <w:position w:val="0"/>
                <w:sz w:val="24"/>
                <w:szCs w:val="22"/>
                <w:highlight w:val="none"/>
                <w:lang w:val="en-US" w:eastAsia="zh-CN"/>
              </w:rPr>
              <w:t>7.12</w:t>
            </w:r>
            <w:r>
              <w:rPr>
                <w:rFonts w:hint="default" w:ascii="Times New Roman" w:hAnsi="Times New Roman" w:eastAsia="宋体" w:cs="Times New Roman"/>
                <w:color w:val="auto"/>
                <w:spacing w:val="0"/>
                <w:position w:val="0"/>
                <w:sz w:val="24"/>
                <w:szCs w:val="22"/>
                <w:highlight w:val="none"/>
                <w:lang w:val="en-US" w:eastAsia="zh-CN"/>
              </w:rPr>
              <w:t>×10</w:t>
            </w:r>
            <w:r>
              <w:rPr>
                <w:rFonts w:hint="default" w:ascii="Times New Roman" w:hAnsi="Times New Roman" w:eastAsia="宋体" w:cs="Times New Roman"/>
                <w:color w:val="auto"/>
                <w:spacing w:val="0"/>
                <w:position w:val="0"/>
                <w:sz w:val="24"/>
                <w:szCs w:val="22"/>
                <w:highlight w:val="none"/>
                <w:vertAlign w:val="superscript"/>
                <w:lang w:val="en-US" w:eastAsia="zh-CN"/>
              </w:rPr>
              <w:t>-5</w:t>
            </w:r>
            <w:r>
              <w:rPr>
                <w:rFonts w:hint="default" w:ascii="Times New Roman" w:hAnsi="Times New Roman" w:eastAsia="宋体" w:cs="Times New Roman"/>
                <w:b w:val="0"/>
                <w:bCs w:val="0"/>
                <w:color w:val="auto"/>
                <w:kern w:val="0"/>
                <w:sz w:val="24"/>
                <w:lang w:val="en-US" w:eastAsia="zh-CN" w:bidi="en-US"/>
              </w:rPr>
              <w:t>t/a，排放浓度为</w:t>
            </w:r>
            <w:r>
              <w:rPr>
                <w:rFonts w:hint="default" w:cs="Times New Roman"/>
                <w:color w:val="auto"/>
                <w:spacing w:val="0"/>
                <w:position w:val="0"/>
                <w:sz w:val="24"/>
                <w:szCs w:val="22"/>
                <w:highlight w:val="none"/>
                <w:lang w:val="en-US" w:eastAsia="zh-CN"/>
              </w:rPr>
              <w:t>3.79</w:t>
            </w:r>
            <w:r>
              <w:rPr>
                <w:rFonts w:hint="default" w:ascii="Times New Roman" w:hAnsi="Times New Roman" w:eastAsia="宋体" w:cs="Times New Roman"/>
                <w:color w:val="auto"/>
                <w:spacing w:val="0"/>
                <w:position w:val="0"/>
                <w:sz w:val="24"/>
                <w:szCs w:val="22"/>
                <w:highlight w:val="none"/>
                <w:lang w:val="en-US" w:eastAsia="zh-CN"/>
              </w:rPr>
              <w:t>×10</w:t>
            </w:r>
            <w:r>
              <w:rPr>
                <w:rFonts w:hint="default" w:ascii="Times New Roman" w:hAnsi="Times New Roman" w:eastAsia="宋体" w:cs="Times New Roman"/>
                <w:color w:val="auto"/>
                <w:spacing w:val="0"/>
                <w:position w:val="0"/>
                <w:sz w:val="24"/>
                <w:szCs w:val="22"/>
                <w:highlight w:val="none"/>
                <w:vertAlign w:val="superscript"/>
                <w:lang w:val="en-US" w:eastAsia="zh-CN"/>
              </w:rPr>
              <w:t>-4</w:t>
            </w:r>
            <w:r>
              <w:rPr>
                <w:rFonts w:hint="default" w:ascii="Times New Roman" w:hAnsi="Times New Roman" w:eastAsia="宋体" w:cs="Times New Roman"/>
                <w:b w:val="0"/>
                <w:bCs w:val="0"/>
                <w:color w:val="auto"/>
                <w:kern w:val="0"/>
                <w:sz w:val="24"/>
                <w:lang w:val="en-US" w:eastAsia="zh-CN" w:bidi="en-US"/>
              </w:rPr>
              <w:t>mg/m³，排放速率为</w:t>
            </w:r>
            <w:r>
              <w:rPr>
                <w:rFonts w:hint="default" w:cs="Times New Roman"/>
                <w:color w:val="auto"/>
                <w:spacing w:val="0"/>
                <w:position w:val="0"/>
                <w:sz w:val="24"/>
                <w:szCs w:val="22"/>
                <w:highlight w:val="none"/>
                <w:lang w:val="en-US" w:eastAsia="zh-CN"/>
              </w:rPr>
              <w:t>9.89</w:t>
            </w:r>
            <w:r>
              <w:rPr>
                <w:rFonts w:hint="default" w:ascii="Times New Roman" w:hAnsi="Times New Roman" w:eastAsia="宋体" w:cs="Times New Roman"/>
                <w:color w:val="auto"/>
                <w:spacing w:val="0"/>
                <w:position w:val="0"/>
                <w:sz w:val="24"/>
                <w:szCs w:val="22"/>
                <w:highlight w:val="none"/>
                <w:lang w:val="en-US" w:eastAsia="zh-CN"/>
              </w:rPr>
              <w:t>×10</w:t>
            </w:r>
            <w:r>
              <w:rPr>
                <w:rFonts w:hint="default" w:ascii="Times New Roman" w:hAnsi="Times New Roman" w:eastAsia="宋体" w:cs="Times New Roman"/>
                <w:color w:val="auto"/>
                <w:spacing w:val="0"/>
                <w:position w:val="0"/>
                <w:sz w:val="24"/>
                <w:szCs w:val="22"/>
                <w:highlight w:val="none"/>
                <w:vertAlign w:val="superscript"/>
                <w:lang w:val="en-US" w:eastAsia="zh-CN"/>
              </w:rPr>
              <w:t>-6</w:t>
            </w:r>
            <w:r>
              <w:rPr>
                <w:rFonts w:hint="default" w:ascii="Times New Roman" w:hAnsi="Times New Roman" w:eastAsia="宋体" w:cs="Times New Roman"/>
                <w:b w:val="0"/>
                <w:bCs w:val="0"/>
                <w:color w:val="auto"/>
                <w:kern w:val="0"/>
                <w:sz w:val="24"/>
                <w:lang w:val="en-US" w:eastAsia="zh-CN" w:bidi="en-US"/>
              </w:rPr>
              <w:t>kg/h。</w:t>
            </w:r>
          </w:p>
          <w:p w14:paraId="7179A13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③</w:t>
            </w:r>
            <w:r>
              <w:rPr>
                <w:rFonts w:hint="default" w:ascii="Times New Roman" w:hAnsi="Times New Roman" w:eastAsia="宋体" w:cs="Times New Roman"/>
                <w:color w:val="auto"/>
                <w:sz w:val="24"/>
                <w:szCs w:val="22"/>
                <w:highlight w:val="none"/>
                <w:lang w:val="en-US" w:eastAsia="zh-CN"/>
              </w:rPr>
              <w:t>DA003：洁</w:t>
            </w:r>
            <w:r>
              <w:rPr>
                <w:rFonts w:hint="default" w:ascii="Times New Roman" w:hAnsi="Times New Roman" w:eastAsia="宋体" w:cs="Times New Roman"/>
                <w:color w:val="auto"/>
                <w:sz w:val="24"/>
                <w:lang w:val="en-US" w:eastAsia="zh-CN"/>
              </w:rPr>
              <w:t>净车间印刷、复合、固化工序废气</w:t>
            </w:r>
          </w:p>
          <w:p w14:paraId="1A2F6251">
            <w:pPr>
              <w:pStyle w:val="13"/>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b w:val="0"/>
                <w:bCs w:val="0"/>
                <w:color w:val="auto"/>
                <w:kern w:val="0"/>
                <w:sz w:val="24"/>
                <w:highlight w:val="none"/>
                <w:lang w:val="en-US" w:eastAsia="zh-CN" w:bidi="en-US"/>
              </w:rPr>
            </w:pPr>
            <w:r>
              <w:rPr>
                <w:rFonts w:hint="default" w:ascii="Times New Roman" w:hAnsi="Times New Roman" w:eastAsia="宋体" w:cs="Times New Roman"/>
                <w:b w:val="0"/>
                <w:bCs w:val="0"/>
                <w:color w:val="auto"/>
                <w:kern w:val="0"/>
                <w:sz w:val="24"/>
                <w:highlight w:val="none"/>
                <w:lang w:val="en-US" w:eastAsia="zh-CN" w:bidi="en-US"/>
              </w:rPr>
              <w:t>依据《印刷工业污染防治可行技术指南》（HJ1089-2020）附录D要求对本项目DA003废气收集系统风量进行计算如下：</w:t>
            </w:r>
          </w:p>
          <w:p w14:paraId="7E602E99">
            <w:pPr>
              <w:pStyle w:val="13"/>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b w:val="0"/>
                <w:bCs w:val="0"/>
                <w:color w:val="auto"/>
                <w:kern w:val="0"/>
                <w:sz w:val="24"/>
                <w:highlight w:val="none"/>
                <w:lang w:val="en-US" w:eastAsia="zh-CN" w:bidi="en-US"/>
              </w:rPr>
            </w:pPr>
            <w:r>
              <w:rPr>
                <w:rFonts w:hint="default" w:ascii="Times New Roman" w:hAnsi="Times New Roman" w:eastAsia="宋体" w:cs="Times New Roman"/>
                <w:b w:val="0"/>
                <w:bCs w:val="0"/>
                <w:color w:val="auto"/>
                <w:kern w:val="0"/>
                <w:sz w:val="24"/>
                <w:highlight w:val="none"/>
                <w:lang w:val="en-US" w:eastAsia="zh-CN" w:bidi="en-US"/>
              </w:rPr>
              <w:t>采用外部排风罩风量计算公式：</w:t>
            </w:r>
          </w:p>
          <w:p w14:paraId="33FC1B9D">
            <w:pPr>
              <w:pStyle w:val="6"/>
              <w:suppressLineNumbers w:val="0"/>
              <w:spacing w:before="0" w:beforeAutospacing="0" w:after="0" w:afterAutospacing="0" w:line="240" w:lineRule="auto"/>
              <w:ind w:left="0" w:right="0"/>
              <w:rPr>
                <w:rFonts w:hint="default" w:ascii="Times New Roman" w:hAnsi="Times New Roman"/>
                <w:highlight w:val="none"/>
                <w:lang w:val="en-US" w:eastAsia="zh-CN"/>
              </w:rPr>
            </w:pPr>
            <w:r>
              <w:rPr>
                <w:rFonts w:hint="default" w:ascii="Times New Roman" w:hAnsi="Times New Roman"/>
                <w:sz w:val="24"/>
                <w:highlight w:val="none"/>
              </w:rPr>
              <mc:AlternateContent>
                <mc:Choice Requires="wps">
                  <w:drawing>
                    <wp:anchor distT="0" distB="0" distL="114300" distR="114300" simplePos="0" relativeHeight="251666432" behindDoc="0" locked="0" layoutInCell="1" allowOverlap="1">
                      <wp:simplePos x="0" y="0"/>
                      <wp:positionH relativeFrom="column">
                        <wp:posOffset>2246630</wp:posOffset>
                      </wp:positionH>
                      <wp:positionV relativeFrom="paragraph">
                        <wp:posOffset>555625</wp:posOffset>
                      </wp:positionV>
                      <wp:extent cx="895350" cy="257175"/>
                      <wp:effectExtent l="0" t="0" r="0" b="9525"/>
                      <wp:wrapNone/>
                      <wp:docPr id="14" name="矩形 14"/>
                      <wp:cNvGraphicFramePr/>
                      <a:graphic xmlns:a="http://schemas.openxmlformats.org/drawingml/2006/main">
                        <a:graphicData uri="http://schemas.microsoft.com/office/word/2010/wordprocessingShape">
                          <wps:wsp>
                            <wps:cNvSpPr/>
                            <wps:spPr>
                              <a:xfrm>
                                <a:off x="0" y="0"/>
                                <a:ext cx="895350" cy="257175"/>
                              </a:xfrm>
                              <a:prstGeom prst="rect">
                                <a:avLst/>
                              </a:prstGeom>
                              <a:solidFill>
                                <a:srgbClr val="FFFFFF"/>
                              </a:solidFill>
                              <a:ln>
                                <a:noFill/>
                              </a:ln>
                            </wps:spPr>
                            <wps:bodyPr upright="1"/>
                          </wps:wsp>
                        </a:graphicData>
                      </a:graphic>
                    </wp:anchor>
                  </w:drawing>
                </mc:Choice>
                <mc:Fallback>
                  <w:pict>
                    <v:rect id="_x0000_s1026" o:spid="_x0000_s1026" o:spt="1" style="position:absolute;left:0pt;margin-left:176.9pt;margin-top:43.75pt;height:20.25pt;width:70.5pt;z-index:251666432;mso-width-relative:page;mso-height-relative:page;" fillcolor="#FFFFFF" filled="t" stroked="f" coordsize="21600,21600" o:gfxdata="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NZy&#10;O6jYAAAACgEAAA8AAAAAAAAAAQAgAAAAIgAAAGRycy9kb3ducmV2LnhtbFBLAQIUABQAAAAIAIdO&#10;4kDkFQ8RsQEAAGADAAAOAAAAAAAAAAEAIAAAACcBAABkcnMvZTJvRG9jLnhtbFBLBQYAAAAABgAG&#10;AFkBAABKBQAAAAA=&#10;">
                      <v:fill on="t" focussize="0,0"/>
                      <v:stroke on="f"/>
                      <v:imagedata o:title=""/>
                      <o:lock v:ext="edit" aspectratio="f"/>
                    </v:rect>
                  </w:pict>
                </mc:Fallback>
              </mc:AlternateContent>
            </w:r>
            <w:r>
              <w:rPr>
                <w:rFonts w:hint="default" w:ascii="Times New Roman" w:hAnsi="Times New Roman"/>
                <w:highlight w:val="none"/>
              </w:rPr>
              <w:drawing>
                <wp:inline distT="0" distB="0" distL="114300" distR="114300">
                  <wp:extent cx="4959350" cy="1061085"/>
                  <wp:effectExtent l="0" t="0" r="12700" b="5715"/>
                  <wp:docPr id="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
                          <pic:cNvPicPr>
                            <a:picLocks noChangeAspect="1"/>
                          </pic:cNvPicPr>
                        </pic:nvPicPr>
                        <pic:blipFill>
                          <a:blip r:embed="rId15"/>
                          <a:stretch>
                            <a:fillRect/>
                          </a:stretch>
                        </pic:blipFill>
                        <pic:spPr>
                          <a:xfrm>
                            <a:off x="0" y="0"/>
                            <a:ext cx="4959350" cy="1061085"/>
                          </a:xfrm>
                          <a:prstGeom prst="rect">
                            <a:avLst/>
                          </a:prstGeom>
                          <a:noFill/>
                          <a:ln>
                            <a:noFill/>
                          </a:ln>
                        </pic:spPr>
                      </pic:pic>
                    </a:graphicData>
                  </a:graphic>
                </wp:inline>
              </w:drawing>
            </w:r>
          </w:p>
          <w:p w14:paraId="43F2C688">
            <w:pPr>
              <w:pStyle w:val="13"/>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b w:val="0"/>
                <w:bCs w:val="0"/>
                <w:color w:val="auto"/>
                <w:kern w:val="0"/>
                <w:sz w:val="24"/>
                <w:highlight w:val="none"/>
                <w:lang w:val="en-US" w:eastAsia="zh-CN" w:bidi="en-US"/>
              </w:rPr>
            </w:pPr>
            <w:r>
              <w:rPr>
                <w:rFonts w:hint="default" w:ascii="Times New Roman" w:hAnsi="Times New Roman" w:eastAsia="宋体" w:cs="Times New Roman"/>
                <w:b w:val="0"/>
                <w:bCs w:val="0"/>
                <w:color w:val="auto"/>
                <w:kern w:val="0"/>
                <w:sz w:val="24"/>
                <w:highlight w:val="none"/>
                <w:lang w:val="en-US" w:eastAsia="zh-CN" w:bidi="en-US"/>
              </w:rPr>
              <w:t>采用密闭罩及通风柜风量计算公式：</w:t>
            </w:r>
          </w:p>
          <w:p w14:paraId="1A2D8930">
            <w:pPr>
              <w:pStyle w:val="6"/>
              <w:suppressLineNumbers w:val="0"/>
              <w:spacing w:before="0" w:beforeAutospacing="0" w:after="0" w:afterAutospacing="0" w:line="240" w:lineRule="auto"/>
              <w:ind w:left="0" w:right="0"/>
              <w:rPr>
                <w:rFonts w:hint="default" w:ascii="Times New Roman" w:hAnsi="Times New Roman"/>
                <w:highlight w:val="none"/>
                <w:lang w:val="en-US" w:eastAsia="zh-CN"/>
              </w:rPr>
            </w:pPr>
            <w:r>
              <w:rPr>
                <w:rFonts w:hint="default" w:ascii="Times New Roman" w:hAnsi="Times New Roman"/>
                <w:sz w:val="24"/>
                <w:highlight w:val="none"/>
              </w:rPr>
              <mc:AlternateContent>
                <mc:Choice Requires="wps">
                  <w:drawing>
                    <wp:anchor distT="0" distB="0" distL="114300" distR="114300" simplePos="0" relativeHeight="251667456" behindDoc="0" locked="0" layoutInCell="1" allowOverlap="1">
                      <wp:simplePos x="0" y="0"/>
                      <wp:positionH relativeFrom="column">
                        <wp:posOffset>2599690</wp:posOffset>
                      </wp:positionH>
                      <wp:positionV relativeFrom="paragraph">
                        <wp:posOffset>950595</wp:posOffset>
                      </wp:positionV>
                      <wp:extent cx="961390" cy="257175"/>
                      <wp:effectExtent l="0" t="0" r="10160" b="9525"/>
                      <wp:wrapNone/>
                      <wp:docPr id="13" name="矩形 13"/>
                      <wp:cNvGraphicFramePr/>
                      <a:graphic xmlns:a="http://schemas.openxmlformats.org/drawingml/2006/main">
                        <a:graphicData uri="http://schemas.microsoft.com/office/word/2010/wordprocessingShape">
                          <wps:wsp>
                            <wps:cNvSpPr/>
                            <wps:spPr>
                              <a:xfrm>
                                <a:off x="0" y="0"/>
                                <a:ext cx="961390" cy="257175"/>
                              </a:xfrm>
                              <a:prstGeom prst="rect">
                                <a:avLst/>
                              </a:prstGeom>
                              <a:solidFill>
                                <a:srgbClr val="FFFFFF"/>
                              </a:solidFill>
                              <a:ln>
                                <a:noFill/>
                              </a:ln>
                            </wps:spPr>
                            <wps:bodyPr upright="1"/>
                          </wps:wsp>
                        </a:graphicData>
                      </a:graphic>
                    </wp:anchor>
                  </w:drawing>
                </mc:Choice>
                <mc:Fallback>
                  <w:pict>
                    <v:rect id="_x0000_s1026" o:spid="_x0000_s1026" o:spt="1" style="position:absolute;left:0pt;margin-left:204.7pt;margin-top:74.85pt;height:20.25pt;width:75.7pt;z-index:251667456;mso-width-relative:page;mso-height-relative:page;" fillcolor="#FFFFFF" filled="t" stroked="f" coordsize="21600,21600" o:gfxdata="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CVB&#10;xtHYAAAACwEAAA8AAAAAAAAAAQAgAAAAIgAAAGRycy9kb3ducmV2LnhtbFBLAQIUABQAAAAIAIdO&#10;4kBmK2rBsQEAAGADAAAOAAAAAAAAAAEAIAAAACcBAABkcnMvZTJvRG9jLnhtbFBLBQYAAAAABgAG&#10;AFkBAABKBQAAAAA=&#10;">
                      <v:fill on="t" focussize="0,0"/>
                      <v:stroke on="f"/>
                      <v:imagedata o:title=""/>
                      <o:lock v:ext="edit" aspectratio="f"/>
                    </v:rect>
                  </w:pict>
                </mc:Fallback>
              </mc:AlternateContent>
            </w:r>
            <w:r>
              <w:rPr>
                <w:rFonts w:hint="default" w:ascii="Times New Roman" w:hAnsi="Times New Roman"/>
                <w:highlight w:val="none"/>
              </w:rPr>
              <w:drawing>
                <wp:inline distT="0" distB="0" distL="114300" distR="114300">
                  <wp:extent cx="5226050" cy="1483995"/>
                  <wp:effectExtent l="0" t="0" r="12700" b="1905"/>
                  <wp:docPr id="1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
                          <pic:cNvPicPr>
                            <a:picLocks noChangeAspect="1"/>
                          </pic:cNvPicPr>
                        </pic:nvPicPr>
                        <pic:blipFill>
                          <a:blip r:embed="rId16"/>
                          <a:stretch>
                            <a:fillRect/>
                          </a:stretch>
                        </pic:blipFill>
                        <pic:spPr>
                          <a:xfrm>
                            <a:off x="0" y="0"/>
                            <a:ext cx="5226050" cy="1483995"/>
                          </a:xfrm>
                          <a:prstGeom prst="rect">
                            <a:avLst/>
                          </a:prstGeom>
                          <a:noFill/>
                          <a:ln>
                            <a:noFill/>
                          </a:ln>
                        </pic:spPr>
                      </pic:pic>
                    </a:graphicData>
                  </a:graphic>
                </wp:inline>
              </w:drawing>
            </w:r>
          </w:p>
          <w:p w14:paraId="67257774">
            <w:pPr>
              <w:pStyle w:val="13"/>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b w:val="0"/>
                <w:bCs w:val="0"/>
                <w:color w:val="auto"/>
                <w:kern w:val="0"/>
                <w:sz w:val="24"/>
                <w:highlight w:val="none"/>
                <w:lang w:val="en-US" w:eastAsia="zh-CN" w:bidi="en-US"/>
              </w:rPr>
            </w:pPr>
            <w:r>
              <w:rPr>
                <w:rFonts w:hint="default" w:ascii="Times New Roman" w:hAnsi="Times New Roman" w:eastAsia="宋体" w:cs="Times New Roman"/>
                <w:b w:val="0"/>
                <w:bCs w:val="0"/>
                <w:color w:val="auto"/>
                <w:kern w:val="0"/>
                <w:sz w:val="24"/>
                <w:highlight w:val="none"/>
                <w:lang w:val="en-US" w:eastAsia="zh-CN" w:bidi="en-US"/>
              </w:rPr>
              <w:drawing>
                <wp:inline distT="0" distB="0" distL="114300" distR="114300">
                  <wp:extent cx="4305300" cy="352425"/>
                  <wp:effectExtent l="0" t="0" r="0" b="9525"/>
                  <wp:docPr id="10" name="图片 3" descr="e4e7f39341f7833200a564047e2f9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 descr="e4e7f39341f7833200a564047e2f936"/>
                          <pic:cNvPicPr>
                            <a:picLocks noChangeAspect="1"/>
                          </pic:cNvPicPr>
                        </pic:nvPicPr>
                        <pic:blipFill>
                          <a:blip r:embed="rId17"/>
                          <a:stretch>
                            <a:fillRect/>
                          </a:stretch>
                        </pic:blipFill>
                        <pic:spPr>
                          <a:xfrm>
                            <a:off x="0" y="0"/>
                            <a:ext cx="4305300" cy="352425"/>
                          </a:xfrm>
                          <a:prstGeom prst="rect">
                            <a:avLst/>
                          </a:prstGeom>
                          <a:noFill/>
                          <a:ln>
                            <a:noFill/>
                          </a:ln>
                        </pic:spPr>
                      </pic:pic>
                    </a:graphicData>
                  </a:graphic>
                </wp:inline>
              </w:drawing>
            </w:r>
          </w:p>
          <w:p w14:paraId="097EFFF9">
            <w:pPr>
              <w:pStyle w:val="13"/>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b w:val="0"/>
                <w:bCs w:val="0"/>
                <w:color w:val="auto"/>
                <w:kern w:val="0"/>
                <w:sz w:val="24"/>
                <w:highlight w:val="none"/>
                <w:lang w:val="en-US" w:eastAsia="zh-CN" w:bidi="en-US"/>
              </w:rPr>
            </w:pPr>
            <w:r>
              <w:rPr>
                <w:rFonts w:hint="default" w:ascii="Times New Roman" w:hAnsi="Times New Roman" w:eastAsia="宋体" w:cs="Times New Roman"/>
                <w:b w:val="0"/>
                <w:bCs w:val="0"/>
                <w:color w:val="auto"/>
                <w:kern w:val="0"/>
                <w:sz w:val="24"/>
                <w:highlight w:val="none"/>
                <w:lang w:val="en-US" w:eastAsia="zh-CN" w:bidi="en-US"/>
              </w:rPr>
              <w:t>根据《沧州市大气污染防治工作领导小组办公室&lt;关于加强9月份臭氧污染防治管控措施的通知&gt;》，沧气领办〔2020〕101号，本次评价对罩口平均风速取0.5m/s，操作口平均风速取0.5m/s，安全系数取1.1。</w:t>
            </w:r>
          </w:p>
          <w:p w14:paraId="2290521F">
            <w:pPr>
              <w:pStyle w:val="13"/>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b w:val="0"/>
                <w:bCs w:val="0"/>
                <w:color w:val="auto"/>
                <w:kern w:val="0"/>
                <w:sz w:val="24"/>
                <w:highlight w:val="none"/>
                <w:lang w:val="en-US" w:eastAsia="zh-CN" w:bidi="en-US"/>
              </w:rPr>
            </w:pPr>
            <w:r>
              <w:rPr>
                <w:rFonts w:hint="default" w:ascii="Times New Roman" w:hAnsi="Times New Roman" w:eastAsia="宋体" w:cs="Times New Roman"/>
                <w:b w:val="0"/>
                <w:bCs w:val="0"/>
                <w:color w:val="auto"/>
                <w:kern w:val="0"/>
                <w:sz w:val="24"/>
                <w:highlight w:val="none"/>
                <w:lang w:val="en-US" w:eastAsia="zh-CN" w:bidi="en-US"/>
              </w:rPr>
              <w:t>在不影响生产运行的情况下集气罩距离设备上方高度为0.3m；</w:t>
            </w:r>
          </w:p>
          <w:p w14:paraId="09286124">
            <w:pPr>
              <w:pStyle w:val="13"/>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highlight w:val="none"/>
                <w:lang w:val="en-US" w:eastAsia="zh-CN"/>
              </w:rPr>
            </w:pPr>
            <w:r>
              <w:rPr>
                <w:rFonts w:hint="default" w:ascii="Times New Roman" w:hAnsi="Times New Roman" w:eastAsia="宋体" w:cs="Times New Roman"/>
                <w:color w:val="auto"/>
                <w:sz w:val="24"/>
                <w:highlight w:val="none"/>
                <w:lang w:val="en-US" w:eastAsia="zh-CN"/>
              </w:rPr>
              <w:t>洁净车间设2个集气罩，</w:t>
            </w:r>
            <w:r>
              <w:rPr>
                <w:rFonts w:hint="default" w:ascii="Times New Roman" w:hAnsi="Times New Roman" w:eastAsia="宋体" w:cs="Times New Roman"/>
                <w:b w:val="0"/>
                <w:bCs w:val="0"/>
                <w:color w:val="auto"/>
                <w:kern w:val="0"/>
                <w:sz w:val="24"/>
                <w:highlight w:val="none"/>
                <w:lang w:val="en-US" w:eastAsia="zh-CN" w:bidi="en-US"/>
              </w:rPr>
              <w:t>每个集气罩罩口面积均为0.8m</w:t>
            </w:r>
            <w:r>
              <w:rPr>
                <w:rFonts w:hint="default" w:ascii="Times New Roman" w:hAnsi="Times New Roman" w:eastAsia="宋体" w:cs="Times New Roman"/>
                <w:b w:val="0"/>
                <w:bCs w:val="0"/>
                <w:color w:val="auto"/>
                <w:kern w:val="0"/>
                <w:sz w:val="24"/>
                <w:highlight w:val="none"/>
                <w:vertAlign w:val="superscript"/>
                <w:lang w:val="en-US" w:eastAsia="zh-CN" w:bidi="en-US"/>
              </w:rPr>
              <w:t>2</w:t>
            </w:r>
            <w:r>
              <w:rPr>
                <w:rFonts w:hint="default" w:ascii="Times New Roman" w:hAnsi="Times New Roman" w:eastAsia="宋体" w:cs="Times New Roman"/>
                <w:b w:val="0"/>
                <w:bCs w:val="0"/>
                <w:color w:val="auto"/>
                <w:kern w:val="0"/>
                <w:sz w:val="24"/>
                <w:highlight w:val="none"/>
                <w:lang w:val="en-US" w:eastAsia="zh-CN" w:bidi="en-US"/>
              </w:rPr>
              <w:t>，3个固化室，操作口面积为0.8m</w:t>
            </w:r>
            <w:r>
              <w:rPr>
                <w:rFonts w:hint="default" w:ascii="Times New Roman" w:hAnsi="Times New Roman" w:eastAsia="宋体" w:cs="Times New Roman"/>
                <w:b w:val="0"/>
                <w:bCs w:val="0"/>
                <w:color w:val="auto"/>
                <w:kern w:val="0"/>
                <w:sz w:val="24"/>
                <w:highlight w:val="none"/>
                <w:vertAlign w:val="superscript"/>
                <w:lang w:val="en-US" w:eastAsia="zh-CN" w:bidi="en-US"/>
              </w:rPr>
              <w:t>2</w:t>
            </w:r>
            <w:r>
              <w:rPr>
                <w:rFonts w:hint="default" w:ascii="Times New Roman" w:hAnsi="Times New Roman" w:eastAsia="宋体" w:cs="Times New Roman"/>
                <w:b w:val="0"/>
                <w:bCs w:val="0"/>
                <w:color w:val="auto"/>
                <w:kern w:val="0"/>
                <w:sz w:val="24"/>
                <w:highlight w:val="none"/>
                <w:lang w:val="en-US" w:eastAsia="zh-CN" w:bidi="en-US"/>
              </w:rPr>
              <w:t>。通过计算可知</w:t>
            </w:r>
            <w:r>
              <w:rPr>
                <w:rFonts w:hint="default" w:ascii="Times New Roman" w:hAnsi="Times New Roman" w:eastAsia="宋体" w:cs="Times New Roman"/>
                <w:color w:val="auto"/>
                <w:sz w:val="24"/>
                <w:highlight w:val="none"/>
                <w:lang w:val="en-US" w:eastAsia="zh-CN"/>
              </w:rPr>
              <w:t>洁净车间</w:t>
            </w:r>
            <w:r>
              <w:rPr>
                <w:rFonts w:hint="default" w:ascii="Times New Roman" w:hAnsi="Times New Roman" w:eastAsia="宋体" w:cs="Times New Roman"/>
                <w:b w:val="0"/>
                <w:bCs w:val="0"/>
                <w:color w:val="auto"/>
                <w:kern w:val="0"/>
                <w:sz w:val="24"/>
                <w:highlight w:val="none"/>
                <w:lang w:val="en-US" w:eastAsia="zh-CN" w:bidi="en-US"/>
              </w:rPr>
              <w:t>有机废气产排污节点所需总风量为7632m</w:t>
            </w:r>
            <w:r>
              <w:rPr>
                <w:rFonts w:hint="default" w:ascii="Times New Roman" w:hAnsi="Times New Roman" w:eastAsia="宋体" w:cs="Times New Roman"/>
                <w:b w:val="0"/>
                <w:bCs w:val="0"/>
                <w:color w:val="auto"/>
                <w:kern w:val="0"/>
                <w:sz w:val="24"/>
                <w:highlight w:val="none"/>
                <w:vertAlign w:val="superscript"/>
                <w:lang w:val="en-US" w:eastAsia="zh-CN" w:bidi="en-US"/>
              </w:rPr>
              <w:t>3</w:t>
            </w:r>
            <w:r>
              <w:rPr>
                <w:rFonts w:hint="default" w:ascii="Times New Roman" w:hAnsi="Times New Roman" w:eastAsia="宋体" w:cs="Times New Roman"/>
                <w:b w:val="0"/>
                <w:bCs w:val="0"/>
                <w:color w:val="auto"/>
                <w:kern w:val="0"/>
                <w:sz w:val="24"/>
                <w:highlight w:val="none"/>
                <w:lang w:val="en-US" w:eastAsia="zh-CN" w:bidi="en-US"/>
              </w:rPr>
              <w:t>/h，考虑到本次评价项目风机盘管的选型、静压，送风管的长度、走向、变径、封口阻力等损失，本次项目风机设计风量为9000m</w:t>
            </w:r>
            <w:r>
              <w:rPr>
                <w:rFonts w:hint="default" w:ascii="Times New Roman" w:hAnsi="Times New Roman" w:eastAsia="宋体" w:cs="Times New Roman"/>
                <w:b w:val="0"/>
                <w:bCs w:val="0"/>
                <w:color w:val="auto"/>
                <w:kern w:val="0"/>
                <w:sz w:val="24"/>
                <w:highlight w:val="none"/>
                <w:vertAlign w:val="superscript"/>
                <w:lang w:val="en-US" w:eastAsia="zh-CN" w:bidi="en-US"/>
              </w:rPr>
              <w:t>3</w:t>
            </w:r>
            <w:r>
              <w:rPr>
                <w:rFonts w:hint="default" w:ascii="Times New Roman" w:hAnsi="Times New Roman" w:eastAsia="宋体" w:cs="Times New Roman"/>
                <w:b w:val="0"/>
                <w:bCs w:val="0"/>
                <w:color w:val="auto"/>
                <w:kern w:val="0"/>
                <w:sz w:val="24"/>
                <w:highlight w:val="none"/>
                <w:lang w:val="en-US" w:eastAsia="zh-CN" w:bidi="en-US"/>
              </w:rPr>
              <w:t>/h，满足本项目运行要求。</w:t>
            </w:r>
          </w:p>
          <w:p w14:paraId="2A5CB54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b w:val="0"/>
                <w:bCs w:val="0"/>
                <w:color w:val="auto"/>
                <w:kern w:val="0"/>
                <w:sz w:val="24"/>
                <w:lang w:val="en-US" w:eastAsia="zh-CN" w:bidi="en-US"/>
              </w:rPr>
            </w:pPr>
            <w:r>
              <w:rPr>
                <w:rFonts w:hint="default" w:ascii="Times New Roman" w:hAnsi="Times New Roman" w:eastAsia="宋体" w:cs="Times New Roman"/>
                <w:color w:val="auto"/>
                <w:sz w:val="24"/>
                <w:szCs w:val="22"/>
                <w:highlight w:val="none"/>
                <w:lang w:val="en-US" w:eastAsia="zh-CN"/>
              </w:rPr>
              <w:t>DA003：</w:t>
            </w:r>
            <w:r>
              <w:rPr>
                <w:rFonts w:hint="default" w:ascii="Times New Roman" w:hAnsi="Times New Roman" w:eastAsia="宋体" w:cs="Times New Roman"/>
                <w:b w:val="0"/>
                <w:bCs w:val="0"/>
                <w:color w:val="auto"/>
                <w:kern w:val="0"/>
                <w:sz w:val="24"/>
                <w:highlight w:val="none"/>
                <w:lang w:val="en-US" w:eastAsia="zh-CN" w:bidi="en-US"/>
              </w:rPr>
              <w:t>洁净车间印刷、复合工序、固化工序产</w:t>
            </w:r>
            <w:r>
              <w:rPr>
                <w:rFonts w:hint="default" w:ascii="Times New Roman" w:hAnsi="Times New Roman" w:eastAsia="宋体" w:cs="Times New Roman"/>
                <w:b w:val="0"/>
                <w:bCs w:val="0"/>
                <w:color w:val="auto"/>
                <w:kern w:val="0"/>
                <w:sz w:val="24"/>
                <w:lang w:val="en-US" w:eastAsia="zh-CN" w:bidi="en-US"/>
              </w:rPr>
              <w:t>生废气，主要污染因子为非甲烷总烃、</w:t>
            </w:r>
            <w:r>
              <w:rPr>
                <w:rFonts w:hint="default" w:ascii="Times New Roman" w:hAnsi="Times New Roman" w:eastAsia="宋体" w:cs="Times New Roman"/>
                <w:color w:val="auto"/>
                <w:spacing w:val="0"/>
                <w:position w:val="0"/>
                <w:sz w:val="24"/>
                <w:szCs w:val="22"/>
                <w:highlight w:val="none"/>
                <w:lang w:val="en-US" w:eastAsia="zh-CN"/>
              </w:rPr>
              <w:t>二苯基甲烷二异氰酸酯（MDI）</w:t>
            </w:r>
            <w:r>
              <w:rPr>
                <w:rFonts w:hint="default" w:cs="Times New Roman"/>
                <w:color w:val="auto"/>
                <w:spacing w:val="0"/>
                <w:position w:val="0"/>
                <w:sz w:val="24"/>
                <w:szCs w:val="22"/>
                <w:highlight w:val="none"/>
                <w:lang w:val="en-US" w:eastAsia="zh-CN"/>
              </w:rPr>
              <w:t>、臭气浓度</w:t>
            </w:r>
            <w:r>
              <w:rPr>
                <w:rFonts w:hint="default" w:ascii="Times New Roman" w:hAnsi="Times New Roman" w:eastAsia="宋体" w:cs="Times New Roman"/>
                <w:b w:val="0"/>
                <w:bCs w:val="0"/>
                <w:color w:val="auto"/>
                <w:kern w:val="0"/>
                <w:sz w:val="24"/>
                <w:lang w:val="en-US" w:eastAsia="zh-CN" w:bidi="en-US"/>
              </w:rPr>
              <w:t>。计算如下：</w:t>
            </w:r>
          </w:p>
          <w:p w14:paraId="517E111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auto"/>
                <w:sz w:val="24"/>
                <w:lang w:val="en-US" w:eastAsia="zh-CN"/>
              </w:rPr>
            </w:pPr>
            <w:r>
              <w:rPr>
                <w:rFonts w:hint="default" w:cs="Times New Roman"/>
                <w:b w:val="0"/>
                <w:bCs w:val="0"/>
                <w:color w:val="auto"/>
                <w:kern w:val="0"/>
                <w:sz w:val="24"/>
                <w:lang w:val="en-US" w:eastAsia="zh-CN" w:bidi="en-US"/>
              </w:rPr>
              <w:t>参照</w:t>
            </w:r>
            <w:r>
              <w:rPr>
                <w:rFonts w:hint="default" w:ascii="Times New Roman" w:hAnsi="Times New Roman" w:eastAsia="宋体" w:cs="Times New Roman"/>
                <w:color w:val="auto"/>
                <w:sz w:val="24"/>
                <w:lang w:val="en-US" w:eastAsia="zh-CN"/>
              </w:rPr>
              <w:t>现有工程印刷、复合、固化工序净化设施出口（DA002）</w:t>
            </w:r>
            <w:r>
              <w:rPr>
                <w:rFonts w:hint="default" w:ascii="Times New Roman" w:hAnsi="Times New Roman" w:eastAsia="宋体" w:cs="Times New Roman"/>
                <w:b w:val="0"/>
                <w:bCs w:val="0"/>
                <w:color w:val="auto"/>
                <w:kern w:val="0"/>
                <w:sz w:val="24"/>
                <w:lang w:val="en-US" w:eastAsia="zh-CN" w:bidi="en-US"/>
              </w:rPr>
              <w:t>非甲烷总烃产污系数0.</w:t>
            </w:r>
            <w:r>
              <w:rPr>
                <w:rFonts w:hint="default" w:cs="Times New Roman"/>
                <w:b w:val="0"/>
                <w:bCs w:val="0"/>
                <w:color w:val="auto"/>
                <w:kern w:val="0"/>
                <w:sz w:val="24"/>
                <w:lang w:val="en-US" w:eastAsia="zh-CN" w:bidi="en-US"/>
              </w:rPr>
              <w:t>499</w:t>
            </w:r>
            <w:r>
              <w:rPr>
                <w:rFonts w:hint="default" w:ascii="Times New Roman" w:hAnsi="Times New Roman" w:eastAsia="宋体" w:cs="Times New Roman"/>
                <w:b w:val="0"/>
                <w:bCs w:val="0"/>
                <w:color w:val="auto"/>
                <w:kern w:val="0"/>
                <w:sz w:val="24"/>
                <w:lang w:val="en-US" w:eastAsia="zh-CN" w:bidi="en-US"/>
              </w:rPr>
              <w:t>kg/t原料</w:t>
            </w:r>
            <w:r>
              <w:rPr>
                <w:rFonts w:hint="default" w:cs="Times New Roman"/>
                <w:b w:val="0"/>
                <w:bCs w:val="0"/>
                <w:color w:val="auto"/>
                <w:kern w:val="0"/>
                <w:sz w:val="24"/>
                <w:lang w:val="en-US" w:eastAsia="zh-CN" w:bidi="en-US"/>
              </w:rPr>
              <w:t>，技改完成后洁净车间印刷、复合、固化工序共使用原辅料2065t/a，则非甲烷总烃产生量为1.030t/a。由于洁净车间水性油墨配制</w:t>
            </w:r>
            <w:r>
              <w:rPr>
                <w:rFonts w:hint="eastAsia" w:cs="Times New Roman"/>
                <w:b w:val="0"/>
                <w:bCs w:val="0"/>
                <w:color w:val="auto"/>
                <w:kern w:val="0"/>
                <w:sz w:val="24"/>
                <w:lang w:val="en-US" w:eastAsia="zh-CN" w:bidi="en-US"/>
              </w:rPr>
              <w:t>、擦拭</w:t>
            </w:r>
            <w:r>
              <w:rPr>
                <w:rFonts w:hint="default" w:cs="Times New Roman"/>
                <w:b w:val="0"/>
                <w:bCs w:val="0"/>
                <w:color w:val="auto"/>
                <w:kern w:val="0"/>
                <w:sz w:val="24"/>
                <w:lang w:val="en-US" w:eastAsia="zh-CN" w:bidi="en-US"/>
              </w:rPr>
              <w:t>于配制间B进行，废气进入DA002排气筒，需扣除洁净车间水性油墨配制非甲烷总烃产生量0.015t/a，则洁净车间</w:t>
            </w:r>
            <w:r>
              <w:rPr>
                <w:rFonts w:hint="default" w:ascii="Times New Roman" w:hAnsi="Times New Roman" w:eastAsia="宋体" w:cs="Times New Roman"/>
                <w:color w:val="auto"/>
                <w:sz w:val="24"/>
                <w:lang w:val="en-US" w:eastAsia="zh-CN"/>
              </w:rPr>
              <w:t>印刷、复合、固化工序</w:t>
            </w:r>
            <w:r>
              <w:rPr>
                <w:rFonts w:hint="default" w:cs="Times New Roman"/>
                <w:color w:val="auto"/>
                <w:sz w:val="24"/>
                <w:lang w:val="en-US" w:eastAsia="zh-CN"/>
              </w:rPr>
              <w:t>非甲烷总烃产生量为1.015t/a。</w:t>
            </w:r>
          </w:p>
          <w:p w14:paraId="5AFC1EF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cs="Times New Roman"/>
                <w:lang w:val="en-US" w:eastAsia="zh-CN"/>
              </w:rPr>
            </w:pPr>
            <w:r>
              <w:rPr>
                <w:rFonts w:hint="default" w:ascii="Times New Roman" w:hAnsi="Times New Roman" w:eastAsia="宋体" w:cs="Times New Roman"/>
                <w:color w:val="auto"/>
                <w:sz w:val="24"/>
                <w:lang w:val="en-US" w:eastAsia="zh-CN"/>
              </w:rPr>
              <w:t>本项目</w:t>
            </w:r>
            <w:r>
              <w:rPr>
                <w:rFonts w:hint="default" w:cs="Times New Roman"/>
                <w:color w:val="auto"/>
                <w:sz w:val="24"/>
                <w:lang w:val="en-US" w:eastAsia="zh-CN"/>
              </w:rPr>
              <w:t>双组分</w:t>
            </w:r>
            <w:r>
              <w:rPr>
                <w:rFonts w:hint="default" w:ascii="Times New Roman" w:hAnsi="Times New Roman" w:eastAsia="宋体" w:cs="Times New Roman"/>
                <w:color w:val="auto"/>
                <w:sz w:val="24"/>
                <w:lang w:val="en-US" w:eastAsia="zh-CN"/>
              </w:rPr>
              <w:t>无溶剂聚氨酯复膜胶在80℃情况下</w:t>
            </w:r>
            <w:r>
              <w:rPr>
                <w:rFonts w:hint="default" w:cs="Times New Roman"/>
                <w:color w:val="auto"/>
                <w:sz w:val="24"/>
                <w:lang w:val="en-US" w:eastAsia="zh-CN"/>
              </w:rPr>
              <w:t>胶粘剂</w:t>
            </w:r>
            <w:r>
              <w:rPr>
                <w:rFonts w:hint="default" w:ascii="Times New Roman" w:hAnsi="Times New Roman" w:eastAsia="宋体" w:cs="Times New Roman"/>
                <w:color w:val="auto"/>
                <w:sz w:val="24"/>
                <w:lang w:val="en-US" w:eastAsia="zh-CN"/>
              </w:rPr>
              <w:t>可能产生</w:t>
            </w:r>
            <w:r>
              <w:rPr>
                <w:rFonts w:hint="default" w:ascii="Times New Roman" w:hAnsi="Times New Roman" w:eastAsia="宋体" w:cs="Times New Roman"/>
                <w:color w:val="auto"/>
                <w:sz w:val="24"/>
                <w:highlight w:val="none"/>
                <w:lang w:val="en-US" w:eastAsia="zh-CN"/>
              </w:rPr>
              <w:t>极少量的单体二苯基甲烷二异氰酸酯</w:t>
            </w:r>
            <w:r>
              <w:rPr>
                <w:rFonts w:hint="default" w:cs="Times New Roman"/>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MDI</w:t>
            </w:r>
            <w:r>
              <w:rPr>
                <w:rFonts w:hint="default" w:cs="Times New Roman"/>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参照《低游离聚氨酯预聚体在工业中的应用》（中国聚氨酯工业协会弹性体专业委员会2013年论文集）中低游离聚氨酯预聚体中异氰酸酯基质量分数含量＜0.1%，考虑最不利情况，生产过程中游离异氰酸酯全部挥发计，项目二苯基甲烷二异氰酸酯</w:t>
            </w:r>
            <w:r>
              <w:rPr>
                <w:rFonts w:hint="default" w:cs="Times New Roman"/>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MDI</w:t>
            </w:r>
            <w:r>
              <w:rPr>
                <w:rFonts w:hint="default" w:cs="Times New Roman"/>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最大含量为0.717×45%=0.323t/a</w:t>
            </w:r>
            <w:r>
              <w:rPr>
                <w:rFonts w:hint="default" w:cs="Times New Roman"/>
                <w:color w:val="auto"/>
                <w:sz w:val="24"/>
                <w:highlight w:val="none"/>
                <w:lang w:val="en-US" w:eastAsia="zh-CN"/>
              </w:rPr>
              <w:t>（根据胶粘剂产品说明书，</w:t>
            </w:r>
            <w:r>
              <w:rPr>
                <w:rFonts w:hint="default" w:ascii="Times New Roman" w:hAnsi="Times New Roman" w:eastAsia="宋体" w:cs="Times New Roman"/>
                <w:color w:val="auto"/>
                <w:sz w:val="24"/>
                <w:highlight w:val="none"/>
                <w:lang w:val="en-US" w:eastAsia="zh-CN"/>
              </w:rPr>
              <w:t>二苯基甲烷二异氰酸酯含量为25%~45%，考虑最不利情况，本项目取45%），则二苯基甲烷二异氰酸酯</w:t>
            </w:r>
            <w:r>
              <w:rPr>
                <w:rFonts w:hint="default" w:cs="Times New Roman"/>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MDI</w:t>
            </w:r>
            <w:r>
              <w:rPr>
                <w:rFonts w:hint="default" w:cs="Times New Roman"/>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产生量为3.23×10</w:t>
            </w:r>
            <w:r>
              <w:rPr>
                <w:rFonts w:hint="default" w:ascii="Times New Roman" w:hAnsi="Times New Roman" w:eastAsia="宋体" w:cs="Times New Roman"/>
                <w:color w:val="auto"/>
                <w:sz w:val="24"/>
                <w:highlight w:val="none"/>
                <w:vertAlign w:val="superscript"/>
                <w:lang w:val="en-US" w:eastAsia="zh-CN"/>
              </w:rPr>
              <w:t>-4</w:t>
            </w:r>
            <w:r>
              <w:rPr>
                <w:rFonts w:hint="default" w:ascii="Times New Roman" w:hAnsi="Times New Roman" w:eastAsia="宋体" w:cs="Times New Roman"/>
                <w:color w:val="auto"/>
                <w:sz w:val="24"/>
                <w:highlight w:val="none"/>
                <w:lang w:val="en-US" w:eastAsia="zh-CN"/>
              </w:rPr>
              <w:t>t/a。</w:t>
            </w:r>
          </w:p>
          <w:p w14:paraId="10CD40D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b w:val="0"/>
                <w:bCs w:val="0"/>
                <w:color w:val="auto"/>
                <w:kern w:val="0"/>
                <w:sz w:val="24"/>
                <w:lang w:val="en-US" w:eastAsia="zh-CN" w:bidi="en-US"/>
              </w:rPr>
            </w:pPr>
            <w:r>
              <w:rPr>
                <w:rFonts w:hint="default" w:cs="Times New Roman"/>
                <w:color w:val="auto"/>
                <w:sz w:val="24"/>
                <w:lang w:val="en-US" w:eastAsia="zh-CN"/>
              </w:rPr>
              <w:t>印刷废气经集气罩+软帘收集、复合废气经集气罩+软帘收集、固化废气经管道收集</w:t>
            </w:r>
            <w:r>
              <w:rPr>
                <w:rFonts w:hint="default" w:ascii="Times New Roman" w:hAnsi="Times New Roman" w:eastAsia="宋体" w:cs="Times New Roman"/>
                <w:color w:val="auto"/>
                <w:sz w:val="24"/>
                <w:lang w:val="en-US" w:eastAsia="zh-CN"/>
              </w:rPr>
              <w:t>后，由1套二级活性炭吸附装置处理后，通过1根15m排气筒（DA003）排放，非甲烷总烃总产生量为</w:t>
            </w:r>
            <w:r>
              <w:rPr>
                <w:rFonts w:hint="default" w:cs="Times New Roman"/>
                <w:color w:val="auto"/>
                <w:sz w:val="24"/>
                <w:lang w:val="en-US" w:eastAsia="zh-CN"/>
              </w:rPr>
              <w:t>1.015</w:t>
            </w:r>
            <w:r>
              <w:rPr>
                <w:rFonts w:hint="default" w:ascii="Times New Roman" w:hAnsi="Times New Roman" w:eastAsia="宋体" w:cs="Times New Roman"/>
                <w:color w:val="auto"/>
                <w:sz w:val="24"/>
                <w:lang w:val="en-US" w:eastAsia="zh-CN"/>
              </w:rPr>
              <w:t>t/a，废气</w:t>
            </w:r>
            <w:r>
              <w:rPr>
                <w:rFonts w:hint="default" w:ascii="Times New Roman" w:hAnsi="Times New Roman" w:eastAsia="宋体" w:cs="Times New Roman"/>
                <w:b w:val="0"/>
                <w:bCs w:val="0"/>
                <w:color w:val="auto"/>
                <w:kern w:val="0"/>
                <w:sz w:val="24"/>
                <w:lang w:val="en-US" w:eastAsia="zh-CN" w:bidi="en-US"/>
              </w:rPr>
              <w:t>收集效率按90%计，处理效率为90%，风机风量为9000m³/h，年运行时间7200h。则有组织非甲烷总烃产生量为</w:t>
            </w:r>
            <w:r>
              <w:rPr>
                <w:rFonts w:hint="default" w:cs="Times New Roman"/>
                <w:b w:val="0"/>
                <w:bCs w:val="0"/>
                <w:color w:val="auto"/>
                <w:kern w:val="0"/>
                <w:sz w:val="24"/>
                <w:lang w:val="en-US" w:eastAsia="zh-CN" w:bidi="en-US"/>
              </w:rPr>
              <w:t>0.913</w:t>
            </w:r>
            <w:r>
              <w:rPr>
                <w:rFonts w:hint="default" w:ascii="Times New Roman" w:hAnsi="Times New Roman" w:eastAsia="宋体" w:cs="Times New Roman"/>
                <w:b w:val="0"/>
                <w:bCs w:val="0"/>
                <w:color w:val="auto"/>
                <w:kern w:val="0"/>
                <w:sz w:val="24"/>
                <w:lang w:val="en-US" w:eastAsia="zh-CN" w:bidi="en-US"/>
              </w:rPr>
              <w:t>t/a，产生浓度为</w:t>
            </w:r>
            <w:r>
              <w:rPr>
                <w:rFonts w:hint="default" w:cs="Times New Roman"/>
                <w:b w:val="0"/>
                <w:bCs w:val="0"/>
                <w:color w:val="auto"/>
                <w:kern w:val="0"/>
                <w:sz w:val="24"/>
                <w:lang w:val="en-US" w:eastAsia="zh-CN" w:bidi="en-US"/>
              </w:rPr>
              <w:t>14.097</w:t>
            </w:r>
            <w:r>
              <w:rPr>
                <w:rFonts w:hint="default" w:ascii="Times New Roman" w:hAnsi="Times New Roman" w:eastAsia="宋体" w:cs="Times New Roman"/>
                <w:b w:val="0"/>
                <w:bCs w:val="0"/>
                <w:color w:val="auto"/>
                <w:kern w:val="0"/>
                <w:sz w:val="24"/>
                <w:lang w:val="en-US" w:eastAsia="zh-CN" w:bidi="en-US"/>
              </w:rPr>
              <w:t>mg/m³，产生速率为</w:t>
            </w:r>
            <w:r>
              <w:rPr>
                <w:rFonts w:hint="default" w:cs="Times New Roman"/>
                <w:b w:val="0"/>
                <w:bCs w:val="0"/>
                <w:color w:val="auto"/>
                <w:kern w:val="0"/>
                <w:sz w:val="24"/>
                <w:lang w:val="en-US" w:eastAsia="zh-CN" w:bidi="en-US"/>
              </w:rPr>
              <w:t>0.127</w:t>
            </w:r>
            <w:r>
              <w:rPr>
                <w:rFonts w:hint="default" w:ascii="Times New Roman" w:hAnsi="Times New Roman" w:eastAsia="宋体" w:cs="Times New Roman"/>
                <w:b w:val="0"/>
                <w:bCs w:val="0"/>
                <w:color w:val="auto"/>
                <w:kern w:val="0"/>
                <w:sz w:val="24"/>
                <w:lang w:val="en-US" w:eastAsia="zh-CN" w:bidi="en-US"/>
              </w:rPr>
              <w:t>kg/h；有组织</w:t>
            </w:r>
            <w:r>
              <w:rPr>
                <w:rFonts w:hint="default" w:ascii="Times New Roman" w:hAnsi="Times New Roman" w:eastAsia="宋体" w:cs="Times New Roman"/>
                <w:color w:val="auto"/>
                <w:spacing w:val="0"/>
                <w:position w:val="0"/>
                <w:sz w:val="24"/>
                <w:szCs w:val="22"/>
                <w:highlight w:val="none"/>
                <w:lang w:val="en-US" w:eastAsia="zh-CN"/>
              </w:rPr>
              <w:t>二苯基甲烷二异氰酸酯（MDI）</w:t>
            </w:r>
            <w:r>
              <w:rPr>
                <w:rFonts w:hint="default" w:ascii="Times New Roman" w:hAnsi="Times New Roman" w:eastAsia="宋体" w:cs="Times New Roman"/>
                <w:b w:val="0"/>
                <w:bCs w:val="0"/>
                <w:color w:val="auto"/>
                <w:kern w:val="0"/>
                <w:sz w:val="24"/>
                <w:lang w:val="en-US" w:eastAsia="zh-CN" w:bidi="en-US"/>
              </w:rPr>
              <w:t>产生量为</w:t>
            </w:r>
            <w:r>
              <w:rPr>
                <w:rFonts w:hint="default" w:ascii="Times New Roman" w:hAnsi="Times New Roman" w:eastAsia="宋体" w:cs="Times New Roman"/>
                <w:color w:val="auto"/>
                <w:spacing w:val="0"/>
                <w:position w:val="0"/>
                <w:sz w:val="24"/>
                <w:szCs w:val="22"/>
                <w:highlight w:val="none"/>
                <w:lang w:val="en-US" w:eastAsia="zh-CN"/>
              </w:rPr>
              <w:t>2.91×10</w:t>
            </w:r>
            <w:r>
              <w:rPr>
                <w:rFonts w:hint="default" w:ascii="Times New Roman" w:hAnsi="Times New Roman" w:eastAsia="宋体" w:cs="Times New Roman"/>
                <w:color w:val="auto"/>
                <w:spacing w:val="0"/>
                <w:position w:val="0"/>
                <w:sz w:val="24"/>
                <w:szCs w:val="22"/>
                <w:highlight w:val="none"/>
                <w:vertAlign w:val="superscript"/>
                <w:lang w:val="en-US" w:eastAsia="zh-CN"/>
              </w:rPr>
              <w:t>-4</w:t>
            </w:r>
            <w:r>
              <w:rPr>
                <w:rFonts w:hint="default" w:ascii="Times New Roman" w:hAnsi="Times New Roman" w:eastAsia="宋体" w:cs="Times New Roman"/>
                <w:b w:val="0"/>
                <w:bCs w:val="0"/>
                <w:color w:val="auto"/>
                <w:kern w:val="0"/>
                <w:sz w:val="24"/>
                <w:lang w:val="en-US" w:eastAsia="zh-CN" w:bidi="en-US"/>
              </w:rPr>
              <w:t>t/a，产生浓度为</w:t>
            </w:r>
            <w:r>
              <w:rPr>
                <w:rFonts w:hint="default" w:ascii="Times New Roman" w:hAnsi="Times New Roman" w:eastAsia="宋体" w:cs="Times New Roman"/>
                <w:color w:val="auto"/>
                <w:spacing w:val="0"/>
                <w:position w:val="0"/>
                <w:sz w:val="24"/>
                <w:szCs w:val="22"/>
                <w:highlight w:val="none"/>
                <w:lang w:val="en-US" w:eastAsia="zh-CN"/>
              </w:rPr>
              <w:t>4.48×10</w:t>
            </w:r>
            <w:r>
              <w:rPr>
                <w:rFonts w:hint="default" w:ascii="Times New Roman" w:hAnsi="Times New Roman" w:eastAsia="宋体" w:cs="Times New Roman"/>
                <w:color w:val="auto"/>
                <w:spacing w:val="0"/>
                <w:position w:val="0"/>
                <w:sz w:val="24"/>
                <w:szCs w:val="22"/>
                <w:highlight w:val="none"/>
                <w:vertAlign w:val="superscript"/>
                <w:lang w:val="en-US" w:eastAsia="zh-CN"/>
              </w:rPr>
              <w:t>-3</w:t>
            </w:r>
            <w:r>
              <w:rPr>
                <w:rFonts w:hint="default" w:ascii="Times New Roman" w:hAnsi="Times New Roman" w:eastAsia="宋体" w:cs="Times New Roman"/>
                <w:b w:val="0"/>
                <w:bCs w:val="0"/>
                <w:color w:val="auto"/>
                <w:kern w:val="0"/>
                <w:sz w:val="24"/>
                <w:lang w:val="en-US" w:eastAsia="zh-CN" w:bidi="en-US"/>
              </w:rPr>
              <w:t>mg/m³，产生速率为</w:t>
            </w:r>
            <w:r>
              <w:rPr>
                <w:rFonts w:hint="default" w:ascii="Times New Roman" w:hAnsi="Times New Roman" w:eastAsia="宋体" w:cs="Times New Roman"/>
                <w:color w:val="auto"/>
                <w:spacing w:val="0"/>
                <w:position w:val="0"/>
                <w:sz w:val="24"/>
                <w:szCs w:val="22"/>
                <w:highlight w:val="none"/>
                <w:lang w:val="en-US" w:eastAsia="zh-CN"/>
              </w:rPr>
              <w:t>4.04×10</w:t>
            </w:r>
            <w:r>
              <w:rPr>
                <w:rFonts w:hint="default" w:ascii="Times New Roman" w:hAnsi="Times New Roman" w:eastAsia="宋体" w:cs="Times New Roman"/>
                <w:color w:val="auto"/>
                <w:spacing w:val="0"/>
                <w:position w:val="0"/>
                <w:sz w:val="24"/>
                <w:szCs w:val="22"/>
                <w:highlight w:val="none"/>
                <w:vertAlign w:val="superscript"/>
                <w:lang w:val="en-US" w:eastAsia="zh-CN"/>
              </w:rPr>
              <w:t>-5</w:t>
            </w:r>
            <w:r>
              <w:rPr>
                <w:rFonts w:hint="default" w:ascii="Times New Roman" w:hAnsi="Times New Roman" w:eastAsia="宋体" w:cs="Times New Roman"/>
                <w:b w:val="0"/>
                <w:bCs w:val="0"/>
                <w:color w:val="auto"/>
                <w:kern w:val="0"/>
                <w:sz w:val="24"/>
                <w:lang w:val="en-US" w:eastAsia="zh-CN" w:bidi="en-US"/>
              </w:rPr>
              <w:t>kg/h。处理后有组织非甲烷总烃排放量为</w:t>
            </w:r>
            <w:r>
              <w:rPr>
                <w:rFonts w:hint="default" w:cs="Times New Roman"/>
                <w:b w:val="0"/>
                <w:bCs w:val="0"/>
                <w:color w:val="auto"/>
                <w:kern w:val="0"/>
                <w:sz w:val="24"/>
                <w:lang w:val="en-US" w:eastAsia="zh-CN" w:bidi="en-US"/>
              </w:rPr>
              <w:t>0.091</w:t>
            </w:r>
            <w:r>
              <w:rPr>
                <w:rFonts w:hint="default" w:ascii="Times New Roman" w:hAnsi="Times New Roman" w:eastAsia="宋体" w:cs="Times New Roman"/>
                <w:b w:val="0"/>
                <w:bCs w:val="0"/>
                <w:color w:val="auto"/>
                <w:kern w:val="0"/>
                <w:sz w:val="24"/>
                <w:lang w:val="en-US" w:eastAsia="zh-CN" w:bidi="en-US"/>
              </w:rPr>
              <w:t>t/a，排放浓度为</w:t>
            </w:r>
            <w:r>
              <w:rPr>
                <w:rFonts w:hint="default" w:cs="Times New Roman"/>
                <w:b w:val="0"/>
                <w:bCs w:val="0"/>
                <w:color w:val="auto"/>
                <w:kern w:val="0"/>
                <w:sz w:val="24"/>
                <w:lang w:val="en-US" w:eastAsia="zh-CN" w:bidi="en-US"/>
              </w:rPr>
              <w:t>1.410</w:t>
            </w:r>
            <w:r>
              <w:rPr>
                <w:rFonts w:hint="default" w:ascii="Times New Roman" w:hAnsi="Times New Roman" w:eastAsia="宋体" w:cs="Times New Roman"/>
                <w:b w:val="0"/>
                <w:bCs w:val="0"/>
                <w:color w:val="auto"/>
                <w:kern w:val="0"/>
                <w:sz w:val="24"/>
                <w:lang w:val="en-US" w:eastAsia="zh-CN" w:bidi="en-US"/>
              </w:rPr>
              <w:t>mg/m³，排放速率为</w:t>
            </w:r>
            <w:r>
              <w:rPr>
                <w:rFonts w:hint="default" w:cs="Times New Roman"/>
                <w:b w:val="0"/>
                <w:bCs w:val="0"/>
                <w:color w:val="auto"/>
                <w:kern w:val="0"/>
                <w:sz w:val="24"/>
                <w:lang w:val="en-US" w:eastAsia="zh-CN" w:bidi="en-US"/>
              </w:rPr>
              <w:t>0.013</w:t>
            </w:r>
            <w:r>
              <w:rPr>
                <w:rFonts w:hint="default" w:ascii="Times New Roman" w:hAnsi="Times New Roman" w:eastAsia="宋体" w:cs="Times New Roman"/>
                <w:b w:val="0"/>
                <w:bCs w:val="0"/>
                <w:color w:val="auto"/>
                <w:kern w:val="0"/>
                <w:sz w:val="24"/>
                <w:lang w:val="en-US" w:eastAsia="zh-CN" w:bidi="en-US"/>
              </w:rPr>
              <w:t>kg/h；有组织</w:t>
            </w:r>
            <w:r>
              <w:rPr>
                <w:rFonts w:hint="default" w:ascii="Times New Roman" w:hAnsi="Times New Roman" w:eastAsia="宋体" w:cs="Times New Roman"/>
                <w:color w:val="auto"/>
                <w:spacing w:val="0"/>
                <w:position w:val="0"/>
                <w:sz w:val="24"/>
                <w:szCs w:val="22"/>
                <w:highlight w:val="none"/>
                <w:lang w:val="en-US" w:eastAsia="zh-CN"/>
              </w:rPr>
              <w:t>二苯基甲烷二异氰酸酯（MDI）</w:t>
            </w:r>
            <w:r>
              <w:rPr>
                <w:rFonts w:hint="default" w:ascii="Times New Roman" w:hAnsi="Times New Roman" w:eastAsia="宋体" w:cs="Times New Roman"/>
                <w:b w:val="0"/>
                <w:bCs w:val="0"/>
                <w:color w:val="auto"/>
                <w:kern w:val="0"/>
                <w:sz w:val="24"/>
                <w:lang w:val="en-US" w:eastAsia="zh-CN" w:bidi="en-US"/>
              </w:rPr>
              <w:t>排放量为</w:t>
            </w:r>
            <w:r>
              <w:rPr>
                <w:rFonts w:hint="default" w:ascii="Times New Roman" w:hAnsi="Times New Roman" w:eastAsia="宋体" w:cs="Times New Roman"/>
                <w:color w:val="auto"/>
                <w:spacing w:val="0"/>
                <w:position w:val="0"/>
                <w:sz w:val="24"/>
                <w:szCs w:val="22"/>
                <w:highlight w:val="none"/>
                <w:lang w:val="en-US" w:eastAsia="zh-CN"/>
              </w:rPr>
              <w:t>2.91×10</w:t>
            </w:r>
            <w:r>
              <w:rPr>
                <w:rFonts w:hint="default" w:ascii="Times New Roman" w:hAnsi="Times New Roman" w:eastAsia="宋体" w:cs="Times New Roman"/>
                <w:color w:val="auto"/>
                <w:spacing w:val="0"/>
                <w:position w:val="0"/>
                <w:sz w:val="24"/>
                <w:szCs w:val="22"/>
                <w:highlight w:val="none"/>
                <w:vertAlign w:val="superscript"/>
                <w:lang w:val="en-US" w:eastAsia="zh-CN"/>
              </w:rPr>
              <w:t>-5</w:t>
            </w:r>
            <w:r>
              <w:rPr>
                <w:rFonts w:hint="default" w:ascii="Times New Roman" w:hAnsi="Times New Roman" w:eastAsia="宋体" w:cs="Times New Roman"/>
                <w:b w:val="0"/>
                <w:bCs w:val="0"/>
                <w:color w:val="auto"/>
                <w:kern w:val="0"/>
                <w:sz w:val="24"/>
                <w:lang w:val="en-US" w:eastAsia="zh-CN" w:bidi="en-US"/>
              </w:rPr>
              <w:t>t/a，排放浓度为</w:t>
            </w:r>
            <w:r>
              <w:rPr>
                <w:rFonts w:hint="default" w:ascii="Times New Roman" w:hAnsi="Times New Roman" w:eastAsia="宋体" w:cs="Times New Roman"/>
                <w:color w:val="auto"/>
                <w:spacing w:val="0"/>
                <w:position w:val="0"/>
                <w:sz w:val="24"/>
                <w:szCs w:val="22"/>
                <w:highlight w:val="none"/>
                <w:lang w:val="en-US" w:eastAsia="zh-CN"/>
              </w:rPr>
              <w:t>4.48×10</w:t>
            </w:r>
            <w:r>
              <w:rPr>
                <w:rFonts w:hint="default" w:ascii="Times New Roman" w:hAnsi="Times New Roman" w:eastAsia="宋体" w:cs="Times New Roman"/>
                <w:color w:val="auto"/>
                <w:spacing w:val="0"/>
                <w:position w:val="0"/>
                <w:sz w:val="24"/>
                <w:szCs w:val="22"/>
                <w:highlight w:val="none"/>
                <w:vertAlign w:val="superscript"/>
                <w:lang w:val="en-US" w:eastAsia="zh-CN"/>
              </w:rPr>
              <w:t>-4</w:t>
            </w:r>
            <w:r>
              <w:rPr>
                <w:rFonts w:hint="default" w:ascii="Times New Roman" w:hAnsi="Times New Roman" w:eastAsia="宋体" w:cs="Times New Roman"/>
                <w:b w:val="0"/>
                <w:bCs w:val="0"/>
                <w:color w:val="auto"/>
                <w:kern w:val="0"/>
                <w:sz w:val="24"/>
                <w:lang w:val="en-US" w:eastAsia="zh-CN" w:bidi="en-US"/>
              </w:rPr>
              <w:t>mg/m³，排放速率为</w:t>
            </w:r>
            <w:r>
              <w:rPr>
                <w:rFonts w:hint="default" w:ascii="Times New Roman" w:hAnsi="Times New Roman" w:eastAsia="宋体" w:cs="Times New Roman"/>
                <w:color w:val="auto"/>
                <w:spacing w:val="0"/>
                <w:position w:val="0"/>
                <w:sz w:val="24"/>
                <w:szCs w:val="22"/>
                <w:highlight w:val="none"/>
                <w:lang w:val="en-US" w:eastAsia="zh-CN"/>
              </w:rPr>
              <w:t>4.04×10</w:t>
            </w:r>
            <w:r>
              <w:rPr>
                <w:rFonts w:hint="default" w:ascii="Times New Roman" w:hAnsi="Times New Roman" w:eastAsia="宋体" w:cs="Times New Roman"/>
                <w:color w:val="auto"/>
                <w:spacing w:val="0"/>
                <w:position w:val="0"/>
                <w:sz w:val="24"/>
                <w:szCs w:val="22"/>
                <w:highlight w:val="none"/>
                <w:vertAlign w:val="superscript"/>
                <w:lang w:val="en-US" w:eastAsia="zh-CN"/>
              </w:rPr>
              <w:t>-6</w:t>
            </w:r>
            <w:r>
              <w:rPr>
                <w:rFonts w:hint="default" w:ascii="Times New Roman" w:hAnsi="Times New Roman" w:eastAsia="宋体" w:cs="Times New Roman"/>
                <w:b w:val="0"/>
                <w:bCs w:val="0"/>
                <w:color w:val="auto"/>
                <w:kern w:val="0"/>
                <w:sz w:val="24"/>
                <w:lang w:val="en-US" w:eastAsia="zh-CN" w:bidi="en-US"/>
              </w:rPr>
              <w:t>kg/h。</w:t>
            </w:r>
          </w:p>
          <w:p w14:paraId="66E7B9D2">
            <w:pPr>
              <w:pStyle w:val="1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textAlignment w:val="auto"/>
              <w:rPr>
                <w:rFonts w:hint="default" w:ascii="Times New Roman" w:hAnsi="Times New Roman" w:eastAsia="宋体" w:cs="Times New Roman"/>
                <w:b w:val="0"/>
                <w:bCs w:val="0"/>
                <w:color w:val="auto"/>
                <w:kern w:val="0"/>
                <w:sz w:val="24"/>
                <w:lang w:val="en-US" w:eastAsia="zh-CN" w:bidi="en-US"/>
              </w:rPr>
            </w:pPr>
            <w:r>
              <w:rPr>
                <w:rFonts w:hint="default" w:ascii="Times New Roman" w:hAnsi="Times New Roman" w:eastAsia="宋体" w:cs="Times New Roman"/>
                <w:b w:val="0"/>
                <w:bCs w:val="0"/>
                <w:color w:val="auto"/>
                <w:kern w:val="0"/>
                <w:sz w:val="24"/>
                <w:lang w:val="en-US" w:eastAsia="zh-CN" w:bidi="en-US"/>
              </w:rPr>
              <w:t>有组织非甲烷总烃排放</w:t>
            </w:r>
            <w:r>
              <w:rPr>
                <w:rFonts w:hint="default" w:ascii="Times New Roman" w:hAnsi="Times New Roman" w:eastAsia="宋体" w:cs="Times New Roman"/>
                <w:b w:val="0"/>
                <w:bCs w:val="0"/>
                <w:color w:val="auto"/>
                <w:kern w:val="2"/>
                <w:sz w:val="24"/>
                <w:szCs w:val="22"/>
                <w:lang w:val="en-US" w:eastAsia="zh-CN" w:bidi="ar-SA"/>
              </w:rPr>
              <w:t>满足</w:t>
            </w:r>
            <w:r>
              <w:rPr>
                <w:rFonts w:hint="default" w:ascii="Times New Roman" w:hAnsi="Times New Roman" w:eastAsia="宋体" w:cs="Times New Roman"/>
                <w:color w:val="auto"/>
                <w:sz w:val="24"/>
                <w:szCs w:val="24"/>
                <w:highlight w:val="none"/>
              </w:rPr>
              <w:t>《合成树脂工业污染物排放标准》（GB31572-2015</w:t>
            </w:r>
            <w:r>
              <w:rPr>
                <w:rFonts w:hint="default" w:ascii="Times New Roman" w:hAnsi="Times New Roman" w:eastAsia="宋体" w:cs="Times New Roman"/>
                <w:color w:val="auto"/>
                <w:sz w:val="24"/>
                <w:szCs w:val="24"/>
                <w:lang w:val="en-US" w:eastAsia="zh-CN"/>
              </w:rPr>
              <w:t>，含2024修改单</w:t>
            </w:r>
            <w:r>
              <w:rPr>
                <w:rFonts w:hint="default" w:ascii="Times New Roman" w:hAnsi="Times New Roman" w:eastAsia="宋体" w:cs="Times New Roman"/>
                <w:color w:val="auto"/>
                <w:sz w:val="24"/>
                <w:szCs w:val="24"/>
                <w:highlight w:val="none"/>
              </w:rPr>
              <w:t>）表5大气污染物特别排放限值</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《工业企业挥发性有机物排放控制标准》（DB13/2322-20</w:t>
            </w:r>
            <w:r>
              <w:rPr>
                <w:rFonts w:hint="default" w:ascii="Times New Roman" w:hAnsi="Times New Roman" w:eastAsia="宋体" w:cs="Times New Roman"/>
                <w:color w:val="auto"/>
                <w:sz w:val="24"/>
                <w:szCs w:val="24"/>
                <w:highlight w:val="none"/>
                <w:lang w:val="en-US" w:eastAsia="zh-CN"/>
              </w:rPr>
              <w:t>25</w:t>
            </w:r>
            <w:r>
              <w:rPr>
                <w:rFonts w:hint="default" w:ascii="Times New Roman" w:hAnsi="Times New Roman" w:eastAsia="宋体" w:cs="Times New Roman"/>
                <w:color w:val="auto"/>
                <w:sz w:val="24"/>
                <w:szCs w:val="24"/>
                <w:highlight w:val="none"/>
              </w:rPr>
              <w:t>）表1中</w:t>
            </w:r>
            <w:r>
              <w:rPr>
                <w:rFonts w:hint="default" w:ascii="Times New Roman" w:hAnsi="Times New Roman" w:eastAsia="宋体" w:cs="Times New Roman"/>
                <w:color w:val="auto"/>
                <w:sz w:val="24"/>
                <w:szCs w:val="24"/>
                <w:lang w:val="en-US" w:eastAsia="zh-CN"/>
              </w:rPr>
              <w:t>塑料制品制造行业</w:t>
            </w:r>
            <w:r>
              <w:rPr>
                <w:rFonts w:hint="default" w:ascii="Times New Roman" w:hAnsi="Times New Roman" w:eastAsia="宋体" w:cs="Times New Roman"/>
                <w:color w:val="auto"/>
                <w:sz w:val="24"/>
                <w:szCs w:val="24"/>
              </w:rPr>
              <w:t>排放限值要求</w:t>
            </w:r>
            <w:r>
              <w:rPr>
                <w:rFonts w:hint="default" w:ascii="Times New Roman" w:hAnsi="Times New Roman" w:eastAsia="宋体" w:cs="Times New Roman"/>
                <w:color w:val="auto"/>
                <w:sz w:val="24"/>
                <w:szCs w:val="24"/>
                <w:lang w:eastAsia="zh-CN"/>
              </w:rPr>
              <w:t>、《印刷工业挥发性有机物排放标准》（</w:t>
            </w:r>
            <w:r>
              <w:rPr>
                <w:rFonts w:hint="default" w:ascii="Times New Roman" w:hAnsi="Times New Roman" w:eastAsia="宋体" w:cs="Times New Roman"/>
                <w:color w:val="auto"/>
                <w:sz w:val="24"/>
                <w:szCs w:val="24"/>
                <w:lang w:val="en-US" w:eastAsia="zh-CN"/>
              </w:rPr>
              <w:t>DB13/6188-2025）表1中排放限值要求</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b w:val="0"/>
                <w:bCs w:val="0"/>
                <w:color w:val="auto"/>
                <w:kern w:val="0"/>
                <w:sz w:val="24"/>
                <w:lang w:val="en-US" w:eastAsia="zh-CN" w:bidi="en-US"/>
              </w:rPr>
              <w:t>有组织</w:t>
            </w:r>
            <w:r>
              <w:rPr>
                <w:rFonts w:hint="default" w:ascii="Times New Roman" w:hAnsi="Times New Roman" w:eastAsia="宋体" w:cs="Times New Roman"/>
                <w:color w:val="auto"/>
                <w:spacing w:val="0"/>
                <w:position w:val="0"/>
                <w:sz w:val="24"/>
                <w:szCs w:val="22"/>
                <w:highlight w:val="none"/>
                <w:lang w:val="en-US" w:eastAsia="zh-CN"/>
              </w:rPr>
              <w:t>二苯基甲烷二异氰酸酯（MDI）</w:t>
            </w:r>
            <w:r>
              <w:rPr>
                <w:rFonts w:hint="default" w:ascii="Times New Roman" w:hAnsi="Times New Roman" w:eastAsia="宋体" w:cs="Times New Roman"/>
                <w:b w:val="0"/>
                <w:bCs w:val="0"/>
                <w:color w:val="auto"/>
                <w:kern w:val="0"/>
                <w:sz w:val="24"/>
                <w:lang w:val="en-US" w:eastAsia="zh-CN" w:bidi="en-US"/>
              </w:rPr>
              <w:t>排放满足《合成树脂工业污染物排放标准》（GB31572-2015，含2024修改单）表5大气污染物特别排放限值。</w:t>
            </w:r>
          </w:p>
          <w:p w14:paraId="7D4F5423">
            <w:pPr>
              <w:pStyle w:val="1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Autospacing="0" w:line="360" w:lineRule="auto"/>
              <w:ind w:left="0" w:right="0" w:rightChars="0" w:firstLine="480" w:firstLineChars="200"/>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项目在生产过程中会产生部分恶臭气体，以臭气浓度计，生产过程中可明显感觉到有臭味，依据《恶臭强度6级表示法》规定，恶臭强度为3。依据耿静等于2014年8月在城市环境与城市生态发表的《臭气强度与臭气浓度之间的定量关系》，恶臭强度为3时，臭气浓度值为617（无量纲）。废气经废气处理装置处理后分别经3根15m高排气筒（DA001/DA002/DA003）排放，臭气浓度排放值100（无量纲）。</w:t>
            </w:r>
          </w:p>
          <w:p w14:paraId="34DA70C0">
            <w:pPr>
              <w:pStyle w:val="13"/>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firstLine="480" w:firstLineChars="200"/>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恶臭强度6级表示法及臭气强度与臭气浓度之间的定量关系见下表，摘自《臭气强度与臭气浓度之间的定量关系》。臭气强度测定采用日本的6级强度测试法，将人对气体的嗅觉感觉划分为0~5级。</w:t>
            </w:r>
          </w:p>
          <w:p w14:paraId="1FDCFF2C">
            <w:pPr>
              <w:keepNext w:val="0"/>
              <w:keepLines w:val="0"/>
              <w:widowControl w:val="0"/>
              <w:suppressLineNumbers w:val="0"/>
              <w:adjustRightInd w:val="0"/>
              <w:snapToGrid w:val="0"/>
              <w:spacing w:before="0" w:beforeLines="0" w:beforeAutospacing="0" w:after="0" w:afterAutospacing="0"/>
              <w:ind w:left="0" w:right="0"/>
              <w:jc w:val="center"/>
              <w:rPr>
                <w:rFonts w:hint="default" w:ascii="Times New Roman" w:hAnsi="Times New Roman" w:eastAsia="宋体" w:cs="Times New Roman"/>
                <w:b/>
                <w:bCs/>
                <w:color w:val="auto"/>
                <w:kern w:val="0"/>
                <w:sz w:val="21"/>
                <w:szCs w:val="21"/>
                <w:highlight w:val="none"/>
                <w:lang w:eastAsia="zh-CN" w:bidi="en-US"/>
              </w:rPr>
            </w:pPr>
            <w:r>
              <w:rPr>
                <w:rFonts w:hint="default" w:ascii="Times New Roman" w:hAnsi="Times New Roman" w:eastAsia="宋体" w:cs="Times New Roman"/>
                <w:b/>
                <w:bCs/>
                <w:color w:val="auto"/>
                <w:kern w:val="0"/>
                <w:sz w:val="21"/>
                <w:szCs w:val="21"/>
                <w:highlight w:val="none"/>
                <w:lang w:eastAsia="zh-CN" w:bidi="en-US"/>
              </w:rPr>
              <w:t>恶臭强度6级表示法</w:t>
            </w:r>
          </w:p>
          <w:tbl>
            <w:tblPr>
              <w:tblStyle w:val="38"/>
              <w:tblW w:w="495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6"/>
              <w:gridCol w:w="6376"/>
            </w:tblGrid>
            <w:tr w14:paraId="15D7DC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1766" w:type="dxa"/>
                  <w:noWrap w:val="0"/>
                  <w:vAlign w:val="center"/>
                </w:tcPr>
                <w:p w14:paraId="307C7CF8">
                  <w:pPr>
                    <w:pStyle w:val="13"/>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强度等级</w:t>
                  </w:r>
                </w:p>
              </w:tc>
              <w:tc>
                <w:tcPr>
                  <w:tcW w:w="6376" w:type="dxa"/>
                  <w:noWrap w:val="0"/>
                  <w:vAlign w:val="center"/>
                </w:tcPr>
                <w:p w14:paraId="236E11CA">
                  <w:pPr>
                    <w:pStyle w:val="13"/>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嗅觉判别标准</w:t>
                  </w:r>
                </w:p>
              </w:tc>
            </w:tr>
            <w:tr w14:paraId="7B8E0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1766" w:type="dxa"/>
                  <w:noWrap w:val="0"/>
                  <w:vAlign w:val="center"/>
                </w:tcPr>
                <w:p w14:paraId="343E2CDF">
                  <w:pPr>
                    <w:pStyle w:val="13"/>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w:t>
                  </w:r>
                </w:p>
              </w:tc>
              <w:tc>
                <w:tcPr>
                  <w:tcW w:w="6376" w:type="dxa"/>
                  <w:noWrap w:val="0"/>
                  <w:vAlign w:val="center"/>
                </w:tcPr>
                <w:p w14:paraId="3018DEBD">
                  <w:pPr>
                    <w:pStyle w:val="13"/>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无臭</w:t>
                  </w:r>
                </w:p>
              </w:tc>
            </w:tr>
            <w:tr w14:paraId="5A63B2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1766" w:type="dxa"/>
                  <w:noWrap w:val="0"/>
                  <w:vAlign w:val="center"/>
                </w:tcPr>
                <w:p w14:paraId="5FEA1F0E">
                  <w:pPr>
                    <w:pStyle w:val="13"/>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c>
                <w:tcPr>
                  <w:tcW w:w="6376" w:type="dxa"/>
                  <w:noWrap w:val="0"/>
                  <w:vAlign w:val="center"/>
                </w:tcPr>
                <w:p w14:paraId="03964F81">
                  <w:pPr>
                    <w:pStyle w:val="13"/>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能稍微感觉出极微弱的臭味，对应检知阈值的浓度范围</w:t>
                  </w:r>
                </w:p>
              </w:tc>
            </w:tr>
            <w:tr w14:paraId="653541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1766" w:type="dxa"/>
                  <w:noWrap w:val="0"/>
                  <w:vAlign w:val="center"/>
                </w:tcPr>
                <w:p w14:paraId="2322E537">
                  <w:pPr>
                    <w:pStyle w:val="13"/>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w:t>
                  </w:r>
                </w:p>
              </w:tc>
              <w:tc>
                <w:tcPr>
                  <w:tcW w:w="6376" w:type="dxa"/>
                  <w:noWrap w:val="0"/>
                  <w:vAlign w:val="center"/>
                </w:tcPr>
                <w:p w14:paraId="45F2A3BD">
                  <w:pPr>
                    <w:pStyle w:val="13"/>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能勉强辨别出臭味的品质，对应确认阈值的浓度范围</w:t>
                  </w:r>
                </w:p>
              </w:tc>
            </w:tr>
            <w:tr w14:paraId="65EED8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1766" w:type="dxa"/>
                  <w:noWrap w:val="0"/>
                  <w:vAlign w:val="center"/>
                </w:tcPr>
                <w:p w14:paraId="535696BF">
                  <w:pPr>
                    <w:pStyle w:val="13"/>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3</w:t>
                  </w:r>
                </w:p>
              </w:tc>
              <w:tc>
                <w:tcPr>
                  <w:tcW w:w="6376" w:type="dxa"/>
                  <w:noWrap w:val="0"/>
                  <w:vAlign w:val="center"/>
                </w:tcPr>
                <w:p w14:paraId="655665E6">
                  <w:pPr>
                    <w:pStyle w:val="13"/>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可明显感觉到有臭味</w:t>
                  </w:r>
                </w:p>
              </w:tc>
            </w:tr>
            <w:tr w14:paraId="5C9FF5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1766" w:type="dxa"/>
                  <w:noWrap w:val="0"/>
                  <w:vAlign w:val="center"/>
                </w:tcPr>
                <w:p w14:paraId="73D5B1D1">
                  <w:pPr>
                    <w:pStyle w:val="13"/>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4</w:t>
                  </w:r>
                </w:p>
              </w:tc>
              <w:tc>
                <w:tcPr>
                  <w:tcW w:w="6376" w:type="dxa"/>
                  <w:noWrap w:val="0"/>
                  <w:vAlign w:val="center"/>
                </w:tcPr>
                <w:p w14:paraId="01AA5ECE">
                  <w:pPr>
                    <w:pStyle w:val="13"/>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强烈的臭味</w:t>
                  </w:r>
                </w:p>
              </w:tc>
            </w:tr>
            <w:tr w14:paraId="1F9772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1766" w:type="dxa"/>
                  <w:noWrap w:val="0"/>
                  <w:vAlign w:val="center"/>
                </w:tcPr>
                <w:p w14:paraId="3E9D572D">
                  <w:pPr>
                    <w:pStyle w:val="13"/>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5</w:t>
                  </w:r>
                </w:p>
              </w:tc>
              <w:tc>
                <w:tcPr>
                  <w:tcW w:w="6376" w:type="dxa"/>
                  <w:noWrap w:val="0"/>
                  <w:vAlign w:val="center"/>
                </w:tcPr>
                <w:p w14:paraId="42DCBED1">
                  <w:pPr>
                    <w:pStyle w:val="13"/>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让人无法忍受的强烈臭味</w:t>
                  </w:r>
                </w:p>
              </w:tc>
            </w:tr>
          </w:tbl>
          <w:p w14:paraId="2D7E65AB">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firstLine="480" w:firstLineChars="200"/>
              <w:jc w:val="left"/>
              <w:textAlignment w:val="auto"/>
              <w:rPr>
                <w:rFonts w:hint="default" w:ascii="Times New Roman" w:hAnsi="Times New Roman" w:eastAsia="宋体" w:cs="Times New Roman"/>
                <w:color w:val="FF0000"/>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臭气浓度与臭气强度的对应关系：将各个强度对应的臭气浓度数据取几何平均值后，得出臭气强度和臭气浓度的对应数据，见下表中的原始浓度。</w:t>
            </w:r>
          </w:p>
          <w:p w14:paraId="4614D86D">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Autospacing="0"/>
              <w:ind w:left="0" w:right="0"/>
              <w:jc w:val="center"/>
              <w:textAlignment w:val="auto"/>
              <w:rPr>
                <w:rFonts w:hint="default" w:ascii="Times New Roman" w:hAnsi="Times New Roman" w:eastAsia="宋体" w:cs="Times New Roman"/>
                <w:b/>
                <w:bCs/>
                <w:color w:val="auto"/>
                <w:kern w:val="0"/>
                <w:sz w:val="21"/>
                <w:szCs w:val="21"/>
                <w:highlight w:val="none"/>
                <w:lang w:eastAsia="zh-CN" w:bidi="en-US"/>
              </w:rPr>
            </w:pPr>
            <w:r>
              <w:rPr>
                <w:rFonts w:hint="default" w:ascii="Times New Roman" w:hAnsi="Times New Roman" w:eastAsia="宋体" w:cs="Times New Roman"/>
                <w:b/>
                <w:bCs/>
                <w:color w:val="auto"/>
                <w:kern w:val="0"/>
                <w:sz w:val="21"/>
                <w:szCs w:val="21"/>
                <w:highlight w:val="none"/>
                <w:lang w:eastAsia="zh-CN" w:bidi="en-US"/>
              </w:rPr>
              <w:t>679个样品的臭气强度</w:t>
            </w:r>
            <w:r>
              <w:rPr>
                <w:rFonts w:hint="default" w:cs="Times New Roman"/>
                <w:b/>
                <w:bCs/>
                <w:color w:val="auto"/>
                <w:kern w:val="0"/>
                <w:sz w:val="21"/>
                <w:szCs w:val="21"/>
                <w:highlight w:val="none"/>
                <w:lang w:eastAsia="zh-CN" w:bidi="en-US"/>
              </w:rPr>
              <w:t>及</w:t>
            </w:r>
            <w:r>
              <w:rPr>
                <w:rFonts w:hint="default" w:ascii="Times New Roman" w:hAnsi="Times New Roman" w:eastAsia="宋体" w:cs="Times New Roman"/>
                <w:b/>
                <w:bCs/>
                <w:color w:val="auto"/>
                <w:kern w:val="0"/>
                <w:sz w:val="21"/>
                <w:szCs w:val="21"/>
                <w:highlight w:val="none"/>
                <w:lang w:eastAsia="zh-CN" w:bidi="en-US"/>
              </w:rPr>
              <w:t>对应的臭气浓度数据</w:t>
            </w:r>
          </w:p>
          <w:tbl>
            <w:tblPr>
              <w:tblStyle w:val="38"/>
              <w:tblW w:w="825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9"/>
              <w:gridCol w:w="628"/>
              <w:gridCol w:w="607"/>
              <w:gridCol w:w="580"/>
              <w:gridCol w:w="580"/>
              <w:gridCol w:w="539"/>
              <w:gridCol w:w="620"/>
              <w:gridCol w:w="580"/>
              <w:gridCol w:w="725"/>
              <w:gridCol w:w="724"/>
              <w:gridCol w:w="725"/>
              <w:gridCol w:w="835"/>
            </w:tblGrid>
            <w:tr w14:paraId="496D20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1109" w:type="dxa"/>
                  <w:noWrap w:val="0"/>
                  <w:vAlign w:val="center"/>
                </w:tcPr>
                <w:p w14:paraId="5195975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color w:val="auto"/>
                      <w:kern w:val="21"/>
                      <w:sz w:val="21"/>
                      <w:szCs w:val="21"/>
                      <w:highlight w:val="none"/>
                      <w:lang w:val="en-US" w:eastAsia="zh-CN"/>
                    </w:rPr>
                  </w:pPr>
                  <w:r>
                    <w:rPr>
                      <w:rFonts w:hint="default" w:ascii="Times New Roman" w:hAnsi="Times New Roman" w:eastAsia="宋体" w:cs="Times New Roman"/>
                      <w:b w:val="0"/>
                      <w:bCs w:val="0"/>
                      <w:color w:val="auto"/>
                      <w:kern w:val="21"/>
                      <w:sz w:val="21"/>
                      <w:szCs w:val="21"/>
                      <w:highlight w:val="none"/>
                      <w:lang w:val="en-US" w:eastAsia="zh-CN"/>
                    </w:rPr>
                    <w:t>强度</w:t>
                  </w:r>
                </w:p>
              </w:tc>
              <w:tc>
                <w:tcPr>
                  <w:tcW w:w="628" w:type="dxa"/>
                  <w:noWrap w:val="0"/>
                  <w:vAlign w:val="center"/>
                </w:tcPr>
                <w:p w14:paraId="159B695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color w:val="auto"/>
                      <w:kern w:val="21"/>
                      <w:sz w:val="21"/>
                      <w:szCs w:val="21"/>
                      <w:highlight w:val="none"/>
                      <w:lang w:val="en-US" w:eastAsia="zh-CN"/>
                    </w:rPr>
                  </w:pPr>
                  <w:r>
                    <w:rPr>
                      <w:rFonts w:hint="default" w:ascii="Times New Roman" w:hAnsi="Times New Roman" w:eastAsia="宋体" w:cs="Times New Roman"/>
                      <w:b w:val="0"/>
                      <w:bCs w:val="0"/>
                      <w:color w:val="auto"/>
                      <w:kern w:val="21"/>
                      <w:sz w:val="21"/>
                      <w:szCs w:val="21"/>
                      <w:highlight w:val="none"/>
                      <w:lang w:val="en-US" w:eastAsia="zh-CN"/>
                    </w:rPr>
                    <w:t>0.0</w:t>
                  </w:r>
                </w:p>
              </w:tc>
              <w:tc>
                <w:tcPr>
                  <w:tcW w:w="607" w:type="dxa"/>
                  <w:noWrap w:val="0"/>
                  <w:vAlign w:val="center"/>
                </w:tcPr>
                <w:p w14:paraId="4BBBC96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color w:val="auto"/>
                      <w:kern w:val="21"/>
                      <w:sz w:val="21"/>
                      <w:szCs w:val="21"/>
                      <w:highlight w:val="none"/>
                      <w:lang w:val="en-US" w:eastAsia="zh-CN"/>
                    </w:rPr>
                  </w:pPr>
                  <w:r>
                    <w:rPr>
                      <w:rFonts w:hint="default" w:ascii="Times New Roman" w:hAnsi="Times New Roman" w:eastAsia="宋体" w:cs="Times New Roman"/>
                      <w:b w:val="0"/>
                      <w:bCs w:val="0"/>
                      <w:color w:val="auto"/>
                      <w:kern w:val="21"/>
                      <w:sz w:val="21"/>
                      <w:szCs w:val="21"/>
                      <w:highlight w:val="none"/>
                      <w:lang w:val="en-US" w:eastAsia="zh-CN"/>
                    </w:rPr>
                    <w:t>0.5</w:t>
                  </w:r>
                </w:p>
              </w:tc>
              <w:tc>
                <w:tcPr>
                  <w:tcW w:w="580" w:type="dxa"/>
                  <w:noWrap w:val="0"/>
                  <w:vAlign w:val="center"/>
                </w:tcPr>
                <w:p w14:paraId="7CE50D8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color w:val="auto"/>
                      <w:kern w:val="21"/>
                      <w:sz w:val="21"/>
                      <w:szCs w:val="21"/>
                      <w:highlight w:val="none"/>
                      <w:lang w:val="en-US" w:eastAsia="zh-CN"/>
                    </w:rPr>
                  </w:pPr>
                  <w:r>
                    <w:rPr>
                      <w:rFonts w:hint="default" w:ascii="Times New Roman" w:hAnsi="Times New Roman" w:eastAsia="宋体" w:cs="Times New Roman"/>
                      <w:b w:val="0"/>
                      <w:bCs w:val="0"/>
                      <w:color w:val="auto"/>
                      <w:kern w:val="21"/>
                      <w:sz w:val="21"/>
                      <w:szCs w:val="21"/>
                      <w:highlight w:val="none"/>
                      <w:lang w:val="en-US" w:eastAsia="zh-CN"/>
                    </w:rPr>
                    <w:t>1.0</w:t>
                  </w:r>
                </w:p>
              </w:tc>
              <w:tc>
                <w:tcPr>
                  <w:tcW w:w="580" w:type="dxa"/>
                  <w:noWrap w:val="0"/>
                  <w:vAlign w:val="center"/>
                </w:tcPr>
                <w:p w14:paraId="625ACCA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color w:val="auto"/>
                      <w:kern w:val="21"/>
                      <w:sz w:val="21"/>
                      <w:szCs w:val="21"/>
                      <w:highlight w:val="none"/>
                      <w:lang w:val="en-US" w:eastAsia="zh-CN"/>
                    </w:rPr>
                  </w:pPr>
                  <w:r>
                    <w:rPr>
                      <w:rFonts w:hint="default" w:ascii="Times New Roman" w:hAnsi="Times New Roman" w:eastAsia="宋体" w:cs="Times New Roman"/>
                      <w:b w:val="0"/>
                      <w:bCs w:val="0"/>
                      <w:color w:val="auto"/>
                      <w:kern w:val="21"/>
                      <w:sz w:val="21"/>
                      <w:szCs w:val="21"/>
                      <w:highlight w:val="none"/>
                      <w:lang w:val="en-US" w:eastAsia="zh-CN"/>
                    </w:rPr>
                    <w:t>1.5</w:t>
                  </w:r>
                </w:p>
              </w:tc>
              <w:tc>
                <w:tcPr>
                  <w:tcW w:w="539" w:type="dxa"/>
                  <w:noWrap w:val="0"/>
                  <w:vAlign w:val="center"/>
                </w:tcPr>
                <w:p w14:paraId="5ED8787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color w:val="auto"/>
                      <w:kern w:val="21"/>
                      <w:sz w:val="21"/>
                      <w:szCs w:val="21"/>
                      <w:highlight w:val="none"/>
                      <w:lang w:val="en-US" w:eastAsia="zh-CN"/>
                    </w:rPr>
                  </w:pPr>
                  <w:r>
                    <w:rPr>
                      <w:rFonts w:hint="default" w:ascii="Times New Roman" w:hAnsi="Times New Roman" w:eastAsia="宋体" w:cs="Times New Roman"/>
                      <w:b w:val="0"/>
                      <w:bCs w:val="0"/>
                      <w:color w:val="auto"/>
                      <w:kern w:val="21"/>
                      <w:sz w:val="21"/>
                      <w:szCs w:val="21"/>
                      <w:highlight w:val="none"/>
                      <w:lang w:val="en-US" w:eastAsia="zh-CN"/>
                    </w:rPr>
                    <w:t>2.0</w:t>
                  </w:r>
                </w:p>
              </w:tc>
              <w:tc>
                <w:tcPr>
                  <w:tcW w:w="620" w:type="dxa"/>
                  <w:noWrap w:val="0"/>
                  <w:vAlign w:val="center"/>
                </w:tcPr>
                <w:p w14:paraId="574C876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color w:val="auto"/>
                      <w:kern w:val="21"/>
                      <w:sz w:val="21"/>
                      <w:szCs w:val="21"/>
                      <w:highlight w:val="none"/>
                      <w:lang w:val="en-US" w:eastAsia="zh-CN"/>
                    </w:rPr>
                  </w:pPr>
                  <w:r>
                    <w:rPr>
                      <w:rFonts w:hint="default" w:ascii="Times New Roman" w:hAnsi="Times New Roman" w:eastAsia="宋体" w:cs="Times New Roman"/>
                      <w:b w:val="0"/>
                      <w:bCs w:val="0"/>
                      <w:color w:val="auto"/>
                      <w:kern w:val="21"/>
                      <w:sz w:val="21"/>
                      <w:szCs w:val="21"/>
                      <w:highlight w:val="none"/>
                      <w:lang w:val="en-US" w:eastAsia="zh-CN"/>
                    </w:rPr>
                    <w:t>2.5</w:t>
                  </w:r>
                </w:p>
              </w:tc>
              <w:tc>
                <w:tcPr>
                  <w:tcW w:w="580" w:type="dxa"/>
                  <w:noWrap w:val="0"/>
                  <w:vAlign w:val="center"/>
                </w:tcPr>
                <w:p w14:paraId="07DE4AC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color w:val="auto"/>
                      <w:kern w:val="21"/>
                      <w:sz w:val="21"/>
                      <w:szCs w:val="21"/>
                      <w:highlight w:val="none"/>
                      <w:lang w:val="en-US" w:eastAsia="zh-CN"/>
                    </w:rPr>
                  </w:pPr>
                  <w:r>
                    <w:rPr>
                      <w:rFonts w:hint="default" w:ascii="Times New Roman" w:hAnsi="Times New Roman" w:eastAsia="宋体" w:cs="Times New Roman"/>
                      <w:b w:val="0"/>
                      <w:bCs w:val="0"/>
                      <w:color w:val="auto"/>
                      <w:kern w:val="21"/>
                      <w:sz w:val="21"/>
                      <w:szCs w:val="21"/>
                      <w:highlight w:val="none"/>
                      <w:lang w:val="en-US" w:eastAsia="zh-CN"/>
                    </w:rPr>
                    <w:t>3.0</w:t>
                  </w:r>
                </w:p>
              </w:tc>
              <w:tc>
                <w:tcPr>
                  <w:tcW w:w="725" w:type="dxa"/>
                  <w:noWrap w:val="0"/>
                  <w:vAlign w:val="center"/>
                </w:tcPr>
                <w:p w14:paraId="401316B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color w:val="auto"/>
                      <w:kern w:val="21"/>
                      <w:sz w:val="21"/>
                      <w:szCs w:val="21"/>
                      <w:highlight w:val="none"/>
                      <w:lang w:val="en-US" w:eastAsia="zh-CN"/>
                    </w:rPr>
                  </w:pPr>
                  <w:r>
                    <w:rPr>
                      <w:rFonts w:hint="default" w:ascii="Times New Roman" w:hAnsi="Times New Roman" w:eastAsia="宋体" w:cs="Times New Roman"/>
                      <w:b w:val="0"/>
                      <w:bCs w:val="0"/>
                      <w:color w:val="auto"/>
                      <w:kern w:val="21"/>
                      <w:sz w:val="21"/>
                      <w:szCs w:val="21"/>
                      <w:highlight w:val="none"/>
                      <w:lang w:val="en-US" w:eastAsia="zh-CN"/>
                    </w:rPr>
                    <w:t>3.5</w:t>
                  </w:r>
                </w:p>
              </w:tc>
              <w:tc>
                <w:tcPr>
                  <w:tcW w:w="724" w:type="dxa"/>
                  <w:noWrap w:val="0"/>
                  <w:vAlign w:val="center"/>
                </w:tcPr>
                <w:p w14:paraId="1EDAFA7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color w:val="auto"/>
                      <w:kern w:val="21"/>
                      <w:sz w:val="21"/>
                      <w:szCs w:val="21"/>
                      <w:highlight w:val="none"/>
                      <w:lang w:val="en-US" w:eastAsia="zh-CN"/>
                    </w:rPr>
                  </w:pPr>
                  <w:r>
                    <w:rPr>
                      <w:rFonts w:hint="default" w:ascii="Times New Roman" w:hAnsi="Times New Roman" w:eastAsia="宋体" w:cs="Times New Roman"/>
                      <w:b w:val="0"/>
                      <w:bCs w:val="0"/>
                      <w:color w:val="auto"/>
                      <w:kern w:val="21"/>
                      <w:sz w:val="21"/>
                      <w:szCs w:val="21"/>
                      <w:highlight w:val="none"/>
                      <w:lang w:val="en-US" w:eastAsia="zh-CN"/>
                    </w:rPr>
                    <w:t>4.0</w:t>
                  </w:r>
                </w:p>
              </w:tc>
              <w:tc>
                <w:tcPr>
                  <w:tcW w:w="725" w:type="dxa"/>
                  <w:noWrap w:val="0"/>
                  <w:vAlign w:val="center"/>
                </w:tcPr>
                <w:p w14:paraId="2CCF2A2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color w:val="auto"/>
                      <w:kern w:val="21"/>
                      <w:sz w:val="21"/>
                      <w:szCs w:val="21"/>
                      <w:highlight w:val="none"/>
                      <w:lang w:val="en-US" w:eastAsia="zh-CN"/>
                    </w:rPr>
                  </w:pPr>
                  <w:r>
                    <w:rPr>
                      <w:rFonts w:hint="default" w:ascii="Times New Roman" w:hAnsi="Times New Roman" w:eastAsia="宋体" w:cs="Times New Roman"/>
                      <w:b w:val="0"/>
                      <w:bCs w:val="0"/>
                      <w:color w:val="auto"/>
                      <w:kern w:val="21"/>
                      <w:sz w:val="21"/>
                      <w:szCs w:val="21"/>
                      <w:highlight w:val="none"/>
                      <w:lang w:val="en-US" w:eastAsia="zh-CN"/>
                    </w:rPr>
                    <w:t>4.5</w:t>
                  </w:r>
                </w:p>
              </w:tc>
              <w:tc>
                <w:tcPr>
                  <w:tcW w:w="835" w:type="dxa"/>
                  <w:noWrap w:val="0"/>
                  <w:vAlign w:val="center"/>
                </w:tcPr>
                <w:p w14:paraId="55CCDB9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color w:val="auto"/>
                      <w:kern w:val="21"/>
                      <w:sz w:val="21"/>
                      <w:szCs w:val="21"/>
                      <w:highlight w:val="none"/>
                      <w:lang w:val="en-US" w:eastAsia="zh-CN"/>
                    </w:rPr>
                  </w:pPr>
                  <w:r>
                    <w:rPr>
                      <w:rFonts w:hint="default" w:ascii="Times New Roman" w:hAnsi="Times New Roman" w:eastAsia="宋体" w:cs="Times New Roman"/>
                      <w:b w:val="0"/>
                      <w:bCs w:val="0"/>
                      <w:color w:val="auto"/>
                      <w:kern w:val="21"/>
                      <w:sz w:val="21"/>
                      <w:szCs w:val="21"/>
                      <w:highlight w:val="none"/>
                      <w:lang w:val="en-US" w:eastAsia="zh-CN"/>
                    </w:rPr>
                    <w:t>5.0</w:t>
                  </w:r>
                </w:p>
              </w:tc>
            </w:tr>
            <w:tr w14:paraId="1813E1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 w:hRule="atLeast"/>
              </w:trPr>
              <w:tc>
                <w:tcPr>
                  <w:tcW w:w="1109" w:type="dxa"/>
                  <w:noWrap w:val="0"/>
                  <w:vAlign w:val="center"/>
                </w:tcPr>
                <w:p w14:paraId="1395C40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color w:val="auto"/>
                      <w:kern w:val="21"/>
                      <w:sz w:val="21"/>
                      <w:szCs w:val="21"/>
                      <w:highlight w:val="none"/>
                      <w:lang w:val="en-US" w:eastAsia="zh-CN"/>
                    </w:rPr>
                  </w:pPr>
                  <w:r>
                    <w:rPr>
                      <w:rFonts w:hint="default" w:ascii="Times New Roman" w:hAnsi="Times New Roman" w:eastAsia="宋体" w:cs="Times New Roman"/>
                      <w:b w:val="0"/>
                      <w:bCs w:val="0"/>
                      <w:color w:val="auto"/>
                      <w:kern w:val="21"/>
                      <w:sz w:val="21"/>
                      <w:szCs w:val="21"/>
                      <w:highlight w:val="none"/>
                      <w:lang w:val="en-US" w:eastAsia="zh-CN"/>
                    </w:rPr>
                    <w:t>原始浓度*</w:t>
                  </w:r>
                </w:p>
              </w:tc>
              <w:tc>
                <w:tcPr>
                  <w:tcW w:w="628" w:type="dxa"/>
                  <w:noWrap w:val="0"/>
                  <w:vAlign w:val="center"/>
                </w:tcPr>
                <w:p w14:paraId="7ECC1EC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color w:val="auto"/>
                      <w:kern w:val="21"/>
                      <w:sz w:val="21"/>
                      <w:szCs w:val="21"/>
                      <w:highlight w:val="none"/>
                      <w:lang w:val="en-US" w:eastAsia="zh-CN"/>
                    </w:rPr>
                  </w:pPr>
                  <w:r>
                    <w:rPr>
                      <w:rFonts w:hint="default" w:ascii="Times New Roman" w:hAnsi="Times New Roman" w:eastAsia="宋体" w:cs="Times New Roman"/>
                      <w:b w:val="0"/>
                      <w:bCs w:val="0"/>
                      <w:color w:val="auto"/>
                      <w:kern w:val="21"/>
                      <w:sz w:val="21"/>
                      <w:szCs w:val="21"/>
                      <w:highlight w:val="none"/>
                      <w:lang w:val="en-US" w:eastAsia="zh-CN"/>
                    </w:rPr>
                    <w:t>5</w:t>
                  </w:r>
                </w:p>
              </w:tc>
              <w:tc>
                <w:tcPr>
                  <w:tcW w:w="607" w:type="dxa"/>
                  <w:noWrap w:val="0"/>
                  <w:vAlign w:val="center"/>
                </w:tcPr>
                <w:p w14:paraId="3591AC1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color w:val="auto"/>
                      <w:kern w:val="21"/>
                      <w:sz w:val="21"/>
                      <w:szCs w:val="21"/>
                      <w:highlight w:val="none"/>
                      <w:lang w:val="en-US" w:eastAsia="zh-CN"/>
                    </w:rPr>
                  </w:pPr>
                  <w:r>
                    <w:rPr>
                      <w:rFonts w:hint="default" w:ascii="Times New Roman" w:hAnsi="Times New Roman" w:eastAsia="宋体" w:cs="Times New Roman"/>
                      <w:b w:val="0"/>
                      <w:bCs w:val="0"/>
                      <w:color w:val="auto"/>
                      <w:kern w:val="21"/>
                      <w:sz w:val="21"/>
                      <w:szCs w:val="21"/>
                      <w:highlight w:val="none"/>
                      <w:lang w:val="en-US" w:eastAsia="zh-CN"/>
                    </w:rPr>
                    <w:t>7</w:t>
                  </w:r>
                </w:p>
              </w:tc>
              <w:tc>
                <w:tcPr>
                  <w:tcW w:w="580" w:type="dxa"/>
                  <w:noWrap w:val="0"/>
                  <w:vAlign w:val="center"/>
                </w:tcPr>
                <w:p w14:paraId="5D764B6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color w:val="auto"/>
                      <w:kern w:val="21"/>
                      <w:sz w:val="21"/>
                      <w:szCs w:val="21"/>
                      <w:highlight w:val="none"/>
                      <w:lang w:val="en-US" w:eastAsia="zh-CN"/>
                    </w:rPr>
                  </w:pPr>
                  <w:r>
                    <w:rPr>
                      <w:rFonts w:hint="default" w:ascii="Times New Roman" w:hAnsi="Times New Roman" w:eastAsia="宋体" w:cs="Times New Roman"/>
                      <w:b w:val="0"/>
                      <w:bCs w:val="0"/>
                      <w:color w:val="auto"/>
                      <w:kern w:val="21"/>
                      <w:sz w:val="21"/>
                      <w:szCs w:val="21"/>
                      <w:highlight w:val="none"/>
                      <w:lang w:val="en-US" w:eastAsia="zh-CN"/>
                    </w:rPr>
                    <w:t>24</w:t>
                  </w:r>
                </w:p>
              </w:tc>
              <w:tc>
                <w:tcPr>
                  <w:tcW w:w="580" w:type="dxa"/>
                  <w:noWrap w:val="0"/>
                  <w:vAlign w:val="center"/>
                </w:tcPr>
                <w:p w14:paraId="1DF3276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color w:val="auto"/>
                      <w:kern w:val="21"/>
                      <w:sz w:val="21"/>
                      <w:szCs w:val="21"/>
                      <w:highlight w:val="none"/>
                      <w:lang w:val="en-US" w:eastAsia="zh-CN"/>
                    </w:rPr>
                  </w:pPr>
                  <w:r>
                    <w:rPr>
                      <w:rFonts w:hint="default" w:ascii="Times New Roman" w:hAnsi="Times New Roman" w:eastAsia="宋体" w:cs="Times New Roman"/>
                      <w:b w:val="0"/>
                      <w:bCs w:val="0"/>
                      <w:color w:val="auto"/>
                      <w:kern w:val="21"/>
                      <w:sz w:val="21"/>
                      <w:szCs w:val="21"/>
                      <w:highlight w:val="none"/>
                      <w:lang w:val="en-US" w:eastAsia="zh-CN"/>
                    </w:rPr>
                    <w:t>38</w:t>
                  </w:r>
                </w:p>
              </w:tc>
              <w:tc>
                <w:tcPr>
                  <w:tcW w:w="539" w:type="dxa"/>
                  <w:noWrap w:val="0"/>
                  <w:vAlign w:val="center"/>
                </w:tcPr>
                <w:p w14:paraId="7643C3D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color w:val="auto"/>
                      <w:kern w:val="21"/>
                      <w:sz w:val="21"/>
                      <w:szCs w:val="21"/>
                      <w:highlight w:val="none"/>
                      <w:lang w:val="en-US" w:eastAsia="zh-CN"/>
                    </w:rPr>
                  </w:pPr>
                  <w:r>
                    <w:rPr>
                      <w:rFonts w:hint="default" w:ascii="Times New Roman" w:hAnsi="Times New Roman" w:eastAsia="宋体" w:cs="Times New Roman"/>
                      <w:b w:val="0"/>
                      <w:bCs w:val="0"/>
                      <w:color w:val="auto"/>
                      <w:kern w:val="21"/>
                      <w:sz w:val="21"/>
                      <w:szCs w:val="21"/>
                      <w:highlight w:val="none"/>
                      <w:lang w:val="en-US" w:eastAsia="zh-CN"/>
                    </w:rPr>
                    <w:t>104</w:t>
                  </w:r>
                </w:p>
              </w:tc>
              <w:tc>
                <w:tcPr>
                  <w:tcW w:w="620" w:type="dxa"/>
                  <w:noWrap w:val="0"/>
                  <w:vAlign w:val="center"/>
                </w:tcPr>
                <w:p w14:paraId="2E28B38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color w:val="auto"/>
                      <w:kern w:val="21"/>
                      <w:sz w:val="21"/>
                      <w:szCs w:val="21"/>
                      <w:highlight w:val="none"/>
                      <w:lang w:val="en-US" w:eastAsia="zh-CN"/>
                    </w:rPr>
                  </w:pPr>
                  <w:r>
                    <w:rPr>
                      <w:rFonts w:hint="default" w:ascii="Times New Roman" w:hAnsi="Times New Roman" w:eastAsia="宋体" w:cs="Times New Roman"/>
                      <w:b w:val="0"/>
                      <w:bCs w:val="0"/>
                      <w:color w:val="auto"/>
                      <w:kern w:val="21"/>
                      <w:sz w:val="21"/>
                      <w:szCs w:val="21"/>
                      <w:highlight w:val="none"/>
                      <w:lang w:val="en-US" w:eastAsia="zh-CN"/>
                    </w:rPr>
                    <w:t>281</w:t>
                  </w:r>
                </w:p>
              </w:tc>
              <w:tc>
                <w:tcPr>
                  <w:tcW w:w="580" w:type="dxa"/>
                  <w:noWrap w:val="0"/>
                  <w:vAlign w:val="center"/>
                </w:tcPr>
                <w:p w14:paraId="44F96CB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color w:val="auto"/>
                      <w:kern w:val="21"/>
                      <w:sz w:val="21"/>
                      <w:szCs w:val="21"/>
                      <w:highlight w:val="none"/>
                      <w:lang w:val="en-US" w:eastAsia="zh-CN"/>
                    </w:rPr>
                  </w:pPr>
                  <w:r>
                    <w:rPr>
                      <w:rFonts w:hint="default" w:ascii="Times New Roman" w:hAnsi="Times New Roman" w:eastAsia="宋体" w:cs="Times New Roman"/>
                      <w:b w:val="0"/>
                      <w:bCs w:val="0"/>
                      <w:color w:val="auto"/>
                      <w:kern w:val="21"/>
                      <w:sz w:val="21"/>
                      <w:szCs w:val="21"/>
                      <w:highlight w:val="none"/>
                      <w:lang w:val="en-US" w:eastAsia="zh-CN"/>
                    </w:rPr>
                    <w:t>704</w:t>
                  </w:r>
                </w:p>
              </w:tc>
              <w:tc>
                <w:tcPr>
                  <w:tcW w:w="725" w:type="dxa"/>
                  <w:noWrap w:val="0"/>
                  <w:vAlign w:val="center"/>
                </w:tcPr>
                <w:p w14:paraId="647D0DA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color w:val="auto"/>
                      <w:kern w:val="21"/>
                      <w:sz w:val="21"/>
                      <w:szCs w:val="21"/>
                      <w:highlight w:val="none"/>
                      <w:lang w:val="en-US" w:eastAsia="zh-CN"/>
                    </w:rPr>
                  </w:pPr>
                  <w:r>
                    <w:rPr>
                      <w:rFonts w:hint="default" w:ascii="Times New Roman" w:hAnsi="Times New Roman" w:eastAsia="宋体" w:cs="Times New Roman"/>
                      <w:b w:val="0"/>
                      <w:bCs w:val="0"/>
                      <w:color w:val="auto"/>
                      <w:kern w:val="21"/>
                      <w:sz w:val="21"/>
                      <w:szCs w:val="21"/>
                      <w:highlight w:val="none"/>
                      <w:lang w:val="en-US" w:eastAsia="zh-CN"/>
                    </w:rPr>
                    <w:t>1608</w:t>
                  </w:r>
                </w:p>
              </w:tc>
              <w:tc>
                <w:tcPr>
                  <w:tcW w:w="724" w:type="dxa"/>
                  <w:noWrap w:val="0"/>
                  <w:vAlign w:val="center"/>
                </w:tcPr>
                <w:p w14:paraId="562661E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color w:val="auto"/>
                      <w:kern w:val="21"/>
                      <w:sz w:val="21"/>
                      <w:szCs w:val="21"/>
                      <w:highlight w:val="none"/>
                      <w:lang w:val="en-US" w:eastAsia="zh-CN"/>
                    </w:rPr>
                  </w:pPr>
                  <w:r>
                    <w:rPr>
                      <w:rFonts w:hint="default" w:ascii="Times New Roman" w:hAnsi="Times New Roman" w:eastAsia="宋体" w:cs="Times New Roman"/>
                      <w:b w:val="0"/>
                      <w:bCs w:val="0"/>
                      <w:color w:val="auto"/>
                      <w:kern w:val="21"/>
                      <w:sz w:val="21"/>
                      <w:szCs w:val="21"/>
                      <w:highlight w:val="none"/>
                      <w:lang w:val="en-US" w:eastAsia="zh-CN"/>
                    </w:rPr>
                    <w:t>2911</w:t>
                  </w:r>
                </w:p>
              </w:tc>
              <w:tc>
                <w:tcPr>
                  <w:tcW w:w="725" w:type="dxa"/>
                  <w:noWrap w:val="0"/>
                  <w:vAlign w:val="center"/>
                </w:tcPr>
                <w:p w14:paraId="2A2A7F4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color w:val="auto"/>
                      <w:kern w:val="21"/>
                      <w:sz w:val="21"/>
                      <w:szCs w:val="21"/>
                      <w:highlight w:val="none"/>
                      <w:lang w:val="en-US" w:eastAsia="zh-CN"/>
                    </w:rPr>
                  </w:pPr>
                  <w:r>
                    <w:rPr>
                      <w:rFonts w:hint="default" w:ascii="Times New Roman" w:hAnsi="Times New Roman" w:eastAsia="宋体" w:cs="Times New Roman"/>
                      <w:b w:val="0"/>
                      <w:bCs w:val="0"/>
                      <w:color w:val="auto"/>
                      <w:kern w:val="21"/>
                      <w:sz w:val="21"/>
                      <w:szCs w:val="21"/>
                      <w:highlight w:val="none"/>
                      <w:lang w:val="en-US" w:eastAsia="zh-CN"/>
                    </w:rPr>
                    <w:t>7804</w:t>
                  </w:r>
                </w:p>
              </w:tc>
              <w:tc>
                <w:tcPr>
                  <w:tcW w:w="835" w:type="dxa"/>
                  <w:noWrap w:val="0"/>
                  <w:vAlign w:val="center"/>
                </w:tcPr>
                <w:p w14:paraId="7709211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color w:val="auto"/>
                      <w:kern w:val="21"/>
                      <w:sz w:val="21"/>
                      <w:szCs w:val="21"/>
                      <w:highlight w:val="none"/>
                      <w:lang w:val="en-US" w:eastAsia="zh-CN"/>
                    </w:rPr>
                  </w:pPr>
                  <w:r>
                    <w:rPr>
                      <w:rFonts w:hint="default" w:ascii="Times New Roman" w:hAnsi="Times New Roman" w:eastAsia="宋体" w:cs="Times New Roman"/>
                      <w:b w:val="0"/>
                      <w:bCs w:val="0"/>
                      <w:color w:val="auto"/>
                      <w:kern w:val="21"/>
                      <w:sz w:val="21"/>
                      <w:szCs w:val="21"/>
                      <w:highlight w:val="none"/>
                      <w:lang w:val="en-US" w:eastAsia="zh-CN"/>
                    </w:rPr>
                    <w:t>18759</w:t>
                  </w:r>
                </w:p>
              </w:tc>
            </w:tr>
            <w:tr w14:paraId="38C089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trPr>
              <w:tc>
                <w:tcPr>
                  <w:tcW w:w="1109" w:type="dxa"/>
                  <w:noWrap w:val="0"/>
                  <w:vAlign w:val="center"/>
                </w:tcPr>
                <w:p w14:paraId="53E7320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color w:val="auto"/>
                      <w:kern w:val="21"/>
                      <w:sz w:val="21"/>
                      <w:szCs w:val="21"/>
                      <w:highlight w:val="none"/>
                      <w:lang w:val="en-US" w:eastAsia="zh-CN"/>
                    </w:rPr>
                  </w:pPr>
                  <w:r>
                    <w:rPr>
                      <w:rFonts w:hint="default" w:ascii="Times New Roman" w:hAnsi="Times New Roman" w:eastAsia="宋体" w:cs="Times New Roman"/>
                      <w:b w:val="0"/>
                      <w:bCs w:val="0"/>
                      <w:color w:val="auto"/>
                      <w:kern w:val="21"/>
                      <w:sz w:val="21"/>
                      <w:szCs w:val="21"/>
                      <w:highlight w:val="none"/>
                      <w:lang w:val="en-US" w:eastAsia="zh-CN"/>
                    </w:rPr>
                    <w:t>修正浓度*</w:t>
                  </w:r>
                </w:p>
              </w:tc>
              <w:tc>
                <w:tcPr>
                  <w:tcW w:w="628" w:type="dxa"/>
                  <w:noWrap w:val="0"/>
                  <w:vAlign w:val="center"/>
                </w:tcPr>
                <w:p w14:paraId="1FF8E70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color w:val="auto"/>
                      <w:kern w:val="21"/>
                      <w:sz w:val="21"/>
                      <w:szCs w:val="21"/>
                      <w:highlight w:val="none"/>
                      <w:lang w:val="en-US" w:eastAsia="zh-CN"/>
                    </w:rPr>
                  </w:pPr>
                  <w:r>
                    <w:rPr>
                      <w:rFonts w:hint="default" w:ascii="Times New Roman" w:hAnsi="Times New Roman" w:eastAsia="宋体" w:cs="Times New Roman"/>
                      <w:b w:val="0"/>
                      <w:bCs w:val="0"/>
                      <w:color w:val="auto"/>
                      <w:kern w:val="21"/>
                      <w:sz w:val="21"/>
                      <w:szCs w:val="21"/>
                      <w:highlight w:val="none"/>
                      <w:lang w:val="en-US" w:eastAsia="zh-CN"/>
                    </w:rPr>
                    <w:t>4</w:t>
                  </w:r>
                </w:p>
              </w:tc>
              <w:tc>
                <w:tcPr>
                  <w:tcW w:w="607" w:type="dxa"/>
                  <w:noWrap w:val="0"/>
                  <w:vAlign w:val="center"/>
                </w:tcPr>
                <w:p w14:paraId="17E6003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color w:val="auto"/>
                      <w:kern w:val="21"/>
                      <w:sz w:val="21"/>
                      <w:szCs w:val="21"/>
                      <w:highlight w:val="none"/>
                      <w:lang w:val="en-US" w:eastAsia="zh-CN"/>
                    </w:rPr>
                  </w:pPr>
                  <w:r>
                    <w:rPr>
                      <w:rFonts w:hint="default" w:ascii="Times New Roman" w:hAnsi="Times New Roman" w:eastAsia="宋体" w:cs="Times New Roman"/>
                      <w:b w:val="0"/>
                      <w:bCs w:val="0"/>
                      <w:color w:val="auto"/>
                      <w:kern w:val="21"/>
                      <w:sz w:val="21"/>
                      <w:szCs w:val="21"/>
                      <w:highlight w:val="none"/>
                      <w:lang w:val="en-US" w:eastAsia="zh-CN"/>
                    </w:rPr>
                    <w:t>9</w:t>
                  </w:r>
                </w:p>
              </w:tc>
              <w:tc>
                <w:tcPr>
                  <w:tcW w:w="580" w:type="dxa"/>
                  <w:noWrap w:val="0"/>
                  <w:vAlign w:val="center"/>
                </w:tcPr>
                <w:p w14:paraId="0545FFA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color w:val="auto"/>
                      <w:kern w:val="21"/>
                      <w:sz w:val="21"/>
                      <w:szCs w:val="21"/>
                      <w:highlight w:val="none"/>
                      <w:lang w:val="en-US" w:eastAsia="zh-CN"/>
                    </w:rPr>
                  </w:pPr>
                  <w:r>
                    <w:rPr>
                      <w:rFonts w:hint="default" w:ascii="Times New Roman" w:hAnsi="Times New Roman" w:eastAsia="宋体" w:cs="Times New Roman"/>
                      <w:b w:val="0"/>
                      <w:bCs w:val="0"/>
                      <w:color w:val="auto"/>
                      <w:kern w:val="21"/>
                      <w:sz w:val="21"/>
                      <w:szCs w:val="21"/>
                      <w:highlight w:val="none"/>
                      <w:lang w:val="en-US" w:eastAsia="zh-CN"/>
                    </w:rPr>
                    <w:t>21</w:t>
                  </w:r>
                </w:p>
              </w:tc>
              <w:tc>
                <w:tcPr>
                  <w:tcW w:w="580" w:type="dxa"/>
                  <w:noWrap w:val="0"/>
                  <w:vAlign w:val="center"/>
                </w:tcPr>
                <w:p w14:paraId="1E85069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color w:val="auto"/>
                      <w:kern w:val="21"/>
                      <w:sz w:val="21"/>
                      <w:szCs w:val="21"/>
                      <w:highlight w:val="none"/>
                      <w:lang w:val="en-US" w:eastAsia="zh-CN"/>
                    </w:rPr>
                  </w:pPr>
                  <w:r>
                    <w:rPr>
                      <w:rFonts w:hint="default" w:ascii="Times New Roman" w:hAnsi="Times New Roman" w:eastAsia="宋体" w:cs="Times New Roman"/>
                      <w:b w:val="0"/>
                      <w:bCs w:val="0"/>
                      <w:color w:val="auto"/>
                      <w:kern w:val="21"/>
                      <w:sz w:val="21"/>
                      <w:szCs w:val="21"/>
                      <w:highlight w:val="none"/>
                      <w:lang w:val="en-US" w:eastAsia="zh-CN"/>
                    </w:rPr>
                    <w:t>49</w:t>
                  </w:r>
                </w:p>
              </w:tc>
              <w:tc>
                <w:tcPr>
                  <w:tcW w:w="539" w:type="dxa"/>
                  <w:noWrap w:val="0"/>
                  <w:vAlign w:val="center"/>
                </w:tcPr>
                <w:p w14:paraId="4E60D04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color w:val="auto"/>
                      <w:kern w:val="21"/>
                      <w:sz w:val="21"/>
                      <w:szCs w:val="21"/>
                      <w:highlight w:val="none"/>
                      <w:lang w:val="en-US" w:eastAsia="zh-CN"/>
                    </w:rPr>
                  </w:pPr>
                  <w:r>
                    <w:rPr>
                      <w:rFonts w:hint="default" w:ascii="Times New Roman" w:hAnsi="Times New Roman" w:eastAsia="宋体" w:cs="Times New Roman"/>
                      <w:b w:val="0"/>
                      <w:bCs w:val="0"/>
                      <w:color w:val="auto"/>
                      <w:kern w:val="21"/>
                      <w:sz w:val="21"/>
                      <w:szCs w:val="21"/>
                      <w:highlight w:val="none"/>
                      <w:lang w:val="en-US" w:eastAsia="zh-CN"/>
                    </w:rPr>
                    <w:t>113</w:t>
                  </w:r>
                </w:p>
              </w:tc>
              <w:tc>
                <w:tcPr>
                  <w:tcW w:w="620" w:type="dxa"/>
                  <w:noWrap w:val="0"/>
                  <w:vAlign w:val="center"/>
                </w:tcPr>
                <w:p w14:paraId="28624CF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color w:val="auto"/>
                      <w:kern w:val="21"/>
                      <w:sz w:val="21"/>
                      <w:szCs w:val="21"/>
                      <w:highlight w:val="none"/>
                      <w:lang w:val="en-US" w:eastAsia="zh-CN"/>
                    </w:rPr>
                  </w:pPr>
                  <w:r>
                    <w:rPr>
                      <w:rFonts w:hint="default" w:ascii="Times New Roman" w:hAnsi="Times New Roman" w:eastAsia="宋体" w:cs="Times New Roman"/>
                      <w:b w:val="0"/>
                      <w:bCs w:val="0"/>
                      <w:color w:val="auto"/>
                      <w:kern w:val="21"/>
                      <w:sz w:val="21"/>
                      <w:szCs w:val="21"/>
                      <w:highlight w:val="none"/>
                      <w:lang w:val="en-US" w:eastAsia="zh-CN"/>
                    </w:rPr>
                    <w:t>265</w:t>
                  </w:r>
                </w:p>
              </w:tc>
              <w:tc>
                <w:tcPr>
                  <w:tcW w:w="580" w:type="dxa"/>
                  <w:noWrap w:val="0"/>
                  <w:vAlign w:val="center"/>
                </w:tcPr>
                <w:p w14:paraId="321DB4E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color w:val="auto"/>
                      <w:kern w:val="21"/>
                      <w:sz w:val="21"/>
                      <w:szCs w:val="21"/>
                      <w:highlight w:val="none"/>
                      <w:lang w:val="en-US" w:eastAsia="zh-CN"/>
                    </w:rPr>
                  </w:pPr>
                  <w:r>
                    <w:rPr>
                      <w:rFonts w:hint="default" w:ascii="Times New Roman" w:hAnsi="Times New Roman" w:eastAsia="宋体" w:cs="Times New Roman"/>
                      <w:b w:val="0"/>
                      <w:bCs w:val="0"/>
                      <w:color w:val="auto"/>
                      <w:kern w:val="21"/>
                      <w:sz w:val="21"/>
                      <w:szCs w:val="21"/>
                      <w:highlight w:val="none"/>
                      <w:lang w:val="en-US" w:eastAsia="zh-CN"/>
                    </w:rPr>
                    <w:t>617</w:t>
                  </w:r>
                </w:p>
              </w:tc>
              <w:tc>
                <w:tcPr>
                  <w:tcW w:w="725" w:type="dxa"/>
                  <w:noWrap w:val="0"/>
                  <w:vAlign w:val="center"/>
                </w:tcPr>
                <w:p w14:paraId="4DF8D64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color w:val="auto"/>
                      <w:kern w:val="21"/>
                      <w:sz w:val="21"/>
                      <w:szCs w:val="21"/>
                      <w:highlight w:val="none"/>
                      <w:lang w:val="en-US" w:eastAsia="zh-CN"/>
                    </w:rPr>
                  </w:pPr>
                  <w:r>
                    <w:rPr>
                      <w:rFonts w:hint="default" w:ascii="Times New Roman" w:hAnsi="Times New Roman" w:eastAsia="宋体" w:cs="Times New Roman"/>
                      <w:b w:val="0"/>
                      <w:bCs w:val="0"/>
                      <w:color w:val="auto"/>
                      <w:kern w:val="21"/>
                      <w:sz w:val="21"/>
                      <w:szCs w:val="21"/>
                      <w:highlight w:val="none"/>
                      <w:lang w:val="en-US" w:eastAsia="zh-CN"/>
                    </w:rPr>
                    <w:t>1437</w:t>
                  </w:r>
                </w:p>
              </w:tc>
              <w:tc>
                <w:tcPr>
                  <w:tcW w:w="724" w:type="dxa"/>
                  <w:noWrap w:val="0"/>
                  <w:vAlign w:val="center"/>
                </w:tcPr>
                <w:p w14:paraId="414AB24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color w:val="auto"/>
                      <w:kern w:val="21"/>
                      <w:sz w:val="21"/>
                      <w:szCs w:val="21"/>
                      <w:highlight w:val="none"/>
                      <w:lang w:val="en-US" w:eastAsia="zh-CN"/>
                    </w:rPr>
                  </w:pPr>
                  <w:r>
                    <w:rPr>
                      <w:rFonts w:hint="default" w:ascii="Times New Roman" w:hAnsi="Times New Roman" w:eastAsia="宋体" w:cs="Times New Roman"/>
                      <w:b w:val="0"/>
                      <w:bCs w:val="0"/>
                      <w:color w:val="auto"/>
                      <w:kern w:val="21"/>
                      <w:sz w:val="21"/>
                      <w:szCs w:val="21"/>
                      <w:highlight w:val="none"/>
                      <w:lang w:val="en-US" w:eastAsia="zh-CN"/>
                    </w:rPr>
                    <w:t>3347</w:t>
                  </w:r>
                </w:p>
              </w:tc>
              <w:tc>
                <w:tcPr>
                  <w:tcW w:w="725" w:type="dxa"/>
                  <w:noWrap w:val="0"/>
                  <w:vAlign w:val="center"/>
                </w:tcPr>
                <w:p w14:paraId="6FAFF18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color w:val="auto"/>
                      <w:kern w:val="21"/>
                      <w:sz w:val="21"/>
                      <w:szCs w:val="21"/>
                      <w:highlight w:val="none"/>
                      <w:lang w:val="en-US" w:eastAsia="zh-CN"/>
                    </w:rPr>
                  </w:pPr>
                  <w:r>
                    <w:rPr>
                      <w:rFonts w:hint="default" w:ascii="Times New Roman" w:hAnsi="Times New Roman" w:eastAsia="宋体" w:cs="Times New Roman"/>
                      <w:b w:val="0"/>
                      <w:bCs w:val="0"/>
                      <w:color w:val="auto"/>
                      <w:kern w:val="21"/>
                      <w:sz w:val="21"/>
                      <w:szCs w:val="21"/>
                      <w:highlight w:val="none"/>
                      <w:lang w:val="en-US" w:eastAsia="zh-CN"/>
                    </w:rPr>
                    <w:t>7795</w:t>
                  </w:r>
                </w:p>
              </w:tc>
              <w:tc>
                <w:tcPr>
                  <w:tcW w:w="835" w:type="dxa"/>
                  <w:noWrap w:val="0"/>
                  <w:vAlign w:val="center"/>
                </w:tcPr>
                <w:p w14:paraId="293C285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color w:val="auto"/>
                      <w:kern w:val="21"/>
                      <w:sz w:val="21"/>
                      <w:szCs w:val="21"/>
                      <w:highlight w:val="none"/>
                      <w:lang w:val="en-US" w:eastAsia="zh-CN"/>
                    </w:rPr>
                  </w:pPr>
                  <w:r>
                    <w:rPr>
                      <w:rFonts w:hint="default" w:ascii="Times New Roman" w:hAnsi="Times New Roman" w:eastAsia="宋体" w:cs="Times New Roman"/>
                      <w:b w:val="0"/>
                      <w:bCs w:val="0"/>
                      <w:color w:val="auto"/>
                      <w:kern w:val="21"/>
                      <w:sz w:val="21"/>
                      <w:szCs w:val="21"/>
                      <w:highlight w:val="none"/>
                      <w:lang w:val="en-US" w:eastAsia="zh-CN"/>
                    </w:rPr>
                    <w:t>18156</w:t>
                  </w:r>
                </w:p>
              </w:tc>
            </w:tr>
          </w:tbl>
          <w:p w14:paraId="11EED3C4">
            <w:pPr>
              <w:pStyle w:val="13"/>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leftChars="0" w:right="0" w:rightChars="0" w:firstLine="480" w:firstLineChars="200"/>
              <w:textAlignment w:val="auto"/>
              <w:rPr>
                <w:rFonts w:hint="default" w:ascii="Times New Roman" w:hAnsi="Times New Roman" w:eastAsia="宋体" w:cs="Times New Roman"/>
                <w:b w:val="0"/>
                <w:bCs w:val="0"/>
                <w:color w:val="auto"/>
                <w:kern w:val="0"/>
                <w:sz w:val="24"/>
                <w:lang w:val="en-US" w:eastAsia="zh-CN" w:bidi="en-US"/>
              </w:rPr>
            </w:pPr>
            <w:r>
              <w:rPr>
                <w:rFonts w:hint="default" w:ascii="Times New Roman" w:hAnsi="Times New Roman" w:eastAsia="宋体" w:cs="Times New Roman"/>
                <w:b w:val="0"/>
                <w:bCs w:val="0"/>
                <w:color w:val="auto"/>
                <w:kern w:val="0"/>
                <w:sz w:val="24"/>
                <w:lang w:val="en-US" w:eastAsia="zh-CN" w:bidi="en-US"/>
              </w:rPr>
              <w:t>有组织臭气浓度排放满足《恶臭污染物排放标准》(GB14554-93)表2标准。</w:t>
            </w:r>
          </w:p>
          <w:p w14:paraId="788EAFBE">
            <w:pPr>
              <w:keepNext w:val="0"/>
              <w:keepLines w:val="0"/>
              <w:widowControl/>
              <w:numPr>
                <w:ilvl w:val="0"/>
                <w:numId w:val="0"/>
              </w:numPr>
              <w:suppressLineNumbers w:val="0"/>
              <w:snapToGrid/>
              <w:spacing w:before="0" w:beforeLines="0" w:beforeAutospacing="0" w:after="0" w:afterAutospacing="0"/>
              <w:ind w:left="0" w:right="0" w:firstLine="482"/>
              <w:rPr>
                <w:rFonts w:hint="default" w:ascii="Times New Roman" w:hAnsi="Times New Roman" w:eastAsia="宋体" w:cs="Times New Roman"/>
                <w:b w:val="0"/>
                <w:bCs w:val="0"/>
                <w:color w:val="auto"/>
                <w:kern w:val="0"/>
                <w:sz w:val="24"/>
                <w:lang w:val="en-US" w:eastAsia="zh-CN" w:bidi="en-US"/>
              </w:rPr>
            </w:pPr>
            <w:r>
              <w:rPr>
                <w:rFonts w:hint="default" w:ascii="Times New Roman" w:hAnsi="Times New Roman" w:eastAsia="宋体" w:cs="Times New Roman"/>
                <w:b w:val="0"/>
                <w:bCs w:val="0"/>
                <w:color w:val="auto"/>
                <w:kern w:val="0"/>
                <w:sz w:val="24"/>
                <w:lang w:val="en-US" w:eastAsia="zh-CN" w:bidi="en-US"/>
              </w:rPr>
              <w:t>（2）无组织废气</w:t>
            </w:r>
          </w:p>
          <w:p w14:paraId="0F97EC32">
            <w:pPr>
              <w:keepNext w:val="0"/>
              <w:keepLines w:val="0"/>
              <w:pageBreakBefore w:val="0"/>
              <w:widowControl/>
              <w:suppressLineNumbers w:val="0"/>
              <w:kinsoku/>
              <w:wordWrap/>
              <w:overflowPunct/>
              <w:topLinePunct w:val="0"/>
              <w:autoSpaceDE/>
              <w:autoSpaceDN/>
              <w:bidi w:val="0"/>
              <w:spacing w:before="157" w:beforeLines="50" w:beforeAutospacing="0" w:after="0" w:afterAutospacing="0" w:line="360" w:lineRule="auto"/>
              <w:ind w:left="0" w:right="0" w:firstLine="480" w:firstLineChars="200"/>
              <w:jc w:val="both"/>
              <w:textAlignment w:val="auto"/>
              <w:rPr>
                <w:rFonts w:hint="default" w:ascii="Times New Roman" w:hAnsi="Times New Roman" w:eastAsia="宋体" w:cs="Times New Roman"/>
                <w:sz w:val="24"/>
                <w:szCs w:val="22"/>
                <w:highlight w:val="none"/>
                <w:lang w:eastAsia="zh-CN"/>
              </w:rPr>
            </w:pPr>
            <w:r>
              <w:rPr>
                <w:rFonts w:hint="default" w:ascii="Times New Roman" w:hAnsi="Times New Roman" w:eastAsia="宋体" w:cs="Times New Roman"/>
                <w:b w:val="0"/>
                <w:bCs w:val="0"/>
                <w:color w:val="auto"/>
                <w:kern w:val="0"/>
                <w:sz w:val="24"/>
                <w:lang w:val="en-US" w:eastAsia="zh-CN" w:bidi="en-US"/>
              </w:rPr>
              <w:t>车间内未收集的非甲烷总烃、</w:t>
            </w:r>
            <w:r>
              <w:rPr>
                <w:rFonts w:hint="default" w:ascii="Times New Roman" w:hAnsi="Times New Roman" w:eastAsia="宋体" w:cs="Times New Roman"/>
                <w:color w:val="auto"/>
                <w:spacing w:val="0"/>
                <w:position w:val="0"/>
                <w:sz w:val="24"/>
                <w:szCs w:val="22"/>
                <w:highlight w:val="none"/>
                <w:lang w:val="en-US" w:eastAsia="zh-CN"/>
              </w:rPr>
              <w:t>二苯基甲烷二异氰酸酯（MDI）</w:t>
            </w:r>
            <w:r>
              <w:rPr>
                <w:rFonts w:hint="default" w:ascii="Times New Roman" w:hAnsi="Times New Roman" w:eastAsia="宋体" w:cs="Times New Roman"/>
                <w:b w:val="0"/>
                <w:bCs w:val="0"/>
                <w:color w:val="auto"/>
                <w:kern w:val="0"/>
                <w:sz w:val="24"/>
                <w:lang w:val="en-US" w:eastAsia="zh-CN" w:bidi="en-US"/>
              </w:rPr>
              <w:t>，通过采取加强收集、车间密闭等措施减少无组织排放，全厂非甲烷总烃无组织废气排放量为</w:t>
            </w:r>
            <w:r>
              <w:rPr>
                <w:rFonts w:hint="default" w:cs="Times New Roman"/>
                <w:b w:val="0"/>
                <w:bCs w:val="0"/>
                <w:color w:val="auto"/>
                <w:kern w:val="0"/>
                <w:sz w:val="24"/>
                <w:lang w:val="en-US" w:eastAsia="zh-CN" w:bidi="en-US"/>
              </w:rPr>
              <w:t>0.560</w:t>
            </w:r>
            <w:r>
              <w:rPr>
                <w:rFonts w:hint="default" w:ascii="Times New Roman" w:hAnsi="Times New Roman" w:eastAsia="宋体" w:cs="Times New Roman"/>
                <w:b w:val="0"/>
                <w:bCs w:val="0"/>
                <w:color w:val="auto"/>
                <w:kern w:val="0"/>
                <w:sz w:val="24"/>
                <w:lang w:val="en-US" w:eastAsia="zh-CN" w:bidi="en-US"/>
              </w:rPr>
              <w:t>t/a，排放速率为0.</w:t>
            </w:r>
            <w:r>
              <w:rPr>
                <w:rFonts w:hint="default" w:cs="Times New Roman"/>
                <w:b w:val="0"/>
                <w:bCs w:val="0"/>
                <w:color w:val="auto"/>
                <w:kern w:val="0"/>
                <w:sz w:val="24"/>
                <w:lang w:val="en-US" w:eastAsia="zh-CN" w:bidi="en-US"/>
              </w:rPr>
              <w:t>078</w:t>
            </w:r>
            <w:r>
              <w:rPr>
                <w:rFonts w:hint="default" w:ascii="Times New Roman" w:hAnsi="Times New Roman" w:eastAsia="宋体" w:cs="Times New Roman"/>
                <w:b w:val="0"/>
                <w:bCs w:val="0"/>
                <w:color w:val="auto"/>
                <w:kern w:val="0"/>
                <w:sz w:val="24"/>
                <w:lang w:val="en-US" w:eastAsia="zh-CN" w:bidi="en-US"/>
              </w:rPr>
              <w:t>kg/h，</w:t>
            </w:r>
            <w:r>
              <w:rPr>
                <w:rFonts w:hint="default" w:ascii="Times New Roman" w:hAnsi="Times New Roman" w:eastAsia="宋体" w:cs="Times New Roman"/>
                <w:color w:val="auto"/>
                <w:spacing w:val="0"/>
                <w:position w:val="0"/>
                <w:sz w:val="24"/>
                <w:szCs w:val="22"/>
                <w:highlight w:val="none"/>
                <w:lang w:val="en-US" w:eastAsia="zh-CN"/>
              </w:rPr>
              <w:t>二苯基甲烷二异氰酸酯（MDI）</w:t>
            </w:r>
            <w:r>
              <w:rPr>
                <w:rFonts w:hint="default" w:ascii="Times New Roman" w:hAnsi="Times New Roman" w:eastAsia="宋体" w:cs="Times New Roman"/>
                <w:b w:val="0"/>
                <w:bCs w:val="0"/>
                <w:color w:val="auto"/>
                <w:kern w:val="0"/>
                <w:sz w:val="24"/>
                <w:lang w:val="en-US" w:eastAsia="zh-CN" w:bidi="en-US"/>
              </w:rPr>
              <w:t>无组织废气排放量为</w:t>
            </w:r>
            <w:r>
              <w:rPr>
                <w:rFonts w:hint="default" w:ascii="Times New Roman" w:hAnsi="Times New Roman" w:eastAsia="宋体" w:cs="Times New Roman"/>
                <w:color w:val="auto"/>
                <w:spacing w:val="0"/>
                <w:position w:val="0"/>
                <w:sz w:val="24"/>
                <w:szCs w:val="22"/>
                <w:highlight w:val="none"/>
                <w:lang w:val="en-US" w:eastAsia="zh-CN"/>
              </w:rPr>
              <w:t>1.35×10</w:t>
            </w:r>
            <w:r>
              <w:rPr>
                <w:rFonts w:hint="default" w:ascii="Times New Roman" w:hAnsi="Times New Roman" w:eastAsia="宋体" w:cs="Times New Roman"/>
                <w:color w:val="auto"/>
                <w:spacing w:val="0"/>
                <w:position w:val="0"/>
                <w:sz w:val="24"/>
                <w:szCs w:val="22"/>
                <w:highlight w:val="none"/>
                <w:vertAlign w:val="superscript"/>
                <w:lang w:val="en-US" w:eastAsia="zh-CN"/>
              </w:rPr>
              <w:t>-4</w:t>
            </w:r>
            <w:r>
              <w:rPr>
                <w:rFonts w:hint="default" w:ascii="Times New Roman" w:hAnsi="Times New Roman" w:eastAsia="宋体" w:cs="Times New Roman"/>
                <w:b w:val="0"/>
                <w:bCs w:val="0"/>
                <w:color w:val="auto"/>
                <w:kern w:val="0"/>
                <w:sz w:val="24"/>
                <w:lang w:val="en-US" w:eastAsia="zh-CN" w:bidi="en-US"/>
              </w:rPr>
              <w:t>t/a，排放速率为</w:t>
            </w:r>
            <w:r>
              <w:rPr>
                <w:rFonts w:hint="default" w:ascii="Times New Roman" w:hAnsi="Times New Roman" w:eastAsia="宋体" w:cs="Times New Roman"/>
                <w:color w:val="auto"/>
                <w:spacing w:val="0"/>
                <w:position w:val="0"/>
                <w:sz w:val="24"/>
                <w:szCs w:val="22"/>
                <w:highlight w:val="none"/>
                <w:lang w:val="en-US" w:eastAsia="zh-CN"/>
              </w:rPr>
              <w:t>1.88×10</w:t>
            </w:r>
            <w:r>
              <w:rPr>
                <w:rFonts w:hint="default" w:ascii="Times New Roman" w:hAnsi="Times New Roman" w:eastAsia="宋体" w:cs="Times New Roman"/>
                <w:color w:val="auto"/>
                <w:spacing w:val="0"/>
                <w:position w:val="0"/>
                <w:sz w:val="24"/>
                <w:szCs w:val="22"/>
                <w:highlight w:val="none"/>
                <w:vertAlign w:val="superscript"/>
                <w:lang w:val="en-US" w:eastAsia="zh-CN"/>
              </w:rPr>
              <w:t>-5</w:t>
            </w:r>
            <w:r>
              <w:rPr>
                <w:rFonts w:hint="default" w:ascii="Times New Roman" w:hAnsi="Times New Roman" w:eastAsia="宋体" w:cs="Times New Roman"/>
                <w:b w:val="0"/>
                <w:bCs w:val="0"/>
                <w:color w:val="auto"/>
                <w:kern w:val="0"/>
                <w:sz w:val="24"/>
                <w:lang w:val="en-US" w:eastAsia="zh-CN" w:bidi="en-US"/>
              </w:rPr>
              <w:t>kg/h</w:t>
            </w:r>
            <w:r>
              <w:rPr>
                <w:rFonts w:hint="default" w:cs="Times New Roman"/>
                <w:b w:val="0"/>
                <w:bCs w:val="0"/>
                <w:color w:val="auto"/>
                <w:kern w:val="0"/>
                <w:sz w:val="24"/>
                <w:lang w:val="en-US" w:eastAsia="zh-CN" w:bidi="en-US"/>
              </w:rPr>
              <w:t>。</w:t>
            </w:r>
            <w:r>
              <w:rPr>
                <w:rFonts w:hint="default" w:ascii="Times New Roman" w:hAnsi="Times New Roman" w:cs="Times New Roman"/>
                <w:color w:val="auto"/>
                <w:sz w:val="24"/>
                <w:lang w:eastAsia="zh-CN"/>
              </w:rPr>
              <w:t>非甲烷总烃</w:t>
            </w:r>
            <w:r>
              <w:rPr>
                <w:rFonts w:hint="default" w:ascii="Times New Roman" w:hAnsi="Times New Roman" w:eastAsia="宋体" w:cs="Times New Roman"/>
                <w:sz w:val="24"/>
                <w:szCs w:val="22"/>
                <w:highlight w:val="none"/>
                <w:lang w:eastAsia="zh-CN"/>
              </w:rPr>
              <w:t>厂界无组织排放浓度满足</w:t>
            </w:r>
            <w:r>
              <w:rPr>
                <w:rFonts w:hint="default" w:ascii="Times New Roman" w:hAnsi="Times New Roman" w:eastAsia="宋体" w:cs="Times New Roman"/>
                <w:color w:val="auto"/>
                <w:sz w:val="24"/>
                <w:szCs w:val="24"/>
                <w:highlight w:val="none"/>
              </w:rPr>
              <w:t>《合成树脂工业污染物排放标准》（GB31572-2015</w:t>
            </w:r>
            <w:r>
              <w:rPr>
                <w:rFonts w:hint="default" w:ascii="Times New Roman" w:hAnsi="Times New Roman" w:eastAsia="宋体" w:cs="Times New Roman"/>
                <w:color w:val="auto"/>
                <w:sz w:val="24"/>
                <w:szCs w:val="24"/>
                <w:lang w:val="en-US" w:eastAsia="zh-CN"/>
              </w:rPr>
              <w:t>，含2024修改单</w:t>
            </w:r>
            <w:r>
              <w:rPr>
                <w:rFonts w:hint="default" w:ascii="Times New Roman" w:hAnsi="Times New Roman" w:eastAsia="宋体" w:cs="Times New Roman"/>
                <w:color w:val="auto"/>
                <w:sz w:val="24"/>
                <w:szCs w:val="24"/>
                <w:highlight w:val="none"/>
              </w:rPr>
              <w:t>）表</w:t>
            </w:r>
            <w:r>
              <w:rPr>
                <w:rFonts w:hint="default" w:cs="Times New Roman"/>
                <w:color w:val="auto"/>
                <w:sz w:val="24"/>
                <w:szCs w:val="24"/>
                <w:highlight w:val="none"/>
                <w:lang w:val="en-US" w:eastAsia="zh-CN"/>
              </w:rPr>
              <w:t>9</w:t>
            </w:r>
            <w:r>
              <w:rPr>
                <w:rFonts w:hint="default" w:cs="Times New Roman"/>
                <w:color w:val="auto"/>
                <w:sz w:val="24"/>
                <w:szCs w:val="24"/>
                <w:highlight w:val="none"/>
                <w:lang w:eastAsia="zh-CN"/>
              </w:rPr>
              <w:t>企业边界大气污染物浓度限值</w:t>
            </w:r>
            <w:r>
              <w:rPr>
                <w:rFonts w:hint="default" w:ascii="Times New Roman" w:hAnsi="Times New Roman" w:eastAsia="宋体" w:cs="Times New Roman"/>
                <w:sz w:val="24"/>
                <w:szCs w:val="22"/>
                <w:highlight w:val="none"/>
                <w:lang w:eastAsia="zh-CN"/>
              </w:rPr>
              <w:t>；厂区内无组织排放执行</w:t>
            </w:r>
            <w:r>
              <w:rPr>
                <w:rFonts w:hint="default" w:ascii="Times New Roman" w:hAnsi="Times New Roman" w:eastAsia="宋体" w:cs="Times New Roman"/>
                <w:color w:val="auto"/>
                <w:sz w:val="24"/>
                <w:szCs w:val="24"/>
                <w:highlight w:val="none"/>
              </w:rPr>
              <w:t>《工业企业挥发性有机物排放控制标准》（DB13/2322-20</w:t>
            </w:r>
            <w:r>
              <w:rPr>
                <w:rFonts w:hint="default" w:cs="Times New Roman"/>
                <w:color w:val="auto"/>
                <w:sz w:val="24"/>
                <w:szCs w:val="24"/>
                <w:highlight w:val="none"/>
                <w:lang w:val="en-US" w:eastAsia="zh-CN"/>
              </w:rPr>
              <w:t>25</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sz w:val="24"/>
                <w:szCs w:val="22"/>
                <w:highlight w:val="none"/>
                <w:lang w:eastAsia="zh-CN"/>
              </w:rPr>
              <w:t>表</w:t>
            </w:r>
            <w:r>
              <w:rPr>
                <w:rFonts w:hint="default" w:cs="Times New Roman"/>
                <w:sz w:val="24"/>
                <w:szCs w:val="22"/>
                <w:highlight w:val="none"/>
                <w:lang w:val="en-US" w:eastAsia="zh-CN"/>
              </w:rPr>
              <w:t>2</w:t>
            </w:r>
            <w:r>
              <w:rPr>
                <w:rFonts w:hint="default" w:ascii="Times New Roman" w:hAnsi="Times New Roman" w:eastAsia="宋体" w:cs="Times New Roman"/>
                <w:sz w:val="24"/>
                <w:szCs w:val="22"/>
                <w:highlight w:val="none"/>
                <w:lang w:eastAsia="zh-CN"/>
              </w:rPr>
              <w:t>厂区内</w:t>
            </w:r>
            <w:r>
              <w:rPr>
                <w:rFonts w:hint="default" w:cs="Times New Roman"/>
                <w:sz w:val="24"/>
                <w:szCs w:val="22"/>
                <w:highlight w:val="none"/>
                <w:lang w:eastAsia="zh-CN"/>
              </w:rPr>
              <w:t>挥发性有机物</w:t>
            </w:r>
            <w:r>
              <w:rPr>
                <w:rFonts w:hint="default" w:ascii="Times New Roman" w:hAnsi="Times New Roman" w:eastAsia="宋体" w:cs="Times New Roman"/>
                <w:sz w:val="24"/>
                <w:szCs w:val="22"/>
                <w:highlight w:val="none"/>
                <w:lang w:eastAsia="zh-CN"/>
              </w:rPr>
              <w:t>无组织排放限值</w:t>
            </w:r>
            <w:r>
              <w:rPr>
                <w:rFonts w:hint="default" w:cs="Times New Roman"/>
                <w:sz w:val="24"/>
                <w:szCs w:val="22"/>
                <w:highlight w:val="none"/>
                <w:lang w:eastAsia="zh-CN"/>
              </w:rPr>
              <w:t>、《印刷工业挥发性有机物排放标准》（DB13/6188-2025）表2厂区内挥发性有机物无组织排放限值</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bCs/>
                <w:color w:val="auto"/>
                <w:kern w:val="0"/>
                <w:sz w:val="24"/>
                <w:highlight w:val="none"/>
                <w:lang w:eastAsia="zh-CN" w:bidi="en-US"/>
              </w:rPr>
              <w:t>臭气浓度经类比调查同类企业，厂界处无组织排放臭气浓度为15（无量纲），</w:t>
            </w:r>
            <w:r>
              <w:rPr>
                <w:rFonts w:hint="default" w:ascii="Times New Roman" w:hAnsi="Times New Roman" w:eastAsia="宋体" w:cs="Times New Roman"/>
                <w:sz w:val="24"/>
                <w:szCs w:val="22"/>
                <w:highlight w:val="none"/>
                <w:lang w:eastAsia="zh-CN"/>
              </w:rPr>
              <w:t>臭气浓度无组织排放浓度满足《恶臭污染物排放标准》（GB14554-93）表1中二级新扩改建标准要求。</w:t>
            </w:r>
          </w:p>
          <w:p w14:paraId="24EBDDB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b/>
                <w:bCs/>
                <w:color w:val="000000"/>
                <w:kern w:val="0"/>
                <w:sz w:val="21"/>
                <w:szCs w:val="21"/>
                <w:lang w:val="en-US" w:eastAsia="zh-CN" w:bidi="ar-SA"/>
              </w:rPr>
            </w:pPr>
            <w:r>
              <w:rPr>
                <w:rFonts w:hint="default" w:ascii="Times New Roman" w:hAnsi="Times New Roman" w:cs="Times New Roman"/>
                <w:color w:val="auto"/>
                <w:sz w:val="24"/>
              </w:rPr>
              <w:t>废气污染源源强见</w:t>
            </w:r>
            <w:r>
              <w:rPr>
                <w:rFonts w:hint="default" w:cs="Times New Roman"/>
                <w:color w:val="auto"/>
                <w:sz w:val="24"/>
                <w:lang w:eastAsia="zh-CN"/>
              </w:rPr>
              <w:t>下</w:t>
            </w:r>
            <w:r>
              <w:rPr>
                <w:rFonts w:hint="default" w:ascii="Times New Roman" w:hAnsi="Times New Roman" w:cs="Times New Roman"/>
                <w:color w:val="auto"/>
                <w:sz w:val="24"/>
              </w:rPr>
              <w:t>表。</w:t>
            </w:r>
          </w:p>
          <w:p w14:paraId="01454377">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Autospacing="0" w:line="240" w:lineRule="auto"/>
              <w:ind w:left="0" w:right="0" w:firstLine="422" w:firstLineChars="200"/>
              <w:jc w:val="center"/>
              <w:textAlignment w:val="auto"/>
              <w:rPr>
                <w:rFonts w:hint="default" w:ascii="Times New Roman" w:hAnsi="Times New Roman" w:eastAsia="宋体" w:cs="Times New Roman"/>
                <w:b/>
                <w:bCs/>
                <w:color w:val="FF0000"/>
                <w:kern w:val="0"/>
                <w:sz w:val="21"/>
                <w:szCs w:val="21"/>
                <w:lang w:val="en-US" w:eastAsia="zh-CN" w:bidi="ar-SA"/>
              </w:rPr>
            </w:pPr>
            <w:r>
              <w:rPr>
                <w:rFonts w:hint="default" w:ascii="Times New Roman" w:hAnsi="Times New Roman" w:eastAsia="宋体" w:cs="Times New Roman"/>
                <w:b/>
                <w:bCs/>
                <w:color w:val="auto"/>
                <w:kern w:val="0"/>
                <w:sz w:val="21"/>
                <w:szCs w:val="21"/>
                <w:lang w:val="en-US" w:eastAsia="zh-CN" w:bidi="ar-SA"/>
              </w:rPr>
              <w:t>DA001非洁净车间吹膜、印刷、复合工序废气污染物产排及治理情况一览表</w:t>
            </w:r>
          </w:p>
          <w:tbl>
            <w:tblPr>
              <w:tblStyle w:val="38"/>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50"/>
              <w:gridCol w:w="1386"/>
              <w:gridCol w:w="1105"/>
              <w:gridCol w:w="1005"/>
              <w:gridCol w:w="990"/>
              <w:gridCol w:w="1338"/>
              <w:gridCol w:w="947"/>
              <w:gridCol w:w="998"/>
              <w:gridCol w:w="2"/>
            </w:tblGrid>
            <w:tr w14:paraId="367837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8" w:hRule="atLeast"/>
              </w:trPr>
              <w:tc>
                <w:tcPr>
                  <w:tcW w:w="1116" w:type="pct"/>
                  <w:gridSpan w:val="2"/>
                  <w:noWrap w:val="0"/>
                  <w:vAlign w:val="center"/>
                </w:tcPr>
                <w:p w14:paraId="61DC798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产排污环节名称</w:t>
                  </w:r>
                </w:p>
              </w:tc>
              <w:tc>
                <w:tcPr>
                  <w:tcW w:w="3883" w:type="pct"/>
                  <w:gridSpan w:val="7"/>
                  <w:noWrap w:val="0"/>
                  <w:vAlign w:val="center"/>
                </w:tcPr>
                <w:p w14:paraId="1336172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bCs/>
                      <w:color w:val="auto"/>
                      <w:szCs w:val="21"/>
                      <w:lang w:val="en-US" w:eastAsia="zh-CN"/>
                    </w:rPr>
                    <w:t>DA001</w:t>
                  </w:r>
                  <w:r>
                    <w:rPr>
                      <w:rFonts w:hint="default" w:ascii="Times New Roman" w:hAnsi="Times New Roman" w:cs="Times New Roman"/>
                      <w:bCs/>
                      <w:color w:val="auto"/>
                      <w:szCs w:val="21"/>
                      <w:lang w:eastAsia="zh-CN"/>
                    </w:rPr>
                    <w:t>非洁净车间吹膜、</w:t>
                  </w:r>
                  <w:r>
                    <w:rPr>
                      <w:rFonts w:hint="default" w:ascii="Times New Roman" w:hAnsi="Times New Roman" w:cs="Times New Roman"/>
                      <w:bCs/>
                      <w:color w:val="auto"/>
                      <w:szCs w:val="21"/>
                    </w:rPr>
                    <w:t>印刷、复合工序</w:t>
                  </w:r>
                </w:p>
              </w:tc>
            </w:tr>
            <w:tr w14:paraId="351C79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2" w:hRule="atLeast"/>
              </w:trPr>
              <w:tc>
                <w:tcPr>
                  <w:tcW w:w="1116" w:type="pct"/>
                  <w:gridSpan w:val="2"/>
                  <w:noWrap w:val="0"/>
                  <w:vAlign w:val="center"/>
                </w:tcPr>
                <w:p w14:paraId="5DAB655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污染物种类</w:t>
                  </w:r>
                </w:p>
              </w:tc>
              <w:tc>
                <w:tcPr>
                  <w:tcW w:w="672" w:type="pct"/>
                  <w:noWrap w:val="0"/>
                  <w:vAlign w:val="center"/>
                </w:tcPr>
                <w:p w14:paraId="722BD12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pacing w:val="0"/>
                      <w:position w:val="0"/>
                      <w:sz w:val="21"/>
                      <w:szCs w:val="21"/>
                      <w:highlight w:val="none"/>
                      <w:lang w:eastAsia="zh-CN"/>
                    </w:rPr>
                  </w:pPr>
                  <w:r>
                    <w:rPr>
                      <w:rFonts w:hint="default" w:ascii="Times New Roman" w:hAnsi="Times New Roman" w:eastAsia="宋体" w:cs="Times New Roman"/>
                      <w:color w:val="auto"/>
                      <w:sz w:val="21"/>
                      <w:szCs w:val="21"/>
                      <w:highlight w:val="none"/>
                      <w:lang w:val="en-US" w:eastAsia="zh-CN"/>
                    </w:rPr>
                    <w:t>非甲烷总烃</w:t>
                  </w:r>
                </w:p>
              </w:tc>
              <w:tc>
                <w:tcPr>
                  <w:tcW w:w="611" w:type="pct"/>
                  <w:noWrap w:val="0"/>
                  <w:vAlign w:val="center"/>
                </w:tcPr>
                <w:p w14:paraId="1E9A90D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二苯基甲烷二异氰酸酯（MDI）</w:t>
                  </w:r>
                </w:p>
              </w:tc>
              <w:tc>
                <w:tcPr>
                  <w:tcW w:w="602" w:type="pct"/>
                  <w:noWrap w:val="0"/>
                  <w:vAlign w:val="center"/>
                </w:tcPr>
                <w:p w14:paraId="5D8D596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cs="Times New Roman"/>
                      <w:color w:val="auto"/>
                      <w:sz w:val="21"/>
                      <w:szCs w:val="21"/>
                      <w:highlight w:val="none"/>
                      <w:lang w:val="en-US" w:eastAsia="zh-CN"/>
                    </w:rPr>
                    <w:t>臭气浓度</w:t>
                  </w:r>
                </w:p>
              </w:tc>
              <w:tc>
                <w:tcPr>
                  <w:tcW w:w="813" w:type="pct"/>
                  <w:noWrap w:val="0"/>
                  <w:vAlign w:val="center"/>
                </w:tcPr>
                <w:p w14:paraId="04FD53C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pacing w:val="0"/>
                      <w:kern w:val="2"/>
                      <w:position w:val="0"/>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非甲烷总烃</w:t>
                  </w:r>
                </w:p>
              </w:tc>
              <w:tc>
                <w:tcPr>
                  <w:tcW w:w="575" w:type="pct"/>
                  <w:noWrap w:val="0"/>
                  <w:vAlign w:val="center"/>
                </w:tcPr>
                <w:p w14:paraId="4A13867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二苯基甲烷二异氰酸酯（MDI）</w:t>
                  </w:r>
                </w:p>
              </w:tc>
              <w:tc>
                <w:tcPr>
                  <w:tcW w:w="608" w:type="pct"/>
                  <w:gridSpan w:val="2"/>
                  <w:noWrap w:val="0"/>
                  <w:vAlign w:val="center"/>
                </w:tcPr>
                <w:p w14:paraId="35CE089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cs="Times New Roman"/>
                      <w:color w:val="auto"/>
                      <w:sz w:val="21"/>
                      <w:szCs w:val="21"/>
                      <w:highlight w:val="none"/>
                      <w:lang w:val="en-US" w:eastAsia="zh-CN"/>
                    </w:rPr>
                    <w:t>臭气浓度</w:t>
                  </w:r>
                </w:p>
              </w:tc>
            </w:tr>
            <w:tr w14:paraId="56D3DB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2" w:hRule="atLeast"/>
              </w:trPr>
              <w:tc>
                <w:tcPr>
                  <w:tcW w:w="273" w:type="pct"/>
                  <w:vMerge w:val="restart"/>
                  <w:noWrap w:val="0"/>
                  <w:vAlign w:val="center"/>
                </w:tcPr>
                <w:p w14:paraId="4344E03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污染物产生情况</w:t>
                  </w:r>
                </w:p>
              </w:tc>
              <w:tc>
                <w:tcPr>
                  <w:tcW w:w="842" w:type="pct"/>
                  <w:noWrap w:val="0"/>
                  <w:vAlign w:val="center"/>
                </w:tcPr>
                <w:p w14:paraId="39D60BE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污染物产生量(t/a)</w:t>
                  </w:r>
                </w:p>
              </w:tc>
              <w:tc>
                <w:tcPr>
                  <w:tcW w:w="672" w:type="pct"/>
                  <w:noWrap w:val="0"/>
                  <w:vAlign w:val="center"/>
                </w:tcPr>
                <w:p w14:paraId="6DB8B80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bidi="en-US"/>
                    </w:rPr>
                  </w:pPr>
                  <w:r>
                    <w:rPr>
                      <w:rFonts w:hint="default" w:cs="Times New Roman"/>
                      <w:color w:val="auto"/>
                      <w:sz w:val="21"/>
                      <w:szCs w:val="21"/>
                      <w:highlight w:val="none"/>
                      <w:lang w:val="en-US" w:eastAsia="zh-CN" w:bidi="en-US"/>
                    </w:rPr>
                    <w:t>2.147</w:t>
                  </w:r>
                </w:p>
              </w:tc>
              <w:tc>
                <w:tcPr>
                  <w:tcW w:w="611" w:type="pct"/>
                  <w:noWrap w:val="0"/>
                  <w:vAlign w:val="center"/>
                </w:tcPr>
                <w:p w14:paraId="63B0AC3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6.16×10</w:t>
                  </w:r>
                  <w:r>
                    <w:rPr>
                      <w:rFonts w:hint="default" w:ascii="Times New Roman" w:hAnsi="Times New Roman" w:eastAsia="宋体" w:cs="Times New Roman"/>
                      <w:color w:val="auto"/>
                      <w:sz w:val="21"/>
                      <w:szCs w:val="21"/>
                      <w:highlight w:val="none"/>
                      <w:vertAlign w:val="superscript"/>
                      <w:lang w:val="en-US" w:eastAsia="zh-CN"/>
                    </w:rPr>
                    <w:t>-4</w:t>
                  </w:r>
                </w:p>
              </w:tc>
              <w:tc>
                <w:tcPr>
                  <w:tcW w:w="602" w:type="pct"/>
                  <w:noWrap w:val="0"/>
                  <w:vAlign w:val="center"/>
                </w:tcPr>
                <w:p w14:paraId="3EE8BAF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cs="Times New Roman"/>
                      <w:color w:val="auto"/>
                      <w:sz w:val="21"/>
                      <w:szCs w:val="21"/>
                      <w:highlight w:val="none"/>
                      <w:lang w:val="en-US" w:eastAsia="zh-CN"/>
                    </w:rPr>
                    <w:t>/</w:t>
                  </w:r>
                </w:p>
              </w:tc>
              <w:tc>
                <w:tcPr>
                  <w:tcW w:w="813" w:type="pct"/>
                  <w:noWrap w:val="0"/>
                  <w:vAlign w:val="center"/>
                </w:tcPr>
                <w:p w14:paraId="672DFBB3">
                  <w:pPr>
                    <w:keepNext w:val="0"/>
                    <w:keepLines w:val="0"/>
                    <w:suppressLineNumbers w:val="0"/>
                    <w:adjustRightInd w:val="0"/>
                    <w:snapToGrid w:val="0"/>
                    <w:spacing w:before="0" w:beforeAutospacing="0" w:after="0" w:afterAutospacing="0"/>
                    <w:ind w:left="0" w:right="0"/>
                    <w:jc w:val="center"/>
                    <w:rPr>
                      <w:rFonts w:hint="default" w:cs="Times New Roman"/>
                      <w:color w:val="auto"/>
                      <w:sz w:val="21"/>
                      <w:szCs w:val="21"/>
                      <w:highlight w:val="none"/>
                      <w:lang w:val="en-US" w:eastAsia="zh-CN"/>
                    </w:rPr>
                  </w:pPr>
                  <w:r>
                    <w:rPr>
                      <w:rFonts w:hint="default" w:cs="Times New Roman"/>
                      <w:color w:val="auto"/>
                      <w:sz w:val="21"/>
                      <w:szCs w:val="21"/>
                      <w:highlight w:val="none"/>
                      <w:lang w:val="en-US" w:eastAsia="zh-CN"/>
                    </w:rPr>
                    <w:t>0.239</w:t>
                  </w:r>
                </w:p>
              </w:tc>
              <w:tc>
                <w:tcPr>
                  <w:tcW w:w="575" w:type="pct"/>
                  <w:noWrap w:val="0"/>
                  <w:vAlign w:val="center"/>
                </w:tcPr>
                <w:p w14:paraId="0BD7312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6.85×10</w:t>
                  </w:r>
                  <w:r>
                    <w:rPr>
                      <w:rFonts w:hint="default" w:ascii="Times New Roman" w:hAnsi="Times New Roman" w:eastAsia="宋体" w:cs="Times New Roman"/>
                      <w:color w:val="auto"/>
                      <w:sz w:val="21"/>
                      <w:szCs w:val="21"/>
                      <w:highlight w:val="none"/>
                      <w:vertAlign w:val="superscript"/>
                      <w:lang w:val="en-US" w:eastAsia="zh-CN"/>
                    </w:rPr>
                    <w:t>-5</w:t>
                  </w:r>
                </w:p>
              </w:tc>
              <w:tc>
                <w:tcPr>
                  <w:tcW w:w="608" w:type="pct"/>
                  <w:gridSpan w:val="2"/>
                  <w:noWrap w:val="0"/>
                  <w:vAlign w:val="center"/>
                </w:tcPr>
                <w:p w14:paraId="77EB5CE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cs="Times New Roman"/>
                      <w:color w:val="auto"/>
                      <w:sz w:val="21"/>
                      <w:szCs w:val="21"/>
                      <w:highlight w:val="none"/>
                      <w:lang w:val="en-US" w:eastAsia="zh-CN"/>
                    </w:rPr>
                    <w:t>/</w:t>
                  </w:r>
                </w:p>
              </w:tc>
            </w:tr>
            <w:tr w14:paraId="4FF1D5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7" w:hRule="atLeast"/>
              </w:trPr>
              <w:tc>
                <w:tcPr>
                  <w:tcW w:w="273" w:type="pct"/>
                  <w:vMerge w:val="continue"/>
                  <w:noWrap w:val="0"/>
                  <w:vAlign w:val="center"/>
                </w:tcPr>
                <w:p w14:paraId="788B5CE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842" w:type="pct"/>
                  <w:noWrap w:val="0"/>
                  <w:vAlign w:val="center"/>
                </w:tcPr>
                <w:p w14:paraId="78CDAD6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产生速率（kg/h）</w:t>
                  </w:r>
                </w:p>
              </w:tc>
              <w:tc>
                <w:tcPr>
                  <w:tcW w:w="672" w:type="pct"/>
                  <w:noWrap w:val="0"/>
                  <w:vAlign w:val="center"/>
                </w:tcPr>
                <w:p w14:paraId="5E30C46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cs="Times New Roman"/>
                      <w:color w:val="auto"/>
                      <w:sz w:val="21"/>
                      <w:szCs w:val="21"/>
                      <w:highlight w:val="none"/>
                      <w:lang w:val="en-US" w:eastAsia="zh-CN"/>
                    </w:rPr>
                    <w:t>0.298</w:t>
                  </w:r>
                </w:p>
              </w:tc>
              <w:tc>
                <w:tcPr>
                  <w:tcW w:w="611" w:type="pct"/>
                  <w:noWrap w:val="0"/>
                  <w:vAlign w:val="center"/>
                </w:tcPr>
                <w:p w14:paraId="2D3A23F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8.56×10</w:t>
                  </w:r>
                  <w:r>
                    <w:rPr>
                      <w:rFonts w:hint="default" w:ascii="Times New Roman" w:hAnsi="Times New Roman" w:eastAsia="宋体" w:cs="Times New Roman"/>
                      <w:color w:val="auto"/>
                      <w:sz w:val="21"/>
                      <w:szCs w:val="21"/>
                      <w:highlight w:val="none"/>
                      <w:vertAlign w:val="superscript"/>
                      <w:lang w:val="en-US" w:eastAsia="zh-CN"/>
                    </w:rPr>
                    <w:t>-5</w:t>
                  </w:r>
                </w:p>
              </w:tc>
              <w:tc>
                <w:tcPr>
                  <w:tcW w:w="602" w:type="pct"/>
                  <w:noWrap w:val="0"/>
                  <w:vAlign w:val="center"/>
                </w:tcPr>
                <w:p w14:paraId="1C68691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cs="Times New Roman"/>
                      <w:color w:val="auto"/>
                      <w:sz w:val="21"/>
                      <w:szCs w:val="21"/>
                      <w:highlight w:val="none"/>
                      <w:lang w:val="en-US" w:eastAsia="zh-CN"/>
                    </w:rPr>
                    <w:t>/</w:t>
                  </w:r>
                </w:p>
              </w:tc>
              <w:tc>
                <w:tcPr>
                  <w:tcW w:w="813" w:type="pct"/>
                  <w:noWrap w:val="0"/>
                  <w:vAlign w:val="center"/>
                </w:tcPr>
                <w:p w14:paraId="62D8A8A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cs="Times New Roman"/>
                      <w:color w:val="auto"/>
                      <w:sz w:val="21"/>
                      <w:szCs w:val="21"/>
                      <w:highlight w:val="none"/>
                      <w:lang w:val="en-US" w:eastAsia="zh-CN"/>
                    </w:rPr>
                    <w:t>0.033</w:t>
                  </w:r>
                </w:p>
              </w:tc>
              <w:tc>
                <w:tcPr>
                  <w:tcW w:w="575" w:type="pct"/>
                  <w:noWrap w:val="0"/>
                  <w:vAlign w:val="center"/>
                </w:tcPr>
                <w:p w14:paraId="0B03B60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9.51×10</w:t>
                  </w:r>
                  <w:r>
                    <w:rPr>
                      <w:rFonts w:hint="default" w:ascii="Times New Roman" w:hAnsi="Times New Roman" w:eastAsia="宋体" w:cs="Times New Roman"/>
                      <w:color w:val="auto"/>
                      <w:sz w:val="21"/>
                      <w:szCs w:val="21"/>
                      <w:highlight w:val="none"/>
                      <w:vertAlign w:val="superscript"/>
                      <w:lang w:val="en-US" w:eastAsia="zh-CN"/>
                    </w:rPr>
                    <w:t>-6</w:t>
                  </w:r>
                </w:p>
              </w:tc>
              <w:tc>
                <w:tcPr>
                  <w:tcW w:w="608" w:type="pct"/>
                  <w:gridSpan w:val="2"/>
                  <w:noWrap w:val="0"/>
                  <w:vAlign w:val="center"/>
                </w:tcPr>
                <w:p w14:paraId="5FFF919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cs="Times New Roman"/>
                      <w:color w:val="auto"/>
                      <w:sz w:val="21"/>
                      <w:szCs w:val="21"/>
                      <w:highlight w:val="none"/>
                      <w:lang w:val="en-US" w:eastAsia="zh-CN"/>
                    </w:rPr>
                    <w:t>/</w:t>
                  </w:r>
                </w:p>
              </w:tc>
            </w:tr>
            <w:tr w14:paraId="2924C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7" w:hRule="atLeast"/>
              </w:trPr>
              <w:tc>
                <w:tcPr>
                  <w:tcW w:w="273" w:type="pct"/>
                  <w:vMerge w:val="continue"/>
                  <w:noWrap w:val="0"/>
                  <w:vAlign w:val="center"/>
                </w:tcPr>
                <w:p w14:paraId="1CA5E3B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842" w:type="pct"/>
                  <w:noWrap w:val="0"/>
                  <w:vAlign w:val="center"/>
                </w:tcPr>
                <w:p w14:paraId="03CAFED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产生浓度(mg/m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rPr>
                    <w:t>)</w:t>
                  </w:r>
                </w:p>
              </w:tc>
              <w:tc>
                <w:tcPr>
                  <w:tcW w:w="672" w:type="pct"/>
                  <w:noWrap w:val="0"/>
                  <w:vAlign w:val="center"/>
                </w:tcPr>
                <w:p w14:paraId="3747FCC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bidi="en-US"/>
                    </w:rPr>
                  </w:pPr>
                  <w:r>
                    <w:rPr>
                      <w:rFonts w:hint="default" w:cs="Times New Roman"/>
                      <w:color w:val="auto"/>
                      <w:sz w:val="21"/>
                      <w:szCs w:val="21"/>
                      <w:highlight w:val="none"/>
                      <w:lang w:val="en-US" w:eastAsia="zh-CN" w:bidi="en-US"/>
                    </w:rPr>
                    <w:t>9.798</w:t>
                  </w:r>
                </w:p>
              </w:tc>
              <w:tc>
                <w:tcPr>
                  <w:tcW w:w="611" w:type="pct"/>
                  <w:noWrap w:val="0"/>
                  <w:vAlign w:val="center"/>
                </w:tcPr>
                <w:p w14:paraId="73C599C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cs="Times New Roman"/>
                      <w:color w:val="auto"/>
                      <w:sz w:val="21"/>
                      <w:szCs w:val="21"/>
                      <w:highlight w:val="none"/>
                      <w:lang w:val="en-US" w:eastAsia="zh-CN"/>
                    </w:rPr>
                    <w:t>2.81</w:t>
                  </w:r>
                  <w:r>
                    <w:rPr>
                      <w:rFonts w:hint="default" w:ascii="Times New Roman" w:hAnsi="Times New Roman" w:eastAsia="宋体" w:cs="Times New Roman"/>
                      <w:color w:val="auto"/>
                      <w:sz w:val="21"/>
                      <w:szCs w:val="21"/>
                      <w:highlight w:val="none"/>
                      <w:lang w:val="en-US" w:eastAsia="zh-CN"/>
                    </w:rPr>
                    <w:t>×10</w:t>
                  </w:r>
                  <w:r>
                    <w:rPr>
                      <w:rFonts w:hint="default" w:ascii="Times New Roman" w:hAnsi="Times New Roman" w:eastAsia="宋体" w:cs="Times New Roman"/>
                      <w:color w:val="auto"/>
                      <w:sz w:val="21"/>
                      <w:szCs w:val="21"/>
                      <w:highlight w:val="none"/>
                      <w:vertAlign w:val="superscript"/>
                      <w:lang w:val="en-US" w:eastAsia="zh-CN"/>
                    </w:rPr>
                    <w:t>-3</w:t>
                  </w:r>
                </w:p>
              </w:tc>
              <w:tc>
                <w:tcPr>
                  <w:tcW w:w="602" w:type="pct"/>
                  <w:noWrap w:val="0"/>
                  <w:vAlign w:val="center"/>
                </w:tcPr>
                <w:p w14:paraId="38D0B57E">
                  <w:pPr>
                    <w:keepNext w:val="0"/>
                    <w:keepLines w:val="0"/>
                    <w:suppressLineNumbers w:val="0"/>
                    <w:adjustRightInd w:val="0"/>
                    <w:snapToGrid w:val="0"/>
                    <w:spacing w:before="0" w:beforeAutospacing="0" w:after="0" w:afterAutospacing="0"/>
                    <w:ind w:left="0" w:right="0"/>
                    <w:jc w:val="center"/>
                    <w:rPr>
                      <w:rFonts w:hint="default" w:cs="Times New Roman"/>
                      <w:color w:val="auto"/>
                      <w:sz w:val="21"/>
                      <w:szCs w:val="21"/>
                      <w:highlight w:val="none"/>
                      <w:lang w:val="en-US" w:eastAsia="zh-CN"/>
                    </w:rPr>
                  </w:pPr>
                  <w:r>
                    <w:rPr>
                      <w:rFonts w:hint="default" w:cs="Times New Roman"/>
                      <w:color w:val="auto"/>
                      <w:sz w:val="21"/>
                      <w:szCs w:val="21"/>
                      <w:highlight w:val="none"/>
                      <w:lang w:val="en-US" w:eastAsia="zh-CN"/>
                    </w:rPr>
                    <w:t>617（无量纲）</w:t>
                  </w:r>
                </w:p>
              </w:tc>
              <w:tc>
                <w:tcPr>
                  <w:tcW w:w="813" w:type="pct"/>
                  <w:noWrap w:val="0"/>
                  <w:vAlign w:val="center"/>
                </w:tcPr>
                <w:p w14:paraId="20FA120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575" w:type="pct"/>
                  <w:noWrap w:val="0"/>
                  <w:vAlign w:val="center"/>
                </w:tcPr>
                <w:p w14:paraId="6CDA119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608" w:type="pct"/>
                  <w:gridSpan w:val="2"/>
                  <w:noWrap w:val="0"/>
                  <w:vAlign w:val="center"/>
                </w:tcPr>
                <w:p w14:paraId="76D8101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cs="Times New Roman"/>
                      <w:color w:val="auto"/>
                      <w:sz w:val="21"/>
                      <w:szCs w:val="21"/>
                      <w:highlight w:val="none"/>
                      <w:lang w:val="en-US" w:eastAsia="zh-CN"/>
                    </w:rPr>
                    <w:t>15（无量纲）</w:t>
                  </w:r>
                </w:p>
              </w:tc>
            </w:tr>
            <w:tr w14:paraId="5032D8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 w:type="pct"/>
                <w:trHeight w:val="302" w:hRule="atLeast"/>
              </w:trPr>
              <w:tc>
                <w:tcPr>
                  <w:tcW w:w="1116" w:type="pct"/>
                  <w:gridSpan w:val="2"/>
                  <w:noWrap w:val="0"/>
                  <w:vAlign w:val="center"/>
                </w:tcPr>
                <w:p w14:paraId="27DFCFA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排放形式</w:t>
                  </w:r>
                </w:p>
              </w:tc>
              <w:tc>
                <w:tcPr>
                  <w:tcW w:w="1885" w:type="pct"/>
                  <w:gridSpan w:val="3"/>
                  <w:noWrap w:val="0"/>
                  <w:vAlign w:val="center"/>
                </w:tcPr>
                <w:p w14:paraId="65594DD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有组织</w:t>
                  </w:r>
                </w:p>
              </w:tc>
              <w:tc>
                <w:tcPr>
                  <w:tcW w:w="1996" w:type="pct"/>
                  <w:gridSpan w:val="3"/>
                  <w:noWrap w:val="0"/>
                  <w:vAlign w:val="center"/>
                </w:tcPr>
                <w:p w14:paraId="4D9B33C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无组织</w:t>
                  </w:r>
                </w:p>
              </w:tc>
            </w:tr>
            <w:tr w14:paraId="50FF76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9" w:hRule="atLeast"/>
              </w:trPr>
              <w:tc>
                <w:tcPr>
                  <w:tcW w:w="273" w:type="pct"/>
                  <w:vMerge w:val="restart"/>
                  <w:noWrap w:val="0"/>
                  <w:vAlign w:val="center"/>
                </w:tcPr>
                <w:p w14:paraId="4A3B64E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治理</w:t>
                  </w:r>
                </w:p>
                <w:p w14:paraId="49B65DD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设施</w:t>
                  </w:r>
                </w:p>
              </w:tc>
              <w:tc>
                <w:tcPr>
                  <w:tcW w:w="842" w:type="pct"/>
                  <w:noWrap w:val="0"/>
                  <w:vAlign w:val="center"/>
                </w:tcPr>
                <w:p w14:paraId="3EFDF5C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治理工艺</w:t>
                  </w:r>
                </w:p>
              </w:tc>
              <w:tc>
                <w:tcPr>
                  <w:tcW w:w="1885" w:type="pct"/>
                  <w:gridSpan w:val="3"/>
                  <w:noWrap w:val="0"/>
                  <w:vAlign w:val="center"/>
                </w:tcPr>
                <w:p w14:paraId="1553021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bidi="en-US"/>
                    </w:rPr>
                  </w:pPr>
                  <w:r>
                    <w:rPr>
                      <w:rFonts w:hint="default" w:ascii="Times New Roman" w:hAnsi="Times New Roman" w:eastAsia="宋体" w:cs="Times New Roman"/>
                      <w:color w:val="auto"/>
                      <w:sz w:val="21"/>
                      <w:szCs w:val="21"/>
                      <w:highlight w:val="none"/>
                      <w:lang w:val="en-US" w:eastAsia="zh-CN"/>
                    </w:rPr>
                    <w:t>二级活性炭吸附</w:t>
                  </w:r>
                </w:p>
              </w:tc>
              <w:tc>
                <w:tcPr>
                  <w:tcW w:w="1997" w:type="pct"/>
                  <w:gridSpan w:val="4"/>
                  <w:noWrap w:val="0"/>
                  <w:vAlign w:val="center"/>
                </w:tcPr>
                <w:p w14:paraId="5CC77BF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车间密闭</w:t>
                  </w:r>
                </w:p>
              </w:tc>
            </w:tr>
            <w:tr w14:paraId="51BA9D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273" w:type="pct"/>
                  <w:vMerge w:val="continue"/>
                  <w:noWrap w:val="0"/>
                  <w:vAlign w:val="center"/>
                </w:tcPr>
                <w:p w14:paraId="3BCA349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842" w:type="pct"/>
                  <w:noWrap w:val="0"/>
                  <w:vAlign w:val="center"/>
                </w:tcPr>
                <w:p w14:paraId="7F9AE7A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处理能力(m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rPr>
                    <w:t>/h)</w:t>
                  </w:r>
                </w:p>
              </w:tc>
              <w:tc>
                <w:tcPr>
                  <w:tcW w:w="1885" w:type="pct"/>
                  <w:gridSpan w:val="3"/>
                  <w:noWrap w:val="0"/>
                  <w:vAlign w:val="center"/>
                </w:tcPr>
                <w:p w14:paraId="7C4F92D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bidi="en-US"/>
                    </w:rPr>
                  </w:pPr>
                  <w:r>
                    <w:rPr>
                      <w:rFonts w:hint="default" w:cs="Times New Roman"/>
                      <w:color w:val="auto"/>
                      <w:sz w:val="21"/>
                      <w:szCs w:val="21"/>
                      <w:highlight w:val="none"/>
                      <w:lang w:val="en-US" w:eastAsia="zh-CN"/>
                    </w:rPr>
                    <w:t>30439</w:t>
                  </w:r>
                </w:p>
              </w:tc>
              <w:tc>
                <w:tcPr>
                  <w:tcW w:w="1997" w:type="pct"/>
                  <w:gridSpan w:val="4"/>
                  <w:noWrap w:val="0"/>
                  <w:vAlign w:val="center"/>
                </w:tcPr>
                <w:p w14:paraId="5287F38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r>
            <w:tr w14:paraId="1AF9D2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2" w:hRule="atLeast"/>
              </w:trPr>
              <w:tc>
                <w:tcPr>
                  <w:tcW w:w="273" w:type="pct"/>
                  <w:vMerge w:val="continue"/>
                  <w:noWrap w:val="0"/>
                  <w:vAlign w:val="center"/>
                </w:tcPr>
                <w:p w14:paraId="2CA9905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842" w:type="pct"/>
                  <w:noWrap w:val="0"/>
                  <w:vAlign w:val="center"/>
                </w:tcPr>
                <w:p w14:paraId="262B045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收集效率(%)</w:t>
                  </w:r>
                </w:p>
              </w:tc>
              <w:tc>
                <w:tcPr>
                  <w:tcW w:w="1885" w:type="pct"/>
                  <w:gridSpan w:val="3"/>
                  <w:noWrap w:val="0"/>
                  <w:vAlign w:val="center"/>
                </w:tcPr>
                <w:p w14:paraId="698653B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bidi="en-US"/>
                    </w:rPr>
                  </w:pPr>
                  <w:r>
                    <w:rPr>
                      <w:rFonts w:hint="default" w:ascii="Times New Roman" w:hAnsi="Times New Roman" w:eastAsia="宋体" w:cs="Times New Roman"/>
                      <w:color w:val="auto"/>
                      <w:sz w:val="21"/>
                      <w:szCs w:val="21"/>
                      <w:highlight w:val="none"/>
                      <w:lang w:val="en-US" w:eastAsia="zh-CN"/>
                    </w:rPr>
                    <w:t>90</w:t>
                  </w:r>
                </w:p>
              </w:tc>
              <w:tc>
                <w:tcPr>
                  <w:tcW w:w="1997" w:type="pct"/>
                  <w:gridSpan w:val="4"/>
                  <w:noWrap w:val="0"/>
                  <w:vAlign w:val="center"/>
                </w:tcPr>
                <w:p w14:paraId="0C72B35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r>
            <w:tr w14:paraId="6390B5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2" w:hRule="atLeast"/>
              </w:trPr>
              <w:tc>
                <w:tcPr>
                  <w:tcW w:w="273" w:type="pct"/>
                  <w:vMerge w:val="continue"/>
                  <w:noWrap w:val="0"/>
                  <w:vAlign w:val="center"/>
                </w:tcPr>
                <w:p w14:paraId="2A7801B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842" w:type="pct"/>
                  <w:noWrap w:val="0"/>
                  <w:vAlign w:val="center"/>
                </w:tcPr>
                <w:p w14:paraId="167DA62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去除率(%)</w:t>
                  </w:r>
                </w:p>
              </w:tc>
              <w:tc>
                <w:tcPr>
                  <w:tcW w:w="1885" w:type="pct"/>
                  <w:gridSpan w:val="3"/>
                  <w:noWrap w:val="0"/>
                  <w:vAlign w:val="center"/>
                </w:tcPr>
                <w:p w14:paraId="444A98B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bidi="en-US"/>
                    </w:rPr>
                  </w:pPr>
                  <w:r>
                    <w:rPr>
                      <w:rFonts w:hint="default" w:cs="Times New Roman"/>
                      <w:color w:val="auto"/>
                      <w:sz w:val="21"/>
                      <w:szCs w:val="21"/>
                      <w:highlight w:val="none"/>
                      <w:lang w:val="en-US" w:eastAsia="zh-CN"/>
                    </w:rPr>
                    <w:t>77.6</w:t>
                  </w:r>
                </w:p>
              </w:tc>
              <w:tc>
                <w:tcPr>
                  <w:tcW w:w="1997" w:type="pct"/>
                  <w:gridSpan w:val="4"/>
                  <w:noWrap w:val="0"/>
                  <w:vAlign w:val="center"/>
                </w:tcPr>
                <w:p w14:paraId="2E60DA9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r>
            <w:tr w14:paraId="0CD66C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2" w:hRule="atLeast"/>
              </w:trPr>
              <w:tc>
                <w:tcPr>
                  <w:tcW w:w="273" w:type="pct"/>
                  <w:vMerge w:val="continue"/>
                  <w:noWrap w:val="0"/>
                  <w:vAlign w:val="center"/>
                </w:tcPr>
                <w:p w14:paraId="5C6B331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842" w:type="pct"/>
                  <w:noWrap w:val="0"/>
                  <w:vAlign w:val="center"/>
                </w:tcPr>
                <w:p w14:paraId="5334A43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cs="Times New Roman"/>
                      <w:color w:val="auto"/>
                      <w:sz w:val="21"/>
                      <w:szCs w:val="21"/>
                      <w:highlight w:val="none"/>
                      <w:lang w:eastAsia="zh-CN"/>
                    </w:rPr>
                    <w:t>年工作时间（</w:t>
                  </w:r>
                  <w:r>
                    <w:rPr>
                      <w:rFonts w:hint="default" w:cs="Times New Roman"/>
                      <w:color w:val="auto"/>
                      <w:sz w:val="21"/>
                      <w:szCs w:val="21"/>
                      <w:highlight w:val="none"/>
                      <w:lang w:val="en-US" w:eastAsia="zh-CN"/>
                    </w:rPr>
                    <w:t>h/a）</w:t>
                  </w:r>
                </w:p>
              </w:tc>
              <w:tc>
                <w:tcPr>
                  <w:tcW w:w="1885" w:type="pct"/>
                  <w:gridSpan w:val="3"/>
                  <w:noWrap w:val="0"/>
                  <w:vAlign w:val="center"/>
                </w:tcPr>
                <w:p w14:paraId="60B6C6C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cs="Times New Roman"/>
                      <w:color w:val="auto"/>
                      <w:sz w:val="21"/>
                      <w:szCs w:val="21"/>
                      <w:highlight w:val="none"/>
                      <w:lang w:val="en-US" w:eastAsia="zh-CN"/>
                    </w:rPr>
                    <w:t>7200</w:t>
                  </w:r>
                </w:p>
              </w:tc>
              <w:tc>
                <w:tcPr>
                  <w:tcW w:w="1997" w:type="pct"/>
                  <w:gridSpan w:val="4"/>
                  <w:noWrap w:val="0"/>
                  <w:vAlign w:val="center"/>
                </w:tcPr>
                <w:p w14:paraId="41EB7D4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cs="Times New Roman"/>
                      <w:color w:val="auto"/>
                      <w:sz w:val="21"/>
                      <w:szCs w:val="21"/>
                      <w:highlight w:val="none"/>
                      <w:lang w:val="en-US" w:eastAsia="zh-CN"/>
                    </w:rPr>
                    <w:t>/</w:t>
                  </w:r>
                </w:p>
              </w:tc>
            </w:tr>
            <w:tr w14:paraId="3A7304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2" w:hRule="atLeast"/>
              </w:trPr>
              <w:tc>
                <w:tcPr>
                  <w:tcW w:w="273" w:type="pct"/>
                  <w:vMerge w:val="continue"/>
                  <w:noWrap w:val="0"/>
                  <w:vAlign w:val="center"/>
                </w:tcPr>
                <w:p w14:paraId="5496444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842" w:type="pct"/>
                  <w:noWrap w:val="0"/>
                  <w:vAlign w:val="center"/>
                </w:tcPr>
                <w:p w14:paraId="12F47D6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是否可行技术</w:t>
                  </w:r>
                </w:p>
              </w:tc>
              <w:tc>
                <w:tcPr>
                  <w:tcW w:w="1885" w:type="pct"/>
                  <w:gridSpan w:val="3"/>
                  <w:noWrap w:val="0"/>
                  <w:vAlign w:val="center"/>
                </w:tcPr>
                <w:p w14:paraId="180AFA4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bidi="en-US"/>
                    </w:rPr>
                  </w:pPr>
                  <w:r>
                    <w:rPr>
                      <w:rFonts w:hint="default" w:ascii="Times New Roman" w:hAnsi="Times New Roman" w:eastAsia="宋体" w:cs="Times New Roman"/>
                      <w:color w:val="auto"/>
                      <w:sz w:val="21"/>
                      <w:szCs w:val="21"/>
                      <w:highlight w:val="none"/>
                      <w:lang w:val="en-US" w:eastAsia="zh-CN"/>
                    </w:rPr>
                    <w:t>是</w:t>
                  </w:r>
                </w:p>
              </w:tc>
              <w:tc>
                <w:tcPr>
                  <w:tcW w:w="1997" w:type="pct"/>
                  <w:gridSpan w:val="4"/>
                  <w:noWrap w:val="0"/>
                  <w:vAlign w:val="center"/>
                </w:tcPr>
                <w:p w14:paraId="6ADC4E4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是</w:t>
                  </w:r>
                </w:p>
              </w:tc>
            </w:tr>
            <w:tr w14:paraId="1E6FB6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0" w:hRule="atLeast"/>
              </w:trPr>
              <w:tc>
                <w:tcPr>
                  <w:tcW w:w="273" w:type="pct"/>
                  <w:vMerge w:val="restart"/>
                  <w:noWrap w:val="0"/>
                  <w:vAlign w:val="center"/>
                </w:tcPr>
                <w:p w14:paraId="76502DB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污染物排放情况</w:t>
                  </w:r>
                </w:p>
              </w:tc>
              <w:tc>
                <w:tcPr>
                  <w:tcW w:w="842" w:type="pct"/>
                  <w:noWrap w:val="0"/>
                  <w:vAlign w:val="center"/>
                </w:tcPr>
                <w:p w14:paraId="7A45225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排放浓度(mg/m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rPr>
                    <w:t>)</w:t>
                  </w:r>
                </w:p>
              </w:tc>
              <w:tc>
                <w:tcPr>
                  <w:tcW w:w="672" w:type="pct"/>
                  <w:noWrap w:val="0"/>
                  <w:vAlign w:val="center"/>
                </w:tcPr>
                <w:p w14:paraId="4DE82BB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bidi="en-US"/>
                    </w:rPr>
                  </w:pPr>
                  <w:r>
                    <w:rPr>
                      <w:rFonts w:hint="default" w:cs="Times New Roman"/>
                      <w:color w:val="auto"/>
                      <w:sz w:val="21"/>
                      <w:szCs w:val="21"/>
                      <w:highlight w:val="none"/>
                      <w:lang w:val="en-US" w:eastAsia="zh-CN" w:bidi="en-US"/>
                    </w:rPr>
                    <w:t>2.195</w:t>
                  </w:r>
                </w:p>
              </w:tc>
              <w:tc>
                <w:tcPr>
                  <w:tcW w:w="611" w:type="pct"/>
                  <w:noWrap w:val="0"/>
                  <w:vAlign w:val="center"/>
                </w:tcPr>
                <w:p w14:paraId="2868BE2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cs="Times New Roman"/>
                      <w:color w:val="auto"/>
                      <w:sz w:val="21"/>
                      <w:szCs w:val="21"/>
                      <w:highlight w:val="none"/>
                      <w:lang w:val="en-US" w:eastAsia="zh-CN"/>
                    </w:rPr>
                    <w:t>6.30</w:t>
                  </w:r>
                  <w:r>
                    <w:rPr>
                      <w:rFonts w:hint="default" w:ascii="Times New Roman" w:hAnsi="Times New Roman" w:eastAsia="宋体" w:cs="Times New Roman"/>
                      <w:color w:val="auto"/>
                      <w:sz w:val="21"/>
                      <w:szCs w:val="21"/>
                      <w:highlight w:val="none"/>
                      <w:lang w:val="en-US" w:eastAsia="zh-CN"/>
                    </w:rPr>
                    <w:t>×10</w:t>
                  </w:r>
                  <w:r>
                    <w:rPr>
                      <w:rFonts w:hint="default" w:ascii="Times New Roman" w:hAnsi="Times New Roman" w:eastAsia="宋体" w:cs="Times New Roman"/>
                      <w:color w:val="auto"/>
                      <w:sz w:val="21"/>
                      <w:szCs w:val="21"/>
                      <w:highlight w:val="none"/>
                      <w:vertAlign w:val="superscript"/>
                      <w:lang w:val="en-US" w:eastAsia="zh-CN"/>
                    </w:rPr>
                    <w:t>-4</w:t>
                  </w:r>
                </w:p>
              </w:tc>
              <w:tc>
                <w:tcPr>
                  <w:tcW w:w="602" w:type="pct"/>
                  <w:shd w:val="clear" w:color="auto" w:fill="auto"/>
                  <w:noWrap w:val="0"/>
                  <w:vAlign w:val="center"/>
                </w:tcPr>
                <w:p w14:paraId="721CC68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100（无量纲）</w:t>
                  </w:r>
                </w:p>
              </w:tc>
              <w:tc>
                <w:tcPr>
                  <w:tcW w:w="813" w:type="pct"/>
                  <w:noWrap w:val="0"/>
                  <w:vAlign w:val="center"/>
                </w:tcPr>
                <w:p w14:paraId="0270723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w:t>
                  </w:r>
                </w:p>
              </w:tc>
              <w:tc>
                <w:tcPr>
                  <w:tcW w:w="575" w:type="pct"/>
                  <w:noWrap w:val="0"/>
                  <w:vAlign w:val="center"/>
                </w:tcPr>
                <w:p w14:paraId="0A311C4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w:t>
                  </w:r>
                </w:p>
              </w:tc>
              <w:tc>
                <w:tcPr>
                  <w:tcW w:w="608" w:type="pct"/>
                  <w:gridSpan w:val="2"/>
                  <w:noWrap w:val="0"/>
                  <w:vAlign w:val="center"/>
                </w:tcPr>
                <w:p w14:paraId="5AA890C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cs="Times New Roman"/>
                      <w:color w:val="auto"/>
                      <w:sz w:val="21"/>
                      <w:szCs w:val="21"/>
                      <w:highlight w:val="none"/>
                      <w:lang w:val="en-US" w:eastAsia="zh-CN"/>
                    </w:rPr>
                    <w:t>15（无量纲）</w:t>
                  </w:r>
                </w:p>
              </w:tc>
            </w:tr>
            <w:tr w14:paraId="1DC558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2" w:hRule="atLeast"/>
              </w:trPr>
              <w:tc>
                <w:tcPr>
                  <w:tcW w:w="273" w:type="pct"/>
                  <w:vMerge w:val="continue"/>
                  <w:noWrap w:val="0"/>
                  <w:vAlign w:val="center"/>
                </w:tcPr>
                <w:p w14:paraId="515BDF3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842" w:type="pct"/>
                  <w:noWrap w:val="0"/>
                  <w:vAlign w:val="center"/>
                </w:tcPr>
                <w:p w14:paraId="69735FA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排放速率(kg/h)</w:t>
                  </w:r>
                </w:p>
              </w:tc>
              <w:tc>
                <w:tcPr>
                  <w:tcW w:w="672" w:type="pct"/>
                  <w:noWrap w:val="0"/>
                  <w:vAlign w:val="center"/>
                </w:tcPr>
                <w:p w14:paraId="4707214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en-US"/>
                    </w:rPr>
                  </w:pPr>
                  <w:r>
                    <w:rPr>
                      <w:rFonts w:hint="default" w:cs="Times New Roman"/>
                      <w:color w:val="auto"/>
                      <w:kern w:val="2"/>
                      <w:sz w:val="21"/>
                      <w:szCs w:val="21"/>
                      <w:highlight w:val="none"/>
                      <w:lang w:val="en-US" w:eastAsia="zh-CN" w:bidi="en-US"/>
                    </w:rPr>
                    <w:t>0.067</w:t>
                  </w:r>
                </w:p>
              </w:tc>
              <w:tc>
                <w:tcPr>
                  <w:tcW w:w="611" w:type="pct"/>
                  <w:noWrap w:val="0"/>
                  <w:vAlign w:val="center"/>
                </w:tcPr>
                <w:p w14:paraId="18E6339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cs="Times New Roman"/>
                      <w:color w:val="auto"/>
                      <w:sz w:val="21"/>
                      <w:szCs w:val="21"/>
                      <w:highlight w:val="none"/>
                      <w:lang w:val="en-US" w:eastAsia="zh-CN"/>
                    </w:rPr>
                    <w:t>1.92</w:t>
                  </w:r>
                  <w:r>
                    <w:rPr>
                      <w:rFonts w:hint="default" w:ascii="Times New Roman" w:hAnsi="Times New Roman" w:eastAsia="宋体" w:cs="Times New Roman"/>
                      <w:color w:val="auto"/>
                      <w:sz w:val="21"/>
                      <w:szCs w:val="21"/>
                      <w:highlight w:val="none"/>
                      <w:lang w:val="en-US" w:eastAsia="zh-CN"/>
                    </w:rPr>
                    <w:t>×10</w:t>
                  </w:r>
                  <w:r>
                    <w:rPr>
                      <w:rFonts w:hint="default" w:ascii="Times New Roman" w:hAnsi="Times New Roman" w:eastAsia="宋体" w:cs="Times New Roman"/>
                      <w:color w:val="auto"/>
                      <w:sz w:val="21"/>
                      <w:szCs w:val="21"/>
                      <w:highlight w:val="none"/>
                      <w:vertAlign w:val="superscript"/>
                      <w:lang w:val="en-US" w:eastAsia="zh-CN"/>
                    </w:rPr>
                    <w:t>-</w:t>
                  </w:r>
                  <w:r>
                    <w:rPr>
                      <w:rFonts w:hint="default" w:cs="Times New Roman"/>
                      <w:color w:val="auto"/>
                      <w:sz w:val="21"/>
                      <w:szCs w:val="21"/>
                      <w:highlight w:val="none"/>
                      <w:vertAlign w:val="superscript"/>
                      <w:lang w:val="en-US" w:eastAsia="zh-CN"/>
                    </w:rPr>
                    <w:t>5</w:t>
                  </w:r>
                </w:p>
              </w:tc>
              <w:tc>
                <w:tcPr>
                  <w:tcW w:w="602" w:type="pct"/>
                  <w:shd w:val="clear" w:color="auto" w:fill="auto"/>
                  <w:noWrap w:val="0"/>
                  <w:vAlign w:val="center"/>
                </w:tcPr>
                <w:p w14:paraId="7E6ED90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w:t>
                  </w:r>
                </w:p>
              </w:tc>
              <w:tc>
                <w:tcPr>
                  <w:tcW w:w="813" w:type="pct"/>
                  <w:noWrap w:val="0"/>
                  <w:vAlign w:val="center"/>
                </w:tcPr>
                <w:p w14:paraId="5185B3B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cs="Times New Roman"/>
                      <w:color w:val="auto"/>
                      <w:sz w:val="21"/>
                      <w:szCs w:val="21"/>
                      <w:highlight w:val="none"/>
                      <w:lang w:val="en-US" w:eastAsia="zh-CN"/>
                    </w:rPr>
                    <w:t>0.033</w:t>
                  </w:r>
                </w:p>
              </w:tc>
              <w:tc>
                <w:tcPr>
                  <w:tcW w:w="575" w:type="pct"/>
                  <w:noWrap w:val="0"/>
                  <w:vAlign w:val="center"/>
                </w:tcPr>
                <w:p w14:paraId="615F6AF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9.51×10</w:t>
                  </w:r>
                  <w:r>
                    <w:rPr>
                      <w:rFonts w:hint="default" w:ascii="Times New Roman" w:hAnsi="Times New Roman" w:eastAsia="宋体" w:cs="Times New Roman"/>
                      <w:color w:val="auto"/>
                      <w:sz w:val="21"/>
                      <w:szCs w:val="21"/>
                      <w:highlight w:val="none"/>
                      <w:vertAlign w:val="superscript"/>
                      <w:lang w:val="en-US" w:eastAsia="zh-CN"/>
                    </w:rPr>
                    <w:t>-6</w:t>
                  </w:r>
                </w:p>
              </w:tc>
              <w:tc>
                <w:tcPr>
                  <w:tcW w:w="608" w:type="pct"/>
                  <w:gridSpan w:val="2"/>
                  <w:noWrap w:val="0"/>
                  <w:vAlign w:val="center"/>
                </w:tcPr>
                <w:p w14:paraId="09E049C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cs="Times New Roman"/>
                      <w:color w:val="auto"/>
                      <w:sz w:val="21"/>
                      <w:szCs w:val="21"/>
                      <w:highlight w:val="none"/>
                      <w:lang w:val="en-US" w:eastAsia="zh-CN"/>
                    </w:rPr>
                    <w:t>/</w:t>
                  </w:r>
                </w:p>
              </w:tc>
            </w:tr>
            <w:tr w14:paraId="45BBC9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5" w:hRule="atLeast"/>
              </w:trPr>
              <w:tc>
                <w:tcPr>
                  <w:tcW w:w="273" w:type="pct"/>
                  <w:vMerge w:val="continue"/>
                  <w:noWrap w:val="0"/>
                  <w:vAlign w:val="center"/>
                </w:tcPr>
                <w:p w14:paraId="1524B03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842" w:type="pct"/>
                  <w:noWrap w:val="0"/>
                  <w:vAlign w:val="center"/>
                </w:tcPr>
                <w:p w14:paraId="61377F0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排放量(t/a)</w:t>
                  </w:r>
                </w:p>
              </w:tc>
              <w:tc>
                <w:tcPr>
                  <w:tcW w:w="672" w:type="pct"/>
                  <w:noWrap w:val="0"/>
                  <w:vAlign w:val="center"/>
                </w:tcPr>
                <w:p w14:paraId="4850A23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en-US"/>
                    </w:rPr>
                  </w:pPr>
                  <w:r>
                    <w:rPr>
                      <w:rFonts w:hint="default" w:cs="Times New Roman"/>
                      <w:color w:val="auto"/>
                      <w:kern w:val="2"/>
                      <w:sz w:val="21"/>
                      <w:szCs w:val="21"/>
                      <w:highlight w:val="none"/>
                      <w:lang w:val="en-US" w:eastAsia="zh-CN" w:bidi="en-US"/>
                    </w:rPr>
                    <w:t>0.481</w:t>
                  </w:r>
                </w:p>
              </w:tc>
              <w:tc>
                <w:tcPr>
                  <w:tcW w:w="611" w:type="pct"/>
                  <w:noWrap w:val="0"/>
                  <w:vAlign w:val="center"/>
                </w:tcPr>
                <w:p w14:paraId="26241C4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cs="Times New Roman"/>
                      <w:color w:val="auto"/>
                      <w:sz w:val="21"/>
                      <w:szCs w:val="21"/>
                      <w:highlight w:val="none"/>
                      <w:lang w:val="en-US" w:eastAsia="zh-CN"/>
                    </w:rPr>
                    <w:t>1.38</w:t>
                  </w:r>
                  <w:r>
                    <w:rPr>
                      <w:rFonts w:hint="default" w:ascii="Times New Roman" w:hAnsi="Times New Roman" w:eastAsia="宋体" w:cs="Times New Roman"/>
                      <w:color w:val="auto"/>
                      <w:sz w:val="21"/>
                      <w:szCs w:val="21"/>
                      <w:highlight w:val="none"/>
                      <w:lang w:val="en-US" w:eastAsia="zh-CN"/>
                    </w:rPr>
                    <w:t>×10</w:t>
                  </w:r>
                  <w:r>
                    <w:rPr>
                      <w:rFonts w:hint="default" w:ascii="Times New Roman" w:hAnsi="Times New Roman" w:eastAsia="宋体" w:cs="Times New Roman"/>
                      <w:color w:val="auto"/>
                      <w:sz w:val="21"/>
                      <w:szCs w:val="21"/>
                      <w:highlight w:val="none"/>
                      <w:vertAlign w:val="superscript"/>
                      <w:lang w:val="en-US" w:eastAsia="zh-CN"/>
                    </w:rPr>
                    <w:t>-</w:t>
                  </w:r>
                  <w:r>
                    <w:rPr>
                      <w:rFonts w:hint="default" w:cs="Times New Roman"/>
                      <w:color w:val="auto"/>
                      <w:sz w:val="21"/>
                      <w:szCs w:val="21"/>
                      <w:highlight w:val="none"/>
                      <w:vertAlign w:val="superscript"/>
                      <w:lang w:val="en-US" w:eastAsia="zh-CN"/>
                    </w:rPr>
                    <w:t>4</w:t>
                  </w:r>
                </w:p>
              </w:tc>
              <w:tc>
                <w:tcPr>
                  <w:tcW w:w="602" w:type="pct"/>
                  <w:shd w:val="clear" w:color="auto" w:fill="auto"/>
                  <w:noWrap w:val="0"/>
                  <w:vAlign w:val="center"/>
                </w:tcPr>
                <w:p w14:paraId="1C0D079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w:t>
                  </w:r>
                </w:p>
              </w:tc>
              <w:tc>
                <w:tcPr>
                  <w:tcW w:w="813" w:type="pct"/>
                  <w:noWrap w:val="0"/>
                  <w:vAlign w:val="center"/>
                </w:tcPr>
                <w:p w14:paraId="103FC64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cs="Times New Roman"/>
                      <w:color w:val="auto"/>
                      <w:sz w:val="21"/>
                      <w:szCs w:val="21"/>
                      <w:highlight w:val="none"/>
                      <w:lang w:val="en-US" w:eastAsia="zh-CN"/>
                    </w:rPr>
                    <w:t>0.239</w:t>
                  </w:r>
                </w:p>
              </w:tc>
              <w:tc>
                <w:tcPr>
                  <w:tcW w:w="575" w:type="pct"/>
                  <w:noWrap w:val="0"/>
                  <w:vAlign w:val="center"/>
                </w:tcPr>
                <w:p w14:paraId="4C41B05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6.85×10</w:t>
                  </w:r>
                  <w:r>
                    <w:rPr>
                      <w:rFonts w:hint="default" w:ascii="Times New Roman" w:hAnsi="Times New Roman" w:eastAsia="宋体" w:cs="Times New Roman"/>
                      <w:color w:val="auto"/>
                      <w:sz w:val="21"/>
                      <w:szCs w:val="21"/>
                      <w:highlight w:val="none"/>
                      <w:vertAlign w:val="superscript"/>
                      <w:lang w:val="en-US" w:eastAsia="zh-CN"/>
                    </w:rPr>
                    <w:t>-5</w:t>
                  </w:r>
                </w:p>
              </w:tc>
              <w:tc>
                <w:tcPr>
                  <w:tcW w:w="608" w:type="pct"/>
                  <w:gridSpan w:val="2"/>
                  <w:noWrap w:val="0"/>
                  <w:vAlign w:val="center"/>
                </w:tcPr>
                <w:p w14:paraId="75167AA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cs="Times New Roman"/>
                      <w:color w:val="auto"/>
                      <w:sz w:val="21"/>
                      <w:szCs w:val="21"/>
                      <w:highlight w:val="none"/>
                      <w:lang w:val="en-US" w:eastAsia="zh-CN"/>
                    </w:rPr>
                    <w:t>/</w:t>
                  </w:r>
                </w:p>
              </w:tc>
            </w:tr>
            <w:tr w14:paraId="4EEA5E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2" w:hRule="atLeast"/>
              </w:trPr>
              <w:tc>
                <w:tcPr>
                  <w:tcW w:w="273" w:type="pct"/>
                  <w:vMerge w:val="restart"/>
                  <w:noWrap w:val="0"/>
                  <w:vAlign w:val="center"/>
                </w:tcPr>
                <w:p w14:paraId="4C48FB1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排放口基本情况</w:t>
                  </w:r>
                </w:p>
              </w:tc>
              <w:tc>
                <w:tcPr>
                  <w:tcW w:w="842" w:type="pct"/>
                  <w:noWrap w:val="0"/>
                  <w:vAlign w:val="center"/>
                </w:tcPr>
                <w:p w14:paraId="4F2B6B8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排气筒高度(m)</w:t>
                  </w:r>
                </w:p>
              </w:tc>
              <w:tc>
                <w:tcPr>
                  <w:tcW w:w="1885" w:type="pct"/>
                  <w:gridSpan w:val="3"/>
                  <w:noWrap w:val="0"/>
                  <w:vAlign w:val="center"/>
                </w:tcPr>
                <w:p w14:paraId="7AA398C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bidi="en-US"/>
                    </w:rPr>
                  </w:pPr>
                  <w:r>
                    <w:rPr>
                      <w:rFonts w:hint="default" w:ascii="Times New Roman" w:hAnsi="Times New Roman" w:eastAsia="宋体" w:cs="Times New Roman"/>
                      <w:color w:val="auto"/>
                      <w:sz w:val="21"/>
                      <w:szCs w:val="21"/>
                      <w:highlight w:val="none"/>
                      <w:lang w:val="en-US" w:eastAsia="zh-CN"/>
                    </w:rPr>
                    <w:t>15</w:t>
                  </w:r>
                </w:p>
              </w:tc>
              <w:tc>
                <w:tcPr>
                  <w:tcW w:w="1997" w:type="pct"/>
                  <w:gridSpan w:val="4"/>
                  <w:noWrap w:val="0"/>
                  <w:vAlign w:val="center"/>
                </w:tcPr>
                <w:p w14:paraId="78653D7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w:t>
                  </w:r>
                </w:p>
              </w:tc>
            </w:tr>
            <w:tr w14:paraId="7D863D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2" w:hRule="atLeast"/>
              </w:trPr>
              <w:tc>
                <w:tcPr>
                  <w:tcW w:w="273" w:type="pct"/>
                  <w:vMerge w:val="continue"/>
                  <w:noWrap w:val="0"/>
                  <w:vAlign w:val="center"/>
                </w:tcPr>
                <w:p w14:paraId="1314C47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842" w:type="pct"/>
                  <w:noWrap w:val="0"/>
                  <w:vAlign w:val="center"/>
                </w:tcPr>
                <w:p w14:paraId="356B6DD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排气筒内径(m)</w:t>
                  </w:r>
                </w:p>
              </w:tc>
              <w:tc>
                <w:tcPr>
                  <w:tcW w:w="1885" w:type="pct"/>
                  <w:gridSpan w:val="3"/>
                  <w:noWrap w:val="0"/>
                  <w:vAlign w:val="center"/>
                </w:tcPr>
                <w:p w14:paraId="2B6AEEC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en-US"/>
                    </w:rPr>
                  </w:pPr>
                  <w:r>
                    <w:rPr>
                      <w:rFonts w:hint="default" w:cs="Times New Roman"/>
                      <w:color w:val="auto"/>
                      <w:sz w:val="21"/>
                      <w:szCs w:val="21"/>
                      <w:highlight w:val="none"/>
                      <w:lang w:val="en-US" w:eastAsia="zh-CN"/>
                    </w:rPr>
                    <w:t>0.85</w:t>
                  </w:r>
                </w:p>
              </w:tc>
              <w:tc>
                <w:tcPr>
                  <w:tcW w:w="1997" w:type="pct"/>
                  <w:gridSpan w:val="4"/>
                  <w:noWrap w:val="0"/>
                  <w:vAlign w:val="center"/>
                </w:tcPr>
                <w:p w14:paraId="7EFE973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w:t>
                  </w:r>
                </w:p>
              </w:tc>
            </w:tr>
            <w:tr w14:paraId="516F61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273" w:type="pct"/>
                  <w:vMerge w:val="continue"/>
                  <w:noWrap w:val="0"/>
                  <w:vAlign w:val="center"/>
                </w:tcPr>
                <w:p w14:paraId="71A269C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842" w:type="pct"/>
                  <w:noWrap w:val="0"/>
                  <w:vAlign w:val="center"/>
                </w:tcPr>
                <w:p w14:paraId="4D1DC03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eastAsia="zh-CN"/>
                    </w:rPr>
                    <w:t>烟气流速（</w:t>
                  </w:r>
                  <w:r>
                    <w:rPr>
                      <w:rFonts w:hint="default" w:ascii="Times New Roman" w:hAnsi="Times New Roman" w:eastAsia="宋体" w:cs="Times New Roman"/>
                      <w:color w:val="auto"/>
                      <w:sz w:val="21"/>
                      <w:szCs w:val="21"/>
                      <w:highlight w:val="none"/>
                      <w:lang w:val="en-US" w:eastAsia="zh-CN"/>
                    </w:rPr>
                    <w:t>m/s</w:t>
                  </w:r>
                  <w:r>
                    <w:rPr>
                      <w:rFonts w:hint="default" w:ascii="Times New Roman" w:hAnsi="Times New Roman" w:eastAsia="宋体" w:cs="Times New Roman"/>
                      <w:color w:val="auto"/>
                      <w:sz w:val="21"/>
                      <w:szCs w:val="21"/>
                      <w:highlight w:val="none"/>
                      <w:lang w:eastAsia="zh-CN"/>
                    </w:rPr>
                    <w:t>）</w:t>
                  </w:r>
                </w:p>
              </w:tc>
              <w:tc>
                <w:tcPr>
                  <w:tcW w:w="1885" w:type="pct"/>
                  <w:gridSpan w:val="3"/>
                  <w:noWrap w:val="0"/>
                  <w:vAlign w:val="center"/>
                </w:tcPr>
                <w:p w14:paraId="5E7BE61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en-US"/>
                    </w:rPr>
                  </w:pPr>
                  <w:r>
                    <w:rPr>
                      <w:rFonts w:hint="default" w:cs="Times New Roman"/>
                      <w:color w:val="auto"/>
                      <w:sz w:val="21"/>
                      <w:szCs w:val="21"/>
                      <w:highlight w:val="none"/>
                      <w:lang w:val="en-US" w:eastAsia="zh-CN"/>
                    </w:rPr>
                    <w:t>14.9</w:t>
                  </w:r>
                </w:p>
              </w:tc>
              <w:tc>
                <w:tcPr>
                  <w:tcW w:w="1997" w:type="pct"/>
                  <w:gridSpan w:val="4"/>
                  <w:noWrap w:val="0"/>
                  <w:vAlign w:val="center"/>
                </w:tcPr>
                <w:p w14:paraId="3284B0A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w:t>
                  </w:r>
                </w:p>
              </w:tc>
            </w:tr>
            <w:tr w14:paraId="0477FA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2" w:hRule="atLeast"/>
              </w:trPr>
              <w:tc>
                <w:tcPr>
                  <w:tcW w:w="273" w:type="pct"/>
                  <w:vMerge w:val="continue"/>
                  <w:noWrap w:val="0"/>
                  <w:vAlign w:val="center"/>
                </w:tcPr>
                <w:p w14:paraId="2742CAB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842" w:type="pct"/>
                  <w:noWrap w:val="0"/>
                  <w:vAlign w:val="center"/>
                </w:tcPr>
                <w:p w14:paraId="3852905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温度(℃)</w:t>
                  </w:r>
                </w:p>
              </w:tc>
              <w:tc>
                <w:tcPr>
                  <w:tcW w:w="1885" w:type="pct"/>
                  <w:gridSpan w:val="3"/>
                  <w:noWrap w:val="0"/>
                  <w:vAlign w:val="center"/>
                </w:tcPr>
                <w:p w14:paraId="4D34140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bidi="en-US"/>
                    </w:rPr>
                  </w:pPr>
                  <w:r>
                    <w:rPr>
                      <w:rFonts w:hint="default" w:ascii="Times New Roman" w:hAnsi="Times New Roman" w:eastAsia="宋体" w:cs="Times New Roman"/>
                      <w:color w:val="auto"/>
                      <w:sz w:val="21"/>
                      <w:szCs w:val="21"/>
                      <w:highlight w:val="none"/>
                      <w:lang w:val="en-US" w:eastAsia="zh-CN"/>
                    </w:rPr>
                    <w:t>常温</w:t>
                  </w:r>
                </w:p>
              </w:tc>
              <w:tc>
                <w:tcPr>
                  <w:tcW w:w="1997" w:type="pct"/>
                  <w:gridSpan w:val="4"/>
                  <w:noWrap w:val="0"/>
                  <w:vAlign w:val="center"/>
                </w:tcPr>
                <w:p w14:paraId="79926DB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w:t>
                  </w:r>
                </w:p>
              </w:tc>
            </w:tr>
            <w:tr w14:paraId="5A960D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2" w:hRule="atLeast"/>
              </w:trPr>
              <w:tc>
                <w:tcPr>
                  <w:tcW w:w="273" w:type="pct"/>
                  <w:vMerge w:val="continue"/>
                  <w:noWrap w:val="0"/>
                  <w:vAlign w:val="center"/>
                </w:tcPr>
                <w:p w14:paraId="40F3884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842" w:type="pct"/>
                  <w:noWrap w:val="0"/>
                  <w:vAlign w:val="center"/>
                </w:tcPr>
                <w:p w14:paraId="3727D57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编号及名称</w:t>
                  </w:r>
                </w:p>
              </w:tc>
              <w:tc>
                <w:tcPr>
                  <w:tcW w:w="1885" w:type="pct"/>
                  <w:gridSpan w:val="3"/>
                  <w:noWrap w:val="0"/>
                  <w:vAlign w:val="center"/>
                </w:tcPr>
                <w:p w14:paraId="3640F87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bidi="en-US"/>
                    </w:rPr>
                  </w:pPr>
                  <w:r>
                    <w:rPr>
                      <w:rFonts w:hint="default" w:ascii="Times New Roman" w:hAnsi="Times New Roman" w:eastAsia="宋体" w:cs="Times New Roman"/>
                      <w:color w:val="auto"/>
                      <w:sz w:val="21"/>
                      <w:szCs w:val="21"/>
                      <w:highlight w:val="none"/>
                      <w:lang w:val="en-US" w:eastAsia="zh-CN"/>
                    </w:rPr>
                    <w:t>DA001</w:t>
                  </w:r>
                </w:p>
              </w:tc>
              <w:tc>
                <w:tcPr>
                  <w:tcW w:w="1997" w:type="pct"/>
                  <w:gridSpan w:val="4"/>
                  <w:noWrap w:val="0"/>
                  <w:vAlign w:val="center"/>
                </w:tcPr>
                <w:p w14:paraId="5CD4A03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w:t>
                  </w:r>
                </w:p>
              </w:tc>
            </w:tr>
            <w:tr w14:paraId="1F7A07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2" w:hRule="atLeast"/>
              </w:trPr>
              <w:tc>
                <w:tcPr>
                  <w:tcW w:w="273" w:type="pct"/>
                  <w:vMerge w:val="continue"/>
                  <w:noWrap w:val="0"/>
                  <w:vAlign w:val="center"/>
                </w:tcPr>
                <w:p w14:paraId="7443171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842" w:type="pct"/>
                  <w:noWrap w:val="0"/>
                  <w:vAlign w:val="center"/>
                </w:tcPr>
                <w:p w14:paraId="5DB3BB6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类型</w:t>
                  </w:r>
                </w:p>
              </w:tc>
              <w:tc>
                <w:tcPr>
                  <w:tcW w:w="1885" w:type="pct"/>
                  <w:gridSpan w:val="3"/>
                  <w:noWrap w:val="0"/>
                  <w:vAlign w:val="center"/>
                </w:tcPr>
                <w:p w14:paraId="0D1857C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bidi="en-US"/>
                    </w:rPr>
                  </w:pPr>
                  <w:r>
                    <w:rPr>
                      <w:rFonts w:hint="default" w:ascii="Times New Roman" w:hAnsi="Times New Roman" w:eastAsia="宋体" w:cs="Times New Roman"/>
                      <w:color w:val="auto"/>
                      <w:sz w:val="21"/>
                      <w:szCs w:val="21"/>
                      <w:highlight w:val="none"/>
                      <w:lang w:val="en-US" w:eastAsia="zh-CN"/>
                    </w:rPr>
                    <w:t>一般排放口</w:t>
                  </w:r>
                </w:p>
              </w:tc>
              <w:tc>
                <w:tcPr>
                  <w:tcW w:w="1997" w:type="pct"/>
                  <w:gridSpan w:val="4"/>
                  <w:noWrap w:val="0"/>
                  <w:vAlign w:val="center"/>
                </w:tcPr>
                <w:p w14:paraId="1A49477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w:t>
                  </w:r>
                </w:p>
              </w:tc>
            </w:tr>
            <w:tr w14:paraId="1B3EF5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2" w:hRule="atLeast"/>
              </w:trPr>
              <w:tc>
                <w:tcPr>
                  <w:tcW w:w="273" w:type="pct"/>
                  <w:vMerge w:val="continue"/>
                  <w:noWrap w:val="0"/>
                  <w:vAlign w:val="center"/>
                </w:tcPr>
                <w:p w14:paraId="290AE29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842" w:type="pct"/>
                  <w:noWrap w:val="0"/>
                  <w:vAlign w:val="center"/>
                </w:tcPr>
                <w:p w14:paraId="7126ECC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地理坐标</w:t>
                  </w:r>
                </w:p>
              </w:tc>
              <w:tc>
                <w:tcPr>
                  <w:tcW w:w="1885" w:type="pct"/>
                  <w:gridSpan w:val="3"/>
                  <w:noWrap w:val="0"/>
                  <w:vAlign w:val="center"/>
                </w:tcPr>
                <w:p w14:paraId="7E1A491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rPr>
                    <w:t>N</w:t>
                  </w:r>
                  <w:r>
                    <w:rPr>
                      <w:rFonts w:hint="default" w:cs="Times New Roman"/>
                      <w:color w:val="auto"/>
                      <w:highlight w:val="none"/>
                      <w:lang w:val="en-US" w:eastAsia="zh-CN"/>
                    </w:rPr>
                    <w:t>38.338337</w:t>
                  </w:r>
                  <w:r>
                    <w:rPr>
                      <w:rFonts w:hint="default" w:ascii="Times New Roman" w:hAnsi="Times New Roman" w:cs="Times New Roman"/>
                      <w:color w:val="auto"/>
                      <w:highlight w:val="none"/>
                      <w:lang w:val="en-US" w:eastAsia="zh-CN"/>
                    </w:rPr>
                    <w:t>°</w:t>
                  </w:r>
                </w:p>
                <w:p w14:paraId="5DE4CB2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E</w:t>
                  </w:r>
                  <w:r>
                    <w:rPr>
                      <w:rFonts w:hint="default" w:cs="Times New Roman"/>
                      <w:color w:val="auto"/>
                      <w:highlight w:val="none"/>
                      <w:lang w:val="en-US" w:eastAsia="zh-CN"/>
                    </w:rPr>
                    <w:t>117.525433</w:t>
                  </w:r>
                  <w:r>
                    <w:rPr>
                      <w:rFonts w:hint="default" w:ascii="Times New Roman" w:hAnsi="Times New Roman" w:cs="Times New Roman"/>
                      <w:color w:val="auto"/>
                      <w:highlight w:val="none"/>
                      <w:lang w:val="en-US" w:eastAsia="zh-CN"/>
                    </w:rPr>
                    <w:t>°</w:t>
                  </w:r>
                </w:p>
              </w:tc>
              <w:tc>
                <w:tcPr>
                  <w:tcW w:w="1997" w:type="pct"/>
                  <w:gridSpan w:val="4"/>
                  <w:noWrap w:val="0"/>
                  <w:vAlign w:val="center"/>
                </w:tcPr>
                <w:p w14:paraId="152771A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r>
            <w:tr w14:paraId="6F0ADF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43" w:hRule="atLeast"/>
              </w:trPr>
              <w:tc>
                <w:tcPr>
                  <w:tcW w:w="273" w:type="pct"/>
                  <w:vMerge w:val="restart"/>
                  <w:noWrap w:val="0"/>
                  <w:vAlign w:val="center"/>
                </w:tcPr>
                <w:p w14:paraId="097AF4D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排放</w:t>
                  </w:r>
                </w:p>
                <w:p w14:paraId="2EB3EA4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w:t>
                  </w:r>
                </w:p>
              </w:tc>
              <w:tc>
                <w:tcPr>
                  <w:tcW w:w="842" w:type="pct"/>
                  <w:noWrap w:val="0"/>
                  <w:vAlign w:val="center"/>
                </w:tcPr>
                <w:p w14:paraId="328E43F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标准名称</w:t>
                  </w:r>
                </w:p>
              </w:tc>
              <w:tc>
                <w:tcPr>
                  <w:tcW w:w="672" w:type="pct"/>
                  <w:noWrap w:val="0"/>
                  <w:vAlign w:val="center"/>
                </w:tcPr>
                <w:p w14:paraId="391E0FD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《合成树脂工业污染物排放标准》（GB31572-2015</w:t>
                  </w:r>
                  <w:r>
                    <w:rPr>
                      <w:rFonts w:hint="default" w:ascii="Times New Roman" w:hAnsi="Times New Roman" w:eastAsia="宋体" w:cs="Times New Roman"/>
                      <w:color w:val="auto"/>
                      <w:sz w:val="21"/>
                      <w:szCs w:val="21"/>
                      <w:highlight w:val="none"/>
                      <w:lang w:val="en-US" w:eastAsia="zh-CN"/>
                    </w:rPr>
                    <w:t>，含2024修改单</w:t>
                  </w:r>
                  <w:r>
                    <w:rPr>
                      <w:rFonts w:hint="default" w:ascii="Times New Roman" w:hAnsi="Times New Roman" w:eastAsia="宋体" w:cs="Times New Roman"/>
                      <w:color w:val="auto"/>
                      <w:sz w:val="21"/>
                      <w:szCs w:val="21"/>
                      <w:highlight w:val="none"/>
                    </w:rPr>
                    <w:t>）表5大气污染物特别排放限值</w:t>
                  </w:r>
                  <w:r>
                    <w:rPr>
                      <w:rFonts w:hint="default"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lang w:val="en-US" w:eastAsia="zh-CN"/>
                    </w:rPr>
                    <w:t>《工业企业挥发性有机物排放控制标准》（DB13/2322-20</w:t>
                  </w:r>
                  <w:r>
                    <w:rPr>
                      <w:rFonts w:hint="default" w:cs="Times New Roman"/>
                      <w:color w:val="auto"/>
                      <w:sz w:val="21"/>
                      <w:szCs w:val="21"/>
                      <w:highlight w:val="none"/>
                      <w:lang w:val="en-US" w:eastAsia="zh-CN"/>
                    </w:rPr>
                    <w:t>25</w:t>
                  </w:r>
                  <w:r>
                    <w:rPr>
                      <w:rFonts w:hint="default" w:ascii="Times New Roman" w:hAnsi="Times New Roman" w:eastAsia="宋体" w:cs="Times New Roman"/>
                      <w:color w:val="auto"/>
                      <w:sz w:val="21"/>
                      <w:szCs w:val="21"/>
                      <w:highlight w:val="none"/>
                      <w:lang w:val="en-US" w:eastAsia="zh-CN"/>
                    </w:rPr>
                    <w:t>）表1中</w:t>
                  </w:r>
                  <w:r>
                    <w:rPr>
                      <w:rFonts w:hint="default" w:cs="Times New Roman"/>
                      <w:color w:val="auto"/>
                      <w:sz w:val="21"/>
                      <w:szCs w:val="21"/>
                      <w:highlight w:val="none"/>
                      <w:lang w:val="en-US" w:eastAsia="zh-CN"/>
                    </w:rPr>
                    <w:t>塑料制品制造行业</w:t>
                  </w:r>
                  <w:r>
                    <w:rPr>
                      <w:rFonts w:hint="default" w:ascii="Times New Roman" w:hAnsi="Times New Roman" w:eastAsia="宋体" w:cs="Times New Roman"/>
                      <w:color w:val="auto"/>
                      <w:sz w:val="21"/>
                      <w:szCs w:val="21"/>
                      <w:highlight w:val="none"/>
                      <w:lang w:val="en-US" w:eastAsia="zh-CN"/>
                    </w:rPr>
                    <w:t>排放限值要求</w:t>
                  </w:r>
                  <w:r>
                    <w:rPr>
                      <w:rFonts w:hint="default" w:cs="Times New Roman"/>
                      <w:color w:val="auto"/>
                      <w:sz w:val="21"/>
                      <w:szCs w:val="21"/>
                      <w:highlight w:val="none"/>
                      <w:lang w:val="en-US" w:eastAsia="zh-CN"/>
                    </w:rPr>
                    <w:t>、《印刷工业挥发性有机物排放标准》（DB13/6188-2025）表1中排放限值要求</w:t>
                  </w:r>
                </w:p>
              </w:tc>
              <w:tc>
                <w:tcPr>
                  <w:tcW w:w="611" w:type="pct"/>
                  <w:noWrap w:val="0"/>
                  <w:vAlign w:val="center"/>
                </w:tcPr>
                <w:p w14:paraId="392A0CB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《合成树脂工业污染物排放标准》（GB31572-2015</w:t>
                  </w:r>
                  <w:r>
                    <w:rPr>
                      <w:rFonts w:hint="default" w:ascii="Times New Roman" w:hAnsi="Times New Roman" w:eastAsia="宋体" w:cs="Times New Roman"/>
                      <w:color w:val="auto"/>
                      <w:sz w:val="21"/>
                      <w:szCs w:val="21"/>
                      <w:highlight w:val="none"/>
                      <w:lang w:val="en-US" w:eastAsia="zh-CN"/>
                    </w:rPr>
                    <w:t>，含2024修改单</w:t>
                  </w:r>
                  <w:r>
                    <w:rPr>
                      <w:rFonts w:hint="default" w:ascii="Times New Roman" w:hAnsi="Times New Roman" w:eastAsia="宋体" w:cs="Times New Roman"/>
                      <w:color w:val="auto"/>
                      <w:sz w:val="21"/>
                      <w:szCs w:val="21"/>
                      <w:highlight w:val="none"/>
                    </w:rPr>
                    <w:t>）表5大气污染物特别排放限值</w:t>
                  </w:r>
                </w:p>
              </w:tc>
              <w:tc>
                <w:tcPr>
                  <w:tcW w:w="602" w:type="pct"/>
                  <w:noWrap w:val="0"/>
                  <w:vAlign w:val="center"/>
                </w:tcPr>
                <w:p w14:paraId="4CD555D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《恶臭污染物排放标准》（GB 14554-93）表2中标准</w:t>
                  </w:r>
                </w:p>
              </w:tc>
              <w:tc>
                <w:tcPr>
                  <w:tcW w:w="813" w:type="pct"/>
                  <w:noWrap w:val="0"/>
                  <w:vAlign w:val="center"/>
                </w:tcPr>
                <w:p w14:paraId="781D61F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《合成树脂工业污染物排放标准》（GB31572-2015，含2024修改单）表9企业边界大气污染物浓度限值</w:t>
                  </w:r>
                  <w:r>
                    <w:rPr>
                      <w:rFonts w:hint="default"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val="en-US" w:eastAsia="zh-CN"/>
                    </w:rPr>
                    <w:t>《工业企业挥发性有机物排放控制标准》（DB13/2322-2025）表2厂区内挥发性有机物无组织排放限值</w:t>
                  </w:r>
                  <w:r>
                    <w:rPr>
                      <w:rFonts w:hint="default" w:cs="Times New Roman"/>
                      <w:color w:val="auto"/>
                      <w:sz w:val="21"/>
                      <w:szCs w:val="21"/>
                      <w:highlight w:val="none"/>
                      <w:lang w:val="en-US" w:eastAsia="zh-CN"/>
                    </w:rPr>
                    <w:t>、《印刷工业挥发性有机物排放标准》（DB13/6188-2025）表2厂区内挥发性有机物无组织排放限值</w:t>
                  </w:r>
                </w:p>
              </w:tc>
              <w:tc>
                <w:tcPr>
                  <w:tcW w:w="575" w:type="pct"/>
                  <w:noWrap w:val="0"/>
                  <w:vAlign w:val="center"/>
                </w:tcPr>
                <w:p w14:paraId="435E35C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cs="Times New Roman"/>
                      <w:color w:val="auto"/>
                      <w:sz w:val="21"/>
                      <w:szCs w:val="21"/>
                      <w:highlight w:val="none"/>
                      <w:lang w:val="en-US" w:eastAsia="zh-CN"/>
                    </w:rPr>
                    <w:t>/</w:t>
                  </w:r>
                </w:p>
              </w:tc>
              <w:tc>
                <w:tcPr>
                  <w:tcW w:w="608" w:type="pct"/>
                  <w:gridSpan w:val="2"/>
                  <w:noWrap w:val="0"/>
                  <w:vAlign w:val="center"/>
                </w:tcPr>
                <w:p w14:paraId="66CBEDB6">
                  <w:pPr>
                    <w:keepNext w:val="0"/>
                    <w:keepLines w:val="0"/>
                    <w:suppressLineNumbers w:val="0"/>
                    <w:adjustRightInd w:val="0"/>
                    <w:snapToGrid w:val="0"/>
                    <w:spacing w:before="0" w:beforeAutospacing="0" w:after="0" w:afterAutospacing="0"/>
                    <w:ind w:left="0" w:right="0"/>
                    <w:jc w:val="center"/>
                    <w:rPr>
                      <w:rFonts w:hint="default"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《恶臭污染物排放标准》（GB 14554-93）表1中</w:t>
                  </w:r>
                  <w:r>
                    <w:rPr>
                      <w:rFonts w:hint="default" w:ascii="Times New Roman" w:hAnsi="Times New Roman" w:eastAsia="宋体" w:cs="Times New Roman"/>
                      <w:color w:val="auto"/>
                      <w:sz w:val="21"/>
                      <w:szCs w:val="21"/>
                      <w:highlight w:val="none"/>
                      <w:lang w:val="en-US" w:eastAsia="zh-CN"/>
                    </w:rPr>
                    <w:t>二级新改扩建</w:t>
                  </w:r>
                  <w:r>
                    <w:rPr>
                      <w:rFonts w:hint="default" w:ascii="Times New Roman" w:hAnsi="Times New Roman" w:eastAsia="宋体" w:cs="Times New Roman"/>
                      <w:color w:val="auto"/>
                      <w:sz w:val="21"/>
                      <w:szCs w:val="21"/>
                      <w:highlight w:val="none"/>
                    </w:rPr>
                    <w:t>标准</w:t>
                  </w:r>
                </w:p>
              </w:tc>
            </w:tr>
            <w:tr w14:paraId="22E6A1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43" w:hRule="atLeast"/>
              </w:trPr>
              <w:tc>
                <w:tcPr>
                  <w:tcW w:w="273" w:type="pct"/>
                  <w:vMerge w:val="continue"/>
                  <w:noWrap w:val="0"/>
                  <w:vAlign w:val="center"/>
                </w:tcPr>
                <w:p w14:paraId="4351306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842" w:type="pct"/>
                  <w:noWrap w:val="0"/>
                  <w:vAlign w:val="center"/>
                </w:tcPr>
                <w:p w14:paraId="6FD02BB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eastAsia="zh-CN"/>
                    </w:rPr>
                  </w:pPr>
                  <w:r>
                    <w:rPr>
                      <w:rFonts w:hint="default" w:cs="Times New Roman"/>
                      <w:color w:val="auto"/>
                      <w:sz w:val="21"/>
                      <w:szCs w:val="21"/>
                      <w:highlight w:val="none"/>
                      <w:lang w:eastAsia="zh-CN"/>
                    </w:rPr>
                    <w:t>标准值</w:t>
                  </w:r>
                </w:p>
              </w:tc>
              <w:tc>
                <w:tcPr>
                  <w:tcW w:w="672" w:type="pct"/>
                  <w:noWrap w:val="0"/>
                  <w:vAlign w:val="center"/>
                </w:tcPr>
                <w:p w14:paraId="490661A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vertAlign w:val="superscript"/>
                      <w:lang w:val="en-US" w:eastAsia="zh-CN"/>
                    </w:rPr>
                  </w:pPr>
                  <w:r>
                    <w:rPr>
                      <w:rFonts w:hint="default" w:cs="Times New Roman"/>
                      <w:color w:val="auto"/>
                      <w:sz w:val="21"/>
                      <w:highlight w:val="none"/>
                      <w:u w:val="none" w:color="000000"/>
                      <w:lang w:val="en-US" w:eastAsia="zh-CN"/>
                    </w:rPr>
                    <w:t>3</w:t>
                  </w:r>
                  <w:r>
                    <w:rPr>
                      <w:rFonts w:hint="default" w:ascii="Times New Roman" w:hAnsi="Times New Roman" w:cs="Times New Roman"/>
                      <w:color w:val="auto"/>
                      <w:sz w:val="21"/>
                      <w:highlight w:val="none"/>
                      <w:u w:val="none" w:color="000000"/>
                      <w:lang w:val="en-US" w:eastAsia="zh-CN"/>
                    </w:rPr>
                    <w:t>0</w:t>
                  </w:r>
                  <w:r>
                    <w:rPr>
                      <w:rFonts w:hint="default" w:ascii="Times New Roman" w:hAnsi="Times New Roman" w:cs="Times New Roman"/>
                      <w:color w:val="auto"/>
                      <w:sz w:val="21"/>
                      <w:szCs w:val="21"/>
                      <w:highlight w:val="none"/>
                    </w:rPr>
                    <w:t>mg/m</w:t>
                  </w:r>
                  <w:r>
                    <w:rPr>
                      <w:rFonts w:hint="default" w:ascii="Times New Roman" w:hAnsi="Times New Roman" w:cs="Times New Roman"/>
                      <w:color w:val="auto"/>
                      <w:sz w:val="21"/>
                      <w:szCs w:val="21"/>
                      <w:highlight w:val="none"/>
                      <w:vertAlign w:val="superscript"/>
                    </w:rPr>
                    <w:t>3</w:t>
                  </w:r>
                </w:p>
              </w:tc>
              <w:tc>
                <w:tcPr>
                  <w:tcW w:w="611" w:type="pct"/>
                  <w:noWrap w:val="0"/>
                  <w:vAlign w:val="center"/>
                </w:tcPr>
                <w:p w14:paraId="5B639BA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highlight w:val="none"/>
                      <w:u w:val="none" w:color="000000"/>
                      <w:lang w:val="en-US" w:eastAsia="zh-CN"/>
                    </w:rPr>
                    <w:t>1</w:t>
                  </w:r>
                  <w:r>
                    <w:rPr>
                      <w:rFonts w:hint="default" w:ascii="Times New Roman" w:hAnsi="Times New Roman" w:cs="Times New Roman"/>
                      <w:color w:val="auto"/>
                      <w:sz w:val="21"/>
                      <w:szCs w:val="21"/>
                      <w:highlight w:val="none"/>
                    </w:rPr>
                    <w:t>mg/m</w:t>
                  </w:r>
                  <w:r>
                    <w:rPr>
                      <w:rFonts w:hint="default" w:ascii="Times New Roman" w:hAnsi="Times New Roman" w:cs="Times New Roman"/>
                      <w:color w:val="auto"/>
                      <w:sz w:val="21"/>
                      <w:szCs w:val="21"/>
                      <w:highlight w:val="none"/>
                      <w:vertAlign w:val="superscript"/>
                    </w:rPr>
                    <w:t>3</w:t>
                  </w:r>
                </w:p>
              </w:tc>
              <w:tc>
                <w:tcPr>
                  <w:tcW w:w="602" w:type="pct"/>
                  <w:noWrap w:val="0"/>
                  <w:vAlign w:val="center"/>
                </w:tcPr>
                <w:p w14:paraId="6CE5D1EB">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1"/>
                      <w:highlight w:val="none"/>
                      <w:u w:val="none" w:color="000000"/>
                      <w:lang w:val="en-US" w:eastAsia="zh-CN"/>
                    </w:rPr>
                  </w:pPr>
                  <w:r>
                    <w:rPr>
                      <w:rFonts w:hint="default" w:cs="Times New Roman"/>
                      <w:color w:val="auto"/>
                      <w:sz w:val="21"/>
                      <w:szCs w:val="21"/>
                      <w:lang w:val="en-US" w:eastAsia="zh-CN"/>
                    </w:rPr>
                    <w:t>2</w:t>
                  </w:r>
                  <w:r>
                    <w:rPr>
                      <w:rFonts w:hint="default" w:ascii="Times New Roman" w:hAnsi="Times New Roman" w:eastAsia="宋体" w:cs="Times New Roman"/>
                      <w:color w:val="auto"/>
                      <w:sz w:val="21"/>
                      <w:szCs w:val="21"/>
                      <w:lang w:val="en-US" w:eastAsia="zh-CN"/>
                    </w:rPr>
                    <w:t>000（无量纲）</w:t>
                  </w:r>
                </w:p>
              </w:tc>
              <w:tc>
                <w:tcPr>
                  <w:tcW w:w="813" w:type="pct"/>
                  <w:noWrap w:val="0"/>
                  <w:vAlign w:val="center"/>
                </w:tcPr>
                <w:p w14:paraId="100688B8">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1"/>
                      <w:szCs w:val="21"/>
                      <w:vertAlign w:val="superscript"/>
                    </w:rPr>
                  </w:pPr>
                  <w:r>
                    <w:rPr>
                      <w:rFonts w:hint="default" w:ascii="Times New Roman" w:hAnsi="Times New Roman" w:cs="Times New Roman"/>
                      <w:color w:val="auto"/>
                      <w:sz w:val="21"/>
                      <w:szCs w:val="21"/>
                      <w:lang w:val="en-US" w:eastAsia="zh-CN"/>
                    </w:rPr>
                    <w:t>厂界：</w:t>
                  </w:r>
                  <w:r>
                    <w:rPr>
                      <w:rFonts w:hint="default" w:cs="Times New Roman"/>
                      <w:color w:val="auto"/>
                      <w:sz w:val="21"/>
                      <w:szCs w:val="21"/>
                      <w:lang w:val="en-US" w:eastAsia="zh-CN"/>
                    </w:rPr>
                    <w:t>4</w:t>
                  </w:r>
                  <w:r>
                    <w:rPr>
                      <w:rFonts w:hint="default" w:ascii="Times New Roman" w:hAnsi="Times New Roman" w:cs="Times New Roman"/>
                      <w:color w:val="auto"/>
                      <w:sz w:val="21"/>
                      <w:szCs w:val="21"/>
                      <w:lang w:val="en-US" w:eastAsia="zh-CN"/>
                    </w:rPr>
                    <w:t>.0</w:t>
                  </w:r>
                  <w:r>
                    <w:rPr>
                      <w:rFonts w:hint="default" w:ascii="Times New Roman" w:hAnsi="Times New Roman" w:cs="Times New Roman"/>
                      <w:color w:val="auto"/>
                      <w:sz w:val="21"/>
                      <w:szCs w:val="21"/>
                    </w:rPr>
                    <w:t>mg/m</w:t>
                  </w:r>
                  <w:r>
                    <w:rPr>
                      <w:rFonts w:hint="default" w:ascii="Times New Roman" w:hAnsi="Times New Roman" w:cs="Times New Roman"/>
                      <w:color w:val="auto"/>
                      <w:sz w:val="21"/>
                      <w:szCs w:val="21"/>
                      <w:vertAlign w:val="superscript"/>
                    </w:rPr>
                    <w:t>3</w:t>
                  </w:r>
                </w:p>
                <w:p w14:paraId="4ACD1B7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cs="Times New Roman"/>
                      <w:color w:val="auto"/>
                      <w:sz w:val="21"/>
                      <w:szCs w:val="21"/>
                      <w:highlight w:val="none"/>
                      <w:lang w:eastAsia="zh-CN"/>
                    </w:rPr>
                    <w:t>厂房外</w:t>
                  </w:r>
                  <w:r>
                    <w:rPr>
                      <w:rFonts w:hint="default" w:ascii="Times New Roman" w:hAnsi="Times New Roman" w:eastAsia="宋体" w:cs="Times New Roman"/>
                      <w:color w:val="auto"/>
                      <w:sz w:val="21"/>
                      <w:szCs w:val="21"/>
                      <w:highlight w:val="none"/>
                    </w:rPr>
                    <w:t>监控点处1h平均浓度值</w:t>
                  </w:r>
                  <w:r>
                    <w:rPr>
                      <w:rFonts w:hint="default" w:cs="Times New Roman"/>
                      <w:color w:val="auto"/>
                      <w:sz w:val="21"/>
                      <w:szCs w:val="21"/>
                      <w:highlight w:val="none"/>
                      <w:lang w:val="en-US" w:eastAsia="zh-CN"/>
                    </w:rPr>
                    <w:t>2.0</w:t>
                  </w:r>
                  <w:r>
                    <w:rPr>
                      <w:rFonts w:hint="default" w:ascii="Times New Roman" w:hAnsi="Times New Roman" w:eastAsia="宋体" w:cs="Times New Roman"/>
                      <w:color w:val="auto"/>
                      <w:sz w:val="21"/>
                      <w:szCs w:val="21"/>
                      <w:highlight w:val="none"/>
                      <w:lang w:val="en-US" w:eastAsia="zh-CN"/>
                    </w:rPr>
                    <w:t xml:space="preserve"> </w:t>
                  </w:r>
                  <w:r>
                    <w:rPr>
                      <w:rFonts w:hint="default" w:ascii="Times New Roman" w:hAnsi="Times New Roman" w:eastAsia="宋体" w:cs="Times New Roman"/>
                      <w:color w:val="auto"/>
                      <w:sz w:val="21"/>
                      <w:szCs w:val="21"/>
                      <w:highlight w:val="none"/>
                    </w:rPr>
                    <w:t>mg/m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rPr>
                    <w:t>；</w:t>
                  </w:r>
                </w:p>
                <w:p w14:paraId="0E7AA99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任意一次浓度值</w:t>
                  </w:r>
                  <w:r>
                    <w:rPr>
                      <w:rFonts w:hint="default" w:cs="Times New Roman"/>
                      <w:color w:val="auto"/>
                      <w:sz w:val="21"/>
                      <w:szCs w:val="21"/>
                      <w:highlight w:val="none"/>
                      <w:lang w:val="en-US" w:eastAsia="zh-CN"/>
                    </w:rPr>
                    <w:t>1</w:t>
                  </w:r>
                  <w:r>
                    <w:rPr>
                      <w:rFonts w:hint="default" w:ascii="Times New Roman" w:hAnsi="Times New Roman" w:eastAsia="宋体" w:cs="Times New Roman"/>
                      <w:color w:val="auto"/>
                      <w:sz w:val="21"/>
                      <w:szCs w:val="21"/>
                      <w:highlight w:val="none"/>
                    </w:rPr>
                    <w:t>0</w:t>
                  </w:r>
                  <w:r>
                    <w:rPr>
                      <w:rFonts w:hint="default" w:cs="Times New Roman"/>
                      <w:color w:val="auto"/>
                      <w:sz w:val="21"/>
                      <w:szCs w:val="21"/>
                      <w:highlight w:val="none"/>
                      <w:lang w:val="en-US" w:eastAsia="zh-CN"/>
                    </w:rPr>
                    <w:t>.0</w:t>
                  </w:r>
                  <w:r>
                    <w:rPr>
                      <w:rFonts w:hint="default" w:ascii="Times New Roman" w:hAnsi="Times New Roman" w:eastAsia="宋体" w:cs="Times New Roman"/>
                      <w:color w:val="auto"/>
                      <w:sz w:val="21"/>
                      <w:szCs w:val="21"/>
                      <w:highlight w:val="none"/>
                      <w:lang w:val="en-US" w:eastAsia="zh-CN"/>
                    </w:rPr>
                    <w:t xml:space="preserve"> </w:t>
                  </w:r>
                  <w:r>
                    <w:rPr>
                      <w:rFonts w:hint="default" w:ascii="Times New Roman" w:hAnsi="Times New Roman" w:eastAsia="宋体" w:cs="Times New Roman"/>
                      <w:color w:val="auto"/>
                      <w:sz w:val="21"/>
                      <w:szCs w:val="21"/>
                      <w:highlight w:val="none"/>
                    </w:rPr>
                    <w:t>mg/m</w:t>
                  </w:r>
                  <w:r>
                    <w:rPr>
                      <w:rFonts w:hint="default" w:ascii="Times New Roman" w:hAnsi="Times New Roman" w:eastAsia="宋体" w:cs="Times New Roman"/>
                      <w:color w:val="auto"/>
                      <w:sz w:val="21"/>
                      <w:szCs w:val="21"/>
                      <w:highlight w:val="none"/>
                      <w:vertAlign w:val="superscript"/>
                    </w:rPr>
                    <w:t>3</w:t>
                  </w:r>
                </w:p>
              </w:tc>
              <w:tc>
                <w:tcPr>
                  <w:tcW w:w="575" w:type="pct"/>
                  <w:noWrap w:val="0"/>
                  <w:vAlign w:val="center"/>
                </w:tcPr>
                <w:p w14:paraId="2CE5E386">
                  <w:pPr>
                    <w:keepNext w:val="0"/>
                    <w:keepLines w:val="0"/>
                    <w:suppressLineNumbers w:val="0"/>
                    <w:adjustRightInd w:val="0"/>
                    <w:snapToGrid w:val="0"/>
                    <w:spacing w:before="0" w:beforeAutospacing="0" w:after="0" w:afterAutospacing="0"/>
                    <w:ind w:left="0" w:right="0"/>
                    <w:jc w:val="center"/>
                    <w:rPr>
                      <w:rFonts w:hint="default" w:cs="Times New Roman"/>
                      <w:color w:val="auto"/>
                      <w:sz w:val="21"/>
                      <w:szCs w:val="21"/>
                      <w:highlight w:val="none"/>
                      <w:lang w:val="en-US" w:eastAsia="zh-CN"/>
                    </w:rPr>
                  </w:pPr>
                  <w:r>
                    <w:rPr>
                      <w:rFonts w:hint="default" w:cs="Times New Roman"/>
                      <w:color w:val="auto"/>
                      <w:sz w:val="21"/>
                      <w:szCs w:val="21"/>
                      <w:highlight w:val="none"/>
                      <w:lang w:val="en-US" w:eastAsia="zh-CN"/>
                    </w:rPr>
                    <w:t>/</w:t>
                  </w:r>
                </w:p>
              </w:tc>
              <w:tc>
                <w:tcPr>
                  <w:tcW w:w="608" w:type="pct"/>
                  <w:gridSpan w:val="2"/>
                  <w:noWrap w:val="0"/>
                  <w:vAlign w:val="center"/>
                </w:tcPr>
                <w:p w14:paraId="43932695">
                  <w:pPr>
                    <w:keepNext w:val="0"/>
                    <w:keepLines w:val="0"/>
                    <w:suppressLineNumbers w:val="0"/>
                    <w:adjustRightInd w:val="0"/>
                    <w:snapToGrid w:val="0"/>
                    <w:spacing w:before="0" w:beforeAutospacing="0" w:after="0" w:afterAutospacing="0"/>
                    <w:ind w:left="0" w:right="0"/>
                    <w:jc w:val="center"/>
                    <w:rPr>
                      <w:rFonts w:hint="default" w:cs="Times New Roman"/>
                      <w:color w:val="auto"/>
                      <w:sz w:val="21"/>
                      <w:szCs w:val="21"/>
                      <w:highlight w:val="none"/>
                      <w:lang w:val="en-US" w:eastAsia="zh-CN"/>
                    </w:rPr>
                  </w:pPr>
                  <w:r>
                    <w:rPr>
                      <w:rFonts w:hint="default" w:ascii="Times New Roman" w:hAnsi="Times New Roman" w:eastAsia="宋体" w:cs="Times New Roman"/>
                      <w:color w:val="auto"/>
                      <w:sz w:val="21"/>
                      <w:szCs w:val="21"/>
                      <w:lang w:val="en-US" w:eastAsia="zh-CN"/>
                    </w:rPr>
                    <w:t>20（无量纲）</w:t>
                  </w:r>
                </w:p>
              </w:tc>
            </w:tr>
          </w:tbl>
          <w:p w14:paraId="1AE6658E">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240" w:lineRule="auto"/>
              <w:ind w:left="0" w:right="0" w:firstLine="422" w:firstLineChars="200"/>
              <w:jc w:val="center"/>
              <w:textAlignment w:val="auto"/>
              <w:rPr>
                <w:rFonts w:hint="default" w:ascii="Times New Roman" w:hAnsi="Times New Roman" w:eastAsia="宋体" w:cs="Times New Roman"/>
                <w:b/>
                <w:bCs/>
                <w:color w:val="000000"/>
                <w:kern w:val="0"/>
                <w:sz w:val="21"/>
                <w:szCs w:val="21"/>
                <w:lang w:val="en-US" w:eastAsia="zh-CN" w:bidi="ar-SA"/>
              </w:rPr>
            </w:pPr>
            <w:r>
              <w:rPr>
                <w:rFonts w:hint="default" w:ascii="Times New Roman" w:hAnsi="Times New Roman" w:eastAsia="宋体" w:cs="Times New Roman"/>
                <w:b/>
                <w:bCs/>
                <w:color w:val="000000"/>
                <w:kern w:val="0"/>
                <w:sz w:val="21"/>
                <w:szCs w:val="21"/>
                <w:lang w:val="en-US" w:eastAsia="zh-CN" w:bidi="ar-SA"/>
              </w:rPr>
              <w:t>DA002非洁净车间印刷、复合、固化工序与洁净车间水性油墨配制、擦拭废气污染物产排及治理情况一览表</w:t>
            </w:r>
          </w:p>
          <w:tbl>
            <w:tblPr>
              <w:tblStyle w:val="38"/>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50"/>
              <w:gridCol w:w="1386"/>
              <w:gridCol w:w="1298"/>
              <w:gridCol w:w="993"/>
              <w:gridCol w:w="764"/>
              <w:gridCol w:w="1463"/>
              <w:gridCol w:w="957"/>
              <w:gridCol w:w="908"/>
              <w:gridCol w:w="2"/>
            </w:tblGrid>
            <w:tr w14:paraId="7D5828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8" w:hRule="atLeast"/>
              </w:trPr>
              <w:tc>
                <w:tcPr>
                  <w:tcW w:w="1116" w:type="pct"/>
                  <w:gridSpan w:val="2"/>
                  <w:noWrap w:val="0"/>
                  <w:vAlign w:val="center"/>
                </w:tcPr>
                <w:p w14:paraId="6CF51C0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产排污环节名称</w:t>
                  </w:r>
                </w:p>
              </w:tc>
              <w:tc>
                <w:tcPr>
                  <w:tcW w:w="3883" w:type="pct"/>
                  <w:gridSpan w:val="7"/>
                  <w:noWrap w:val="0"/>
                  <w:vAlign w:val="center"/>
                </w:tcPr>
                <w:p w14:paraId="46B7AF0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bCs/>
                      <w:color w:val="auto"/>
                      <w:szCs w:val="21"/>
                      <w:lang w:val="en-US" w:eastAsia="zh-CN"/>
                    </w:rPr>
                    <w:t>DA002</w:t>
                  </w:r>
                  <w:r>
                    <w:rPr>
                      <w:rFonts w:hint="default" w:ascii="Times New Roman" w:hAnsi="Times New Roman" w:cs="Times New Roman"/>
                      <w:bCs/>
                      <w:color w:val="auto"/>
                      <w:szCs w:val="21"/>
                      <w:lang w:eastAsia="zh-CN"/>
                    </w:rPr>
                    <w:t>非洁净车间</w:t>
                  </w:r>
                  <w:r>
                    <w:rPr>
                      <w:rFonts w:hint="default" w:ascii="Times New Roman" w:hAnsi="Times New Roman" w:cs="Times New Roman"/>
                      <w:bCs/>
                      <w:color w:val="auto"/>
                      <w:szCs w:val="21"/>
                    </w:rPr>
                    <w:t>印刷、复合</w:t>
                  </w:r>
                  <w:r>
                    <w:rPr>
                      <w:rFonts w:hint="default" w:ascii="Times New Roman" w:hAnsi="Times New Roman" w:cs="Times New Roman"/>
                      <w:bCs/>
                      <w:color w:val="auto"/>
                      <w:szCs w:val="21"/>
                      <w:lang w:eastAsia="zh-CN"/>
                    </w:rPr>
                    <w:t>、固化</w:t>
                  </w:r>
                  <w:r>
                    <w:rPr>
                      <w:rFonts w:hint="default" w:ascii="Times New Roman" w:hAnsi="Times New Roman" w:cs="Times New Roman"/>
                      <w:bCs/>
                      <w:color w:val="auto"/>
                      <w:szCs w:val="21"/>
                    </w:rPr>
                    <w:t>工序</w:t>
                  </w:r>
                  <w:r>
                    <w:rPr>
                      <w:rFonts w:hint="default" w:cs="Times New Roman"/>
                      <w:bCs/>
                      <w:color w:val="auto"/>
                      <w:szCs w:val="21"/>
                      <w:lang w:eastAsia="zh-CN"/>
                    </w:rPr>
                    <w:t>与洁净车间水性油墨配制</w:t>
                  </w:r>
                  <w:r>
                    <w:rPr>
                      <w:rFonts w:hint="eastAsia" w:cs="Times New Roman"/>
                      <w:bCs/>
                      <w:color w:val="auto"/>
                      <w:szCs w:val="21"/>
                      <w:lang w:eastAsia="zh-CN"/>
                    </w:rPr>
                    <w:t>、擦拭</w:t>
                  </w:r>
                </w:p>
              </w:tc>
            </w:tr>
            <w:tr w14:paraId="2C672F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2" w:hRule="atLeast"/>
              </w:trPr>
              <w:tc>
                <w:tcPr>
                  <w:tcW w:w="1116" w:type="pct"/>
                  <w:gridSpan w:val="2"/>
                  <w:noWrap w:val="0"/>
                  <w:vAlign w:val="center"/>
                </w:tcPr>
                <w:p w14:paraId="5A1FBA3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污染物种类</w:t>
                  </w:r>
                </w:p>
              </w:tc>
              <w:tc>
                <w:tcPr>
                  <w:tcW w:w="789" w:type="pct"/>
                  <w:noWrap w:val="0"/>
                  <w:vAlign w:val="center"/>
                </w:tcPr>
                <w:p w14:paraId="09C4871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pacing w:val="0"/>
                      <w:position w:val="0"/>
                      <w:sz w:val="21"/>
                      <w:szCs w:val="21"/>
                      <w:highlight w:val="none"/>
                      <w:lang w:eastAsia="zh-CN"/>
                    </w:rPr>
                  </w:pPr>
                  <w:r>
                    <w:rPr>
                      <w:rFonts w:hint="default" w:ascii="Times New Roman" w:hAnsi="Times New Roman" w:eastAsia="宋体" w:cs="Times New Roman"/>
                      <w:color w:val="auto"/>
                      <w:sz w:val="21"/>
                      <w:szCs w:val="21"/>
                      <w:highlight w:val="none"/>
                      <w:lang w:val="en-US" w:eastAsia="zh-CN"/>
                    </w:rPr>
                    <w:t>非甲烷总烃</w:t>
                  </w:r>
                </w:p>
              </w:tc>
              <w:tc>
                <w:tcPr>
                  <w:tcW w:w="603" w:type="pct"/>
                  <w:noWrap w:val="0"/>
                  <w:vAlign w:val="center"/>
                </w:tcPr>
                <w:p w14:paraId="6D07366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二苯基甲烷二异氰酸酯（MDI）</w:t>
                  </w:r>
                </w:p>
              </w:tc>
              <w:tc>
                <w:tcPr>
                  <w:tcW w:w="464" w:type="pct"/>
                  <w:noWrap w:val="0"/>
                  <w:vAlign w:val="center"/>
                </w:tcPr>
                <w:p w14:paraId="2373267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cs="Times New Roman"/>
                      <w:color w:val="auto"/>
                      <w:sz w:val="21"/>
                      <w:szCs w:val="21"/>
                      <w:highlight w:val="none"/>
                      <w:lang w:val="en-US" w:eastAsia="zh-CN"/>
                    </w:rPr>
                    <w:t>臭气浓度</w:t>
                  </w:r>
                </w:p>
              </w:tc>
              <w:tc>
                <w:tcPr>
                  <w:tcW w:w="889" w:type="pct"/>
                  <w:noWrap w:val="0"/>
                  <w:vAlign w:val="center"/>
                </w:tcPr>
                <w:p w14:paraId="4911F73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pacing w:val="0"/>
                      <w:kern w:val="2"/>
                      <w:position w:val="0"/>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非甲烷总烃</w:t>
                  </w:r>
                </w:p>
              </w:tc>
              <w:tc>
                <w:tcPr>
                  <w:tcW w:w="582" w:type="pct"/>
                  <w:noWrap w:val="0"/>
                  <w:vAlign w:val="center"/>
                </w:tcPr>
                <w:p w14:paraId="6F0C38F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二苯基甲烷二异氰酸酯（MDI）</w:t>
                  </w:r>
                </w:p>
              </w:tc>
              <w:tc>
                <w:tcPr>
                  <w:tcW w:w="553" w:type="pct"/>
                  <w:gridSpan w:val="2"/>
                  <w:noWrap w:val="0"/>
                  <w:vAlign w:val="center"/>
                </w:tcPr>
                <w:p w14:paraId="072521A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cs="Times New Roman"/>
                      <w:color w:val="auto"/>
                      <w:sz w:val="21"/>
                      <w:szCs w:val="21"/>
                      <w:highlight w:val="none"/>
                      <w:lang w:val="en-US" w:eastAsia="zh-CN"/>
                    </w:rPr>
                    <w:t>臭气浓度</w:t>
                  </w:r>
                </w:p>
              </w:tc>
            </w:tr>
            <w:tr w14:paraId="5D2A10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2" w:hRule="atLeast"/>
              </w:trPr>
              <w:tc>
                <w:tcPr>
                  <w:tcW w:w="273" w:type="pct"/>
                  <w:vMerge w:val="restart"/>
                  <w:noWrap w:val="0"/>
                  <w:vAlign w:val="center"/>
                </w:tcPr>
                <w:p w14:paraId="176F65E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污染物产生情况</w:t>
                  </w:r>
                </w:p>
              </w:tc>
              <w:tc>
                <w:tcPr>
                  <w:tcW w:w="842" w:type="pct"/>
                  <w:noWrap w:val="0"/>
                  <w:vAlign w:val="center"/>
                </w:tcPr>
                <w:p w14:paraId="47DA3EA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污染物产生量(t/a)</w:t>
                  </w:r>
                </w:p>
              </w:tc>
              <w:tc>
                <w:tcPr>
                  <w:tcW w:w="789" w:type="pct"/>
                  <w:noWrap w:val="0"/>
                  <w:vAlign w:val="center"/>
                </w:tcPr>
                <w:p w14:paraId="0D99095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bidi="en-US"/>
                    </w:rPr>
                  </w:pPr>
                  <w:r>
                    <w:rPr>
                      <w:rFonts w:hint="default" w:cs="Times New Roman"/>
                      <w:color w:val="auto"/>
                      <w:sz w:val="21"/>
                      <w:szCs w:val="21"/>
                      <w:highlight w:val="none"/>
                      <w:lang w:val="en-US" w:eastAsia="zh-CN" w:bidi="en-US"/>
                    </w:rPr>
                    <w:t>1.981</w:t>
                  </w:r>
                </w:p>
              </w:tc>
              <w:tc>
                <w:tcPr>
                  <w:tcW w:w="603" w:type="pct"/>
                  <w:noWrap w:val="0"/>
                  <w:vAlign w:val="center"/>
                </w:tcPr>
                <w:p w14:paraId="0B24F76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cs="Times New Roman"/>
                      <w:color w:val="auto"/>
                      <w:sz w:val="21"/>
                      <w:szCs w:val="21"/>
                      <w:highlight w:val="none"/>
                      <w:lang w:val="en-US" w:eastAsia="zh-CN"/>
                    </w:rPr>
                    <w:t>3.</w:t>
                  </w:r>
                  <w:r>
                    <w:rPr>
                      <w:rFonts w:hint="eastAsia" w:cs="Times New Roman"/>
                      <w:color w:val="auto"/>
                      <w:sz w:val="21"/>
                      <w:szCs w:val="21"/>
                      <w:highlight w:val="none"/>
                      <w:lang w:val="en-US" w:eastAsia="zh-CN"/>
                    </w:rPr>
                    <w:t>0</w:t>
                  </w:r>
                  <w:r>
                    <w:rPr>
                      <w:rFonts w:hint="default" w:cs="Times New Roman"/>
                      <w:color w:val="auto"/>
                      <w:sz w:val="21"/>
                      <w:szCs w:val="21"/>
                      <w:highlight w:val="none"/>
                      <w:lang w:val="en-US" w:eastAsia="zh-CN"/>
                    </w:rPr>
                    <w:t>8</w:t>
                  </w:r>
                  <w:r>
                    <w:rPr>
                      <w:rFonts w:hint="default" w:ascii="Times New Roman" w:hAnsi="Times New Roman" w:eastAsia="宋体" w:cs="Times New Roman"/>
                      <w:color w:val="auto"/>
                      <w:sz w:val="21"/>
                      <w:szCs w:val="21"/>
                      <w:highlight w:val="none"/>
                      <w:lang w:val="en-US" w:eastAsia="zh-CN"/>
                    </w:rPr>
                    <w:t>×10</w:t>
                  </w:r>
                  <w:r>
                    <w:rPr>
                      <w:rFonts w:hint="default" w:ascii="Times New Roman" w:hAnsi="Times New Roman" w:eastAsia="宋体" w:cs="Times New Roman"/>
                      <w:color w:val="auto"/>
                      <w:sz w:val="21"/>
                      <w:szCs w:val="21"/>
                      <w:highlight w:val="none"/>
                      <w:vertAlign w:val="superscript"/>
                      <w:lang w:val="en-US" w:eastAsia="zh-CN"/>
                    </w:rPr>
                    <w:t>-4</w:t>
                  </w:r>
                </w:p>
              </w:tc>
              <w:tc>
                <w:tcPr>
                  <w:tcW w:w="464" w:type="pct"/>
                  <w:shd w:val="clear" w:color="auto" w:fill="auto"/>
                  <w:noWrap w:val="0"/>
                  <w:vAlign w:val="center"/>
                </w:tcPr>
                <w:p w14:paraId="5426F6AB">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cs="Times New Roman"/>
                      <w:color w:val="auto"/>
                      <w:sz w:val="21"/>
                      <w:szCs w:val="21"/>
                      <w:highlight w:val="none"/>
                      <w:lang w:val="en-US" w:eastAsia="zh-CN"/>
                    </w:rPr>
                    <w:t>/</w:t>
                  </w:r>
                </w:p>
              </w:tc>
              <w:tc>
                <w:tcPr>
                  <w:tcW w:w="889" w:type="pct"/>
                  <w:noWrap w:val="0"/>
                  <w:vAlign w:val="center"/>
                </w:tcPr>
                <w:p w14:paraId="4BC91130">
                  <w:pPr>
                    <w:keepNext w:val="0"/>
                    <w:keepLines w:val="0"/>
                    <w:suppressLineNumbers w:val="0"/>
                    <w:adjustRightInd w:val="0"/>
                    <w:snapToGrid w:val="0"/>
                    <w:spacing w:before="0" w:beforeAutospacing="0" w:after="0" w:afterAutospacing="0"/>
                    <w:ind w:left="0" w:right="0"/>
                    <w:jc w:val="center"/>
                    <w:rPr>
                      <w:rFonts w:hint="default" w:cs="Times New Roman"/>
                      <w:color w:val="auto"/>
                      <w:sz w:val="21"/>
                      <w:szCs w:val="21"/>
                      <w:highlight w:val="none"/>
                      <w:lang w:val="en-US" w:eastAsia="zh-CN"/>
                    </w:rPr>
                  </w:pPr>
                  <w:r>
                    <w:rPr>
                      <w:rFonts w:hint="default" w:cs="Times New Roman"/>
                      <w:color w:val="auto"/>
                      <w:sz w:val="21"/>
                      <w:szCs w:val="21"/>
                      <w:highlight w:val="none"/>
                      <w:lang w:val="en-US" w:eastAsia="zh-CN"/>
                    </w:rPr>
                    <w:t>0.220</w:t>
                  </w:r>
                </w:p>
              </w:tc>
              <w:tc>
                <w:tcPr>
                  <w:tcW w:w="582" w:type="pct"/>
                  <w:noWrap w:val="0"/>
                  <w:vAlign w:val="center"/>
                </w:tcPr>
                <w:p w14:paraId="25B65ED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cs="Times New Roman"/>
                      <w:color w:val="auto"/>
                      <w:sz w:val="21"/>
                      <w:szCs w:val="21"/>
                      <w:highlight w:val="none"/>
                      <w:lang w:val="en-US" w:eastAsia="zh-CN"/>
                    </w:rPr>
                    <w:t>3.42</w:t>
                  </w:r>
                  <w:r>
                    <w:rPr>
                      <w:rFonts w:hint="default" w:ascii="Times New Roman" w:hAnsi="Times New Roman" w:eastAsia="宋体" w:cs="Times New Roman"/>
                      <w:color w:val="auto"/>
                      <w:sz w:val="21"/>
                      <w:szCs w:val="21"/>
                      <w:highlight w:val="none"/>
                      <w:lang w:val="en-US" w:eastAsia="zh-CN"/>
                    </w:rPr>
                    <w:t>×10</w:t>
                  </w:r>
                  <w:r>
                    <w:rPr>
                      <w:rFonts w:hint="default" w:ascii="Times New Roman" w:hAnsi="Times New Roman" w:eastAsia="宋体" w:cs="Times New Roman"/>
                      <w:color w:val="auto"/>
                      <w:sz w:val="21"/>
                      <w:szCs w:val="21"/>
                      <w:highlight w:val="none"/>
                      <w:vertAlign w:val="superscript"/>
                      <w:lang w:val="en-US" w:eastAsia="zh-CN"/>
                    </w:rPr>
                    <w:t>-5</w:t>
                  </w:r>
                </w:p>
              </w:tc>
              <w:tc>
                <w:tcPr>
                  <w:tcW w:w="553" w:type="pct"/>
                  <w:gridSpan w:val="2"/>
                  <w:shd w:val="clear" w:color="auto" w:fill="auto"/>
                  <w:noWrap w:val="0"/>
                  <w:vAlign w:val="center"/>
                </w:tcPr>
                <w:p w14:paraId="24C6C242">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cs="Times New Roman"/>
                      <w:color w:val="auto"/>
                      <w:sz w:val="21"/>
                      <w:szCs w:val="21"/>
                      <w:highlight w:val="none"/>
                      <w:lang w:val="en-US" w:eastAsia="zh-CN"/>
                    </w:rPr>
                    <w:t>/</w:t>
                  </w:r>
                </w:p>
              </w:tc>
            </w:tr>
            <w:tr w14:paraId="4DFE23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7" w:hRule="atLeast"/>
              </w:trPr>
              <w:tc>
                <w:tcPr>
                  <w:tcW w:w="273" w:type="pct"/>
                  <w:vMerge w:val="continue"/>
                  <w:noWrap w:val="0"/>
                  <w:vAlign w:val="center"/>
                </w:tcPr>
                <w:p w14:paraId="2EA5F3E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842" w:type="pct"/>
                  <w:noWrap w:val="0"/>
                  <w:vAlign w:val="center"/>
                </w:tcPr>
                <w:p w14:paraId="438B039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产生速率（kg/h）</w:t>
                  </w:r>
                </w:p>
              </w:tc>
              <w:tc>
                <w:tcPr>
                  <w:tcW w:w="789" w:type="pct"/>
                  <w:noWrap w:val="0"/>
                  <w:vAlign w:val="center"/>
                </w:tcPr>
                <w:p w14:paraId="3FA58E1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cs="Times New Roman"/>
                      <w:color w:val="auto"/>
                      <w:sz w:val="21"/>
                      <w:szCs w:val="21"/>
                      <w:highlight w:val="none"/>
                      <w:lang w:val="en-US" w:eastAsia="zh-CN"/>
                    </w:rPr>
                    <w:t>0.275</w:t>
                  </w:r>
                </w:p>
              </w:tc>
              <w:tc>
                <w:tcPr>
                  <w:tcW w:w="603" w:type="pct"/>
                  <w:noWrap w:val="0"/>
                  <w:vAlign w:val="center"/>
                </w:tcPr>
                <w:p w14:paraId="2B33802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cs="Times New Roman"/>
                      <w:color w:val="auto"/>
                      <w:sz w:val="21"/>
                      <w:szCs w:val="21"/>
                      <w:highlight w:val="none"/>
                      <w:lang w:val="en-US" w:eastAsia="zh-CN"/>
                    </w:rPr>
                    <w:t>4.28</w:t>
                  </w:r>
                  <w:r>
                    <w:rPr>
                      <w:rFonts w:hint="default" w:ascii="Times New Roman" w:hAnsi="Times New Roman" w:eastAsia="宋体" w:cs="Times New Roman"/>
                      <w:color w:val="auto"/>
                      <w:sz w:val="21"/>
                      <w:szCs w:val="21"/>
                      <w:highlight w:val="none"/>
                      <w:lang w:val="en-US" w:eastAsia="zh-CN"/>
                    </w:rPr>
                    <w:t>×10</w:t>
                  </w:r>
                  <w:r>
                    <w:rPr>
                      <w:rFonts w:hint="default" w:ascii="Times New Roman" w:hAnsi="Times New Roman" w:eastAsia="宋体" w:cs="Times New Roman"/>
                      <w:color w:val="auto"/>
                      <w:sz w:val="21"/>
                      <w:szCs w:val="21"/>
                      <w:highlight w:val="none"/>
                      <w:vertAlign w:val="superscript"/>
                      <w:lang w:val="en-US" w:eastAsia="zh-CN"/>
                    </w:rPr>
                    <w:t>-5</w:t>
                  </w:r>
                </w:p>
              </w:tc>
              <w:tc>
                <w:tcPr>
                  <w:tcW w:w="464" w:type="pct"/>
                  <w:shd w:val="clear" w:color="auto" w:fill="auto"/>
                  <w:noWrap w:val="0"/>
                  <w:vAlign w:val="center"/>
                </w:tcPr>
                <w:p w14:paraId="1B1C84EA">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cs="Times New Roman"/>
                      <w:color w:val="auto"/>
                      <w:sz w:val="21"/>
                      <w:szCs w:val="21"/>
                      <w:highlight w:val="none"/>
                      <w:lang w:val="en-US" w:eastAsia="zh-CN"/>
                    </w:rPr>
                    <w:t>/</w:t>
                  </w:r>
                </w:p>
              </w:tc>
              <w:tc>
                <w:tcPr>
                  <w:tcW w:w="889" w:type="pct"/>
                  <w:noWrap w:val="0"/>
                  <w:vAlign w:val="center"/>
                </w:tcPr>
                <w:p w14:paraId="223B31F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cs="Times New Roman"/>
                      <w:color w:val="auto"/>
                      <w:sz w:val="21"/>
                      <w:szCs w:val="21"/>
                      <w:highlight w:val="none"/>
                      <w:lang w:val="en-US" w:eastAsia="zh-CN"/>
                    </w:rPr>
                    <w:t>0.031</w:t>
                  </w:r>
                </w:p>
              </w:tc>
              <w:tc>
                <w:tcPr>
                  <w:tcW w:w="582" w:type="pct"/>
                  <w:noWrap w:val="0"/>
                  <w:vAlign w:val="center"/>
                </w:tcPr>
                <w:p w14:paraId="4897BFA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cs="Times New Roman"/>
                      <w:color w:val="auto"/>
                      <w:sz w:val="21"/>
                      <w:szCs w:val="21"/>
                      <w:highlight w:val="none"/>
                      <w:lang w:val="en-US" w:eastAsia="zh-CN"/>
                    </w:rPr>
                    <w:t>4.76</w:t>
                  </w:r>
                  <w:r>
                    <w:rPr>
                      <w:rFonts w:hint="default" w:ascii="Times New Roman" w:hAnsi="Times New Roman" w:eastAsia="宋体" w:cs="Times New Roman"/>
                      <w:color w:val="auto"/>
                      <w:sz w:val="21"/>
                      <w:szCs w:val="21"/>
                      <w:highlight w:val="none"/>
                      <w:lang w:val="en-US" w:eastAsia="zh-CN"/>
                    </w:rPr>
                    <w:t>×10</w:t>
                  </w:r>
                  <w:r>
                    <w:rPr>
                      <w:rFonts w:hint="default" w:ascii="Times New Roman" w:hAnsi="Times New Roman" w:eastAsia="宋体" w:cs="Times New Roman"/>
                      <w:color w:val="auto"/>
                      <w:sz w:val="21"/>
                      <w:szCs w:val="21"/>
                      <w:highlight w:val="none"/>
                      <w:vertAlign w:val="superscript"/>
                      <w:lang w:val="en-US" w:eastAsia="zh-CN"/>
                    </w:rPr>
                    <w:t>-6</w:t>
                  </w:r>
                </w:p>
              </w:tc>
              <w:tc>
                <w:tcPr>
                  <w:tcW w:w="553" w:type="pct"/>
                  <w:gridSpan w:val="2"/>
                  <w:shd w:val="clear" w:color="auto" w:fill="auto"/>
                  <w:noWrap w:val="0"/>
                  <w:vAlign w:val="center"/>
                </w:tcPr>
                <w:p w14:paraId="2F611019">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cs="Times New Roman"/>
                      <w:color w:val="auto"/>
                      <w:sz w:val="21"/>
                      <w:szCs w:val="21"/>
                      <w:highlight w:val="none"/>
                      <w:lang w:val="en-US" w:eastAsia="zh-CN"/>
                    </w:rPr>
                    <w:t>/</w:t>
                  </w:r>
                </w:p>
              </w:tc>
            </w:tr>
            <w:tr w14:paraId="444212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7" w:hRule="atLeast"/>
              </w:trPr>
              <w:tc>
                <w:tcPr>
                  <w:tcW w:w="273" w:type="pct"/>
                  <w:vMerge w:val="continue"/>
                  <w:noWrap w:val="0"/>
                  <w:vAlign w:val="center"/>
                </w:tcPr>
                <w:p w14:paraId="4418433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842" w:type="pct"/>
                  <w:noWrap w:val="0"/>
                  <w:vAlign w:val="center"/>
                </w:tcPr>
                <w:p w14:paraId="13FA548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产生浓度(mg/m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rPr>
                    <w:t>)</w:t>
                  </w:r>
                </w:p>
              </w:tc>
              <w:tc>
                <w:tcPr>
                  <w:tcW w:w="789" w:type="pct"/>
                  <w:noWrap w:val="0"/>
                  <w:vAlign w:val="center"/>
                </w:tcPr>
                <w:p w14:paraId="0A3950A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bidi="en-US"/>
                    </w:rPr>
                  </w:pPr>
                  <w:r>
                    <w:rPr>
                      <w:rFonts w:hint="default" w:cs="Times New Roman"/>
                      <w:color w:val="auto"/>
                      <w:sz w:val="21"/>
                      <w:szCs w:val="21"/>
                      <w:highlight w:val="none"/>
                      <w:lang w:val="en-US" w:eastAsia="zh-CN" w:bidi="en-US"/>
                    </w:rPr>
                    <w:t>10.538</w:t>
                  </w:r>
                </w:p>
              </w:tc>
              <w:tc>
                <w:tcPr>
                  <w:tcW w:w="603" w:type="pct"/>
                  <w:noWrap w:val="0"/>
                  <w:vAlign w:val="center"/>
                </w:tcPr>
                <w:p w14:paraId="1A26D987">
                  <w:pPr>
                    <w:keepNext w:val="0"/>
                    <w:keepLines w:val="0"/>
                    <w:suppressLineNumbers w:val="0"/>
                    <w:adjustRightInd w:val="0"/>
                    <w:snapToGrid w:val="0"/>
                    <w:spacing w:before="0" w:beforeAutospacing="0" w:after="0" w:afterAutospacing="0"/>
                    <w:ind w:left="0" w:right="0"/>
                    <w:jc w:val="center"/>
                    <w:rPr>
                      <w:rFonts w:hint="default" w:cs="Times New Roman"/>
                      <w:color w:val="auto"/>
                      <w:sz w:val="21"/>
                      <w:szCs w:val="21"/>
                      <w:highlight w:val="none"/>
                      <w:lang w:val="en-US" w:eastAsia="zh-CN"/>
                    </w:rPr>
                  </w:pPr>
                  <w:r>
                    <w:rPr>
                      <w:rFonts w:hint="default" w:cs="Times New Roman"/>
                      <w:color w:val="auto"/>
                      <w:sz w:val="21"/>
                      <w:szCs w:val="21"/>
                      <w:highlight w:val="none"/>
                      <w:lang w:val="en-US" w:eastAsia="zh-CN"/>
                    </w:rPr>
                    <w:t>1.64</w:t>
                  </w:r>
                  <w:r>
                    <w:rPr>
                      <w:rFonts w:hint="default" w:ascii="Times New Roman" w:hAnsi="Times New Roman" w:eastAsia="宋体" w:cs="Times New Roman"/>
                      <w:color w:val="auto"/>
                      <w:sz w:val="21"/>
                      <w:szCs w:val="21"/>
                      <w:highlight w:val="none"/>
                      <w:lang w:val="en-US" w:eastAsia="zh-CN"/>
                    </w:rPr>
                    <w:t>×10</w:t>
                  </w:r>
                  <w:r>
                    <w:rPr>
                      <w:rFonts w:hint="default" w:ascii="Times New Roman" w:hAnsi="Times New Roman" w:eastAsia="宋体" w:cs="Times New Roman"/>
                      <w:color w:val="auto"/>
                      <w:sz w:val="21"/>
                      <w:szCs w:val="21"/>
                      <w:highlight w:val="none"/>
                      <w:vertAlign w:val="superscript"/>
                      <w:lang w:val="en-US" w:eastAsia="zh-CN"/>
                    </w:rPr>
                    <w:t>-3</w:t>
                  </w:r>
                </w:p>
              </w:tc>
              <w:tc>
                <w:tcPr>
                  <w:tcW w:w="464" w:type="pct"/>
                  <w:shd w:val="clear" w:color="auto" w:fill="auto"/>
                  <w:noWrap w:val="0"/>
                  <w:vAlign w:val="center"/>
                </w:tcPr>
                <w:p w14:paraId="5D3B07EE">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cs="Times New Roman"/>
                      <w:color w:val="auto"/>
                      <w:sz w:val="21"/>
                      <w:szCs w:val="21"/>
                      <w:highlight w:val="none"/>
                      <w:lang w:val="en-US" w:eastAsia="zh-CN"/>
                    </w:rPr>
                    <w:t>617（无量纲）</w:t>
                  </w:r>
                </w:p>
              </w:tc>
              <w:tc>
                <w:tcPr>
                  <w:tcW w:w="889" w:type="pct"/>
                  <w:noWrap w:val="0"/>
                  <w:vAlign w:val="center"/>
                </w:tcPr>
                <w:p w14:paraId="2A34994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582" w:type="pct"/>
                  <w:noWrap w:val="0"/>
                  <w:vAlign w:val="center"/>
                </w:tcPr>
                <w:p w14:paraId="5AFA6A4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553" w:type="pct"/>
                  <w:gridSpan w:val="2"/>
                  <w:shd w:val="clear" w:color="auto" w:fill="auto"/>
                  <w:noWrap w:val="0"/>
                  <w:vAlign w:val="center"/>
                </w:tcPr>
                <w:p w14:paraId="3931C4CD">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cs="Times New Roman"/>
                      <w:color w:val="auto"/>
                      <w:sz w:val="21"/>
                      <w:szCs w:val="21"/>
                      <w:highlight w:val="none"/>
                      <w:lang w:val="en-US" w:eastAsia="zh-CN"/>
                    </w:rPr>
                    <w:t>15（无量纲）</w:t>
                  </w:r>
                </w:p>
              </w:tc>
            </w:tr>
            <w:tr w14:paraId="442E5E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 w:type="pct"/>
                <w:trHeight w:val="302" w:hRule="atLeast"/>
              </w:trPr>
              <w:tc>
                <w:tcPr>
                  <w:tcW w:w="1116" w:type="pct"/>
                  <w:gridSpan w:val="2"/>
                  <w:noWrap w:val="0"/>
                  <w:vAlign w:val="center"/>
                </w:tcPr>
                <w:p w14:paraId="2CEA550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排放形式</w:t>
                  </w:r>
                </w:p>
              </w:tc>
              <w:tc>
                <w:tcPr>
                  <w:tcW w:w="1858" w:type="pct"/>
                  <w:gridSpan w:val="3"/>
                  <w:noWrap w:val="0"/>
                  <w:vAlign w:val="center"/>
                </w:tcPr>
                <w:p w14:paraId="7132A62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有组织</w:t>
                  </w:r>
                </w:p>
              </w:tc>
              <w:tc>
                <w:tcPr>
                  <w:tcW w:w="2024" w:type="pct"/>
                  <w:gridSpan w:val="3"/>
                  <w:noWrap w:val="0"/>
                  <w:vAlign w:val="center"/>
                </w:tcPr>
                <w:p w14:paraId="638C45F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无组织</w:t>
                  </w:r>
                </w:p>
              </w:tc>
            </w:tr>
            <w:tr w14:paraId="11A048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9" w:hRule="atLeast"/>
              </w:trPr>
              <w:tc>
                <w:tcPr>
                  <w:tcW w:w="273" w:type="pct"/>
                  <w:vMerge w:val="restart"/>
                  <w:noWrap w:val="0"/>
                  <w:vAlign w:val="center"/>
                </w:tcPr>
                <w:p w14:paraId="3640B33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治理</w:t>
                  </w:r>
                </w:p>
                <w:p w14:paraId="53ED993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设施</w:t>
                  </w:r>
                </w:p>
              </w:tc>
              <w:tc>
                <w:tcPr>
                  <w:tcW w:w="842" w:type="pct"/>
                  <w:noWrap w:val="0"/>
                  <w:vAlign w:val="center"/>
                </w:tcPr>
                <w:p w14:paraId="1A4DD53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治理工艺</w:t>
                  </w:r>
                </w:p>
              </w:tc>
              <w:tc>
                <w:tcPr>
                  <w:tcW w:w="1858" w:type="pct"/>
                  <w:gridSpan w:val="3"/>
                  <w:noWrap w:val="0"/>
                  <w:vAlign w:val="center"/>
                </w:tcPr>
                <w:p w14:paraId="3707A06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bidi="en-US"/>
                    </w:rPr>
                  </w:pPr>
                  <w:r>
                    <w:rPr>
                      <w:rFonts w:hint="default" w:ascii="Times New Roman" w:hAnsi="Times New Roman" w:eastAsia="宋体" w:cs="Times New Roman"/>
                      <w:color w:val="auto"/>
                      <w:sz w:val="21"/>
                      <w:szCs w:val="21"/>
                      <w:highlight w:val="none"/>
                      <w:lang w:val="en-US" w:eastAsia="zh-CN"/>
                    </w:rPr>
                    <w:t>二级活性炭吸附</w:t>
                  </w:r>
                </w:p>
              </w:tc>
              <w:tc>
                <w:tcPr>
                  <w:tcW w:w="2025" w:type="pct"/>
                  <w:gridSpan w:val="4"/>
                  <w:noWrap w:val="0"/>
                  <w:vAlign w:val="center"/>
                </w:tcPr>
                <w:p w14:paraId="4FB1312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车间密闭</w:t>
                  </w:r>
                </w:p>
              </w:tc>
            </w:tr>
            <w:tr w14:paraId="356BA9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273" w:type="pct"/>
                  <w:vMerge w:val="continue"/>
                  <w:noWrap w:val="0"/>
                  <w:vAlign w:val="center"/>
                </w:tcPr>
                <w:p w14:paraId="334CD87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842" w:type="pct"/>
                  <w:noWrap w:val="0"/>
                  <w:vAlign w:val="center"/>
                </w:tcPr>
                <w:p w14:paraId="7F1E00B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处理能力(m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rPr>
                    <w:t>/h)</w:t>
                  </w:r>
                </w:p>
              </w:tc>
              <w:tc>
                <w:tcPr>
                  <w:tcW w:w="1858" w:type="pct"/>
                  <w:gridSpan w:val="3"/>
                  <w:noWrap w:val="0"/>
                  <w:vAlign w:val="center"/>
                </w:tcPr>
                <w:p w14:paraId="13AD636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bidi="en-US"/>
                    </w:rPr>
                  </w:pPr>
                  <w:r>
                    <w:rPr>
                      <w:rFonts w:hint="default" w:cs="Times New Roman"/>
                      <w:color w:val="auto"/>
                      <w:sz w:val="21"/>
                      <w:szCs w:val="21"/>
                      <w:highlight w:val="none"/>
                      <w:lang w:val="en-US" w:eastAsia="zh-CN"/>
                    </w:rPr>
                    <w:t>26115</w:t>
                  </w:r>
                </w:p>
              </w:tc>
              <w:tc>
                <w:tcPr>
                  <w:tcW w:w="2025" w:type="pct"/>
                  <w:gridSpan w:val="4"/>
                  <w:noWrap w:val="0"/>
                  <w:vAlign w:val="center"/>
                </w:tcPr>
                <w:p w14:paraId="636C3D4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r>
            <w:tr w14:paraId="1036D8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2" w:hRule="atLeast"/>
              </w:trPr>
              <w:tc>
                <w:tcPr>
                  <w:tcW w:w="273" w:type="pct"/>
                  <w:vMerge w:val="continue"/>
                  <w:noWrap w:val="0"/>
                  <w:vAlign w:val="center"/>
                </w:tcPr>
                <w:p w14:paraId="0FB5972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842" w:type="pct"/>
                  <w:noWrap w:val="0"/>
                  <w:vAlign w:val="center"/>
                </w:tcPr>
                <w:p w14:paraId="5CFAB1C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收集效率(%)</w:t>
                  </w:r>
                </w:p>
              </w:tc>
              <w:tc>
                <w:tcPr>
                  <w:tcW w:w="1858" w:type="pct"/>
                  <w:gridSpan w:val="3"/>
                  <w:noWrap w:val="0"/>
                  <w:vAlign w:val="center"/>
                </w:tcPr>
                <w:p w14:paraId="3AD4D8B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bidi="en-US"/>
                    </w:rPr>
                  </w:pPr>
                  <w:r>
                    <w:rPr>
                      <w:rFonts w:hint="default" w:ascii="Times New Roman" w:hAnsi="Times New Roman" w:eastAsia="宋体" w:cs="Times New Roman"/>
                      <w:color w:val="auto"/>
                      <w:sz w:val="21"/>
                      <w:szCs w:val="21"/>
                      <w:highlight w:val="none"/>
                      <w:lang w:val="en-US" w:eastAsia="zh-CN"/>
                    </w:rPr>
                    <w:t>90</w:t>
                  </w:r>
                </w:p>
              </w:tc>
              <w:tc>
                <w:tcPr>
                  <w:tcW w:w="2025" w:type="pct"/>
                  <w:gridSpan w:val="4"/>
                  <w:noWrap w:val="0"/>
                  <w:vAlign w:val="center"/>
                </w:tcPr>
                <w:p w14:paraId="4174647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r>
            <w:tr w14:paraId="509DAD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2" w:hRule="atLeast"/>
              </w:trPr>
              <w:tc>
                <w:tcPr>
                  <w:tcW w:w="273" w:type="pct"/>
                  <w:vMerge w:val="continue"/>
                  <w:noWrap w:val="0"/>
                  <w:vAlign w:val="center"/>
                </w:tcPr>
                <w:p w14:paraId="21C9D04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842" w:type="pct"/>
                  <w:noWrap w:val="0"/>
                  <w:vAlign w:val="center"/>
                </w:tcPr>
                <w:p w14:paraId="47A8A0C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去除率(%)</w:t>
                  </w:r>
                </w:p>
              </w:tc>
              <w:tc>
                <w:tcPr>
                  <w:tcW w:w="1858" w:type="pct"/>
                  <w:gridSpan w:val="3"/>
                  <w:noWrap w:val="0"/>
                  <w:vAlign w:val="center"/>
                </w:tcPr>
                <w:p w14:paraId="18550CA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bidi="en-US"/>
                    </w:rPr>
                  </w:pPr>
                  <w:r>
                    <w:rPr>
                      <w:rFonts w:hint="default" w:cs="Times New Roman"/>
                      <w:color w:val="auto"/>
                      <w:sz w:val="21"/>
                      <w:szCs w:val="21"/>
                      <w:highlight w:val="none"/>
                      <w:lang w:val="en-US" w:eastAsia="zh-CN"/>
                    </w:rPr>
                    <w:t>76.9</w:t>
                  </w:r>
                </w:p>
              </w:tc>
              <w:tc>
                <w:tcPr>
                  <w:tcW w:w="2025" w:type="pct"/>
                  <w:gridSpan w:val="4"/>
                  <w:noWrap w:val="0"/>
                  <w:vAlign w:val="center"/>
                </w:tcPr>
                <w:p w14:paraId="02AB3F1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r>
            <w:tr w14:paraId="41774C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2" w:hRule="atLeast"/>
              </w:trPr>
              <w:tc>
                <w:tcPr>
                  <w:tcW w:w="273" w:type="pct"/>
                  <w:vMerge w:val="continue"/>
                  <w:noWrap w:val="0"/>
                  <w:vAlign w:val="center"/>
                </w:tcPr>
                <w:p w14:paraId="5EB34D0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842" w:type="pct"/>
                  <w:noWrap w:val="0"/>
                  <w:vAlign w:val="center"/>
                </w:tcPr>
                <w:p w14:paraId="4398CE3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cs="Times New Roman"/>
                      <w:color w:val="auto"/>
                      <w:sz w:val="21"/>
                      <w:szCs w:val="21"/>
                      <w:highlight w:val="none"/>
                      <w:lang w:eastAsia="zh-CN"/>
                    </w:rPr>
                    <w:t>年工作时间（</w:t>
                  </w:r>
                  <w:r>
                    <w:rPr>
                      <w:rFonts w:hint="default" w:cs="Times New Roman"/>
                      <w:color w:val="auto"/>
                      <w:sz w:val="21"/>
                      <w:szCs w:val="21"/>
                      <w:highlight w:val="none"/>
                      <w:lang w:val="en-US" w:eastAsia="zh-CN"/>
                    </w:rPr>
                    <w:t>h/a）</w:t>
                  </w:r>
                </w:p>
              </w:tc>
              <w:tc>
                <w:tcPr>
                  <w:tcW w:w="1858" w:type="pct"/>
                  <w:gridSpan w:val="3"/>
                  <w:noWrap w:val="0"/>
                  <w:vAlign w:val="center"/>
                </w:tcPr>
                <w:p w14:paraId="12025C3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cs="Times New Roman"/>
                      <w:color w:val="auto"/>
                      <w:sz w:val="21"/>
                      <w:szCs w:val="21"/>
                      <w:highlight w:val="none"/>
                      <w:lang w:val="en-US" w:eastAsia="zh-CN"/>
                    </w:rPr>
                    <w:t>7200</w:t>
                  </w:r>
                </w:p>
              </w:tc>
              <w:tc>
                <w:tcPr>
                  <w:tcW w:w="2025" w:type="pct"/>
                  <w:gridSpan w:val="4"/>
                  <w:noWrap w:val="0"/>
                  <w:vAlign w:val="center"/>
                </w:tcPr>
                <w:p w14:paraId="6CA0737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cs="Times New Roman"/>
                      <w:color w:val="auto"/>
                      <w:sz w:val="21"/>
                      <w:szCs w:val="21"/>
                      <w:highlight w:val="none"/>
                      <w:lang w:val="en-US" w:eastAsia="zh-CN"/>
                    </w:rPr>
                    <w:t>/</w:t>
                  </w:r>
                </w:p>
              </w:tc>
            </w:tr>
            <w:tr w14:paraId="5C1A0A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2" w:hRule="atLeast"/>
              </w:trPr>
              <w:tc>
                <w:tcPr>
                  <w:tcW w:w="273" w:type="pct"/>
                  <w:vMerge w:val="continue"/>
                  <w:noWrap w:val="0"/>
                  <w:vAlign w:val="center"/>
                </w:tcPr>
                <w:p w14:paraId="4A6A904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842" w:type="pct"/>
                  <w:noWrap w:val="0"/>
                  <w:vAlign w:val="center"/>
                </w:tcPr>
                <w:p w14:paraId="02B0996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是否可行技术</w:t>
                  </w:r>
                </w:p>
              </w:tc>
              <w:tc>
                <w:tcPr>
                  <w:tcW w:w="1858" w:type="pct"/>
                  <w:gridSpan w:val="3"/>
                  <w:noWrap w:val="0"/>
                  <w:vAlign w:val="center"/>
                </w:tcPr>
                <w:p w14:paraId="0DB370E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bidi="en-US"/>
                    </w:rPr>
                  </w:pPr>
                  <w:r>
                    <w:rPr>
                      <w:rFonts w:hint="default" w:ascii="Times New Roman" w:hAnsi="Times New Roman" w:eastAsia="宋体" w:cs="Times New Roman"/>
                      <w:color w:val="auto"/>
                      <w:sz w:val="21"/>
                      <w:szCs w:val="21"/>
                      <w:highlight w:val="none"/>
                      <w:lang w:val="en-US" w:eastAsia="zh-CN"/>
                    </w:rPr>
                    <w:t>是</w:t>
                  </w:r>
                </w:p>
              </w:tc>
              <w:tc>
                <w:tcPr>
                  <w:tcW w:w="2025" w:type="pct"/>
                  <w:gridSpan w:val="4"/>
                  <w:noWrap w:val="0"/>
                  <w:vAlign w:val="center"/>
                </w:tcPr>
                <w:p w14:paraId="4F57E52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是</w:t>
                  </w:r>
                </w:p>
              </w:tc>
            </w:tr>
            <w:tr w14:paraId="29A10F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0" w:hRule="atLeast"/>
              </w:trPr>
              <w:tc>
                <w:tcPr>
                  <w:tcW w:w="273" w:type="pct"/>
                  <w:vMerge w:val="restart"/>
                  <w:noWrap w:val="0"/>
                  <w:vAlign w:val="center"/>
                </w:tcPr>
                <w:p w14:paraId="0E56BB6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污染物排放情况</w:t>
                  </w:r>
                </w:p>
              </w:tc>
              <w:tc>
                <w:tcPr>
                  <w:tcW w:w="842" w:type="pct"/>
                  <w:noWrap w:val="0"/>
                  <w:vAlign w:val="center"/>
                </w:tcPr>
                <w:p w14:paraId="62CE32E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排放浓度(mg/m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rPr>
                    <w:t>)</w:t>
                  </w:r>
                </w:p>
              </w:tc>
              <w:tc>
                <w:tcPr>
                  <w:tcW w:w="789" w:type="pct"/>
                  <w:noWrap w:val="0"/>
                  <w:vAlign w:val="center"/>
                </w:tcPr>
                <w:p w14:paraId="01FFE60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bidi="en-US"/>
                    </w:rPr>
                  </w:pPr>
                  <w:r>
                    <w:rPr>
                      <w:rFonts w:hint="default" w:cs="Times New Roman"/>
                      <w:color w:val="auto"/>
                      <w:sz w:val="21"/>
                      <w:szCs w:val="21"/>
                      <w:highlight w:val="none"/>
                      <w:lang w:val="en-US" w:eastAsia="zh-CN" w:bidi="en-US"/>
                    </w:rPr>
                    <w:t>2.434</w:t>
                  </w:r>
                </w:p>
              </w:tc>
              <w:tc>
                <w:tcPr>
                  <w:tcW w:w="603" w:type="pct"/>
                  <w:noWrap w:val="0"/>
                  <w:vAlign w:val="center"/>
                </w:tcPr>
                <w:p w14:paraId="3C22ADA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cs="Times New Roman"/>
                      <w:color w:val="auto"/>
                      <w:sz w:val="21"/>
                      <w:szCs w:val="21"/>
                      <w:highlight w:val="none"/>
                      <w:lang w:val="en-US" w:eastAsia="zh-CN"/>
                    </w:rPr>
                    <w:t>3.79</w:t>
                  </w:r>
                  <w:r>
                    <w:rPr>
                      <w:rFonts w:hint="default" w:ascii="Times New Roman" w:hAnsi="Times New Roman" w:eastAsia="宋体" w:cs="Times New Roman"/>
                      <w:color w:val="auto"/>
                      <w:sz w:val="21"/>
                      <w:szCs w:val="21"/>
                      <w:highlight w:val="none"/>
                      <w:lang w:val="en-US" w:eastAsia="zh-CN"/>
                    </w:rPr>
                    <w:t>×10</w:t>
                  </w:r>
                  <w:r>
                    <w:rPr>
                      <w:rFonts w:hint="default" w:ascii="Times New Roman" w:hAnsi="Times New Roman" w:eastAsia="宋体" w:cs="Times New Roman"/>
                      <w:color w:val="auto"/>
                      <w:sz w:val="21"/>
                      <w:szCs w:val="21"/>
                      <w:highlight w:val="none"/>
                      <w:vertAlign w:val="superscript"/>
                      <w:lang w:val="en-US" w:eastAsia="zh-CN"/>
                    </w:rPr>
                    <w:t>-4</w:t>
                  </w:r>
                </w:p>
              </w:tc>
              <w:tc>
                <w:tcPr>
                  <w:tcW w:w="464" w:type="pct"/>
                  <w:shd w:val="clear" w:color="auto" w:fill="auto"/>
                  <w:noWrap w:val="0"/>
                  <w:vAlign w:val="center"/>
                </w:tcPr>
                <w:p w14:paraId="543A80B2">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100（无量纲）</w:t>
                  </w:r>
                </w:p>
              </w:tc>
              <w:tc>
                <w:tcPr>
                  <w:tcW w:w="889" w:type="pct"/>
                  <w:noWrap w:val="0"/>
                  <w:vAlign w:val="center"/>
                </w:tcPr>
                <w:p w14:paraId="3401FC0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w:t>
                  </w:r>
                </w:p>
              </w:tc>
              <w:tc>
                <w:tcPr>
                  <w:tcW w:w="582" w:type="pct"/>
                  <w:noWrap w:val="0"/>
                  <w:vAlign w:val="center"/>
                </w:tcPr>
                <w:p w14:paraId="6CDA6E6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553" w:type="pct"/>
                  <w:gridSpan w:val="2"/>
                  <w:shd w:val="clear" w:color="auto" w:fill="auto"/>
                  <w:noWrap w:val="0"/>
                  <w:vAlign w:val="center"/>
                </w:tcPr>
                <w:p w14:paraId="7F03D2E6">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cs="Times New Roman"/>
                      <w:color w:val="auto"/>
                      <w:sz w:val="21"/>
                      <w:szCs w:val="21"/>
                      <w:highlight w:val="none"/>
                      <w:lang w:val="en-US" w:eastAsia="zh-CN"/>
                    </w:rPr>
                    <w:t>15（无量纲）</w:t>
                  </w:r>
                </w:p>
              </w:tc>
            </w:tr>
            <w:tr w14:paraId="1391B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2" w:hRule="atLeast"/>
              </w:trPr>
              <w:tc>
                <w:tcPr>
                  <w:tcW w:w="273" w:type="pct"/>
                  <w:vMerge w:val="continue"/>
                  <w:noWrap w:val="0"/>
                  <w:vAlign w:val="center"/>
                </w:tcPr>
                <w:p w14:paraId="5B0C15B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842" w:type="pct"/>
                  <w:noWrap w:val="0"/>
                  <w:vAlign w:val="center"/>
                </w:tcPr>
                <w:p w14:paraId="06AEC40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排放速率(kg/h)</w:t>
                  </w:r>
                </w:p>
              </w:tc>
              <w:tc>
                <w:tcPr>
                  <w:tcW w:w="789" w:type="pct"/>
                  <w:noWrap w:val="0"/>
                  <w:vAlign w:val="center"/>
                </w:tcPr>
                <w:p w14:paraId="2E9E6DA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en-US"/>
                    </w:rPr>
                  </w:pPr>
                  <w:r>
                    <w:rPr>
                      <w:rFonts w:hint="default" w:cs="Times New Roman"/>
                      <w:color w:val="auto"/>
                      <w:kern w:val="2"/>
                      <w:sz w:val="21"/>
                      <w:szCs w:val="21"/>
                      <w:highlight w:val="none"/>
                      <w:lang w:val="en-US" w:eastAsia="zh-CN" w:bidi="en-US"/>
                    </w:rPr>
                    <w:t>0.064</w:t>
                  </w:r>
                </w:p>
              </w:tc>
              <w:tc>
                <w:tcPr>
                  <w:tcW w:w="603" w:type="pct"/>
                  <w:noWrap w:val="0"/>
                  <w:vAlign w:val="center"/>
                </w:tcPr>
                <w:p w14:paraId="6F98708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cs="Times New Roman"/>
                      <w:color w:val="auto"/>
                      <w:sz w:val="21"/>
                      <w:szCs w:val="21"/>
                      <w:highlight w:val="none"/>
                      <w:lang w:val="en-US" w:eastAsia="zh-CN"/>
                    </w:rPr>
                    <w:t>9.89</w:t>
                  </w:r>
                  <w:r>
                    <w:rPr>
                      <w:rFonts w:hint="default" w:ascii="Times New Roman" w:hAnsi="Times New Roman" w:eastAsia="宋体" w:cs="Times New Roman"/>
                      <w:color w:val="auto"/>
                      <w:sz w:val="21"/>
                      <w:szCs w:val="21"/>
                      <w:highlight w:val="none"/>
                      <w:lang w:val="en-US" w:eastAsia="zh-CN"/>
                    </w:rPr>
                    <w:t>×10</w:t>
                  </w:r>
                  <w:r>
                    <w:rPr>
                      <w:rFonts w:hint="default" w:ascii="Times New Roman" w:hAnsi="Times New Roman" w:eastAsia="宋体" w:cs="Times New Roman"/>
                      <w:color w:val="auto"/>
                      <w:sz w:val="21"/>
                      <w:szCs w:val="21"/>
                      <w:highlight w:val="none"/>
                      <w:vertAlign w:val="superscript"/>
                      <w:lang w:val="en-US" w:eastAsia="zh-CN"/>
                    </w:rPr>
                    <w:t>-</w:t>
                  </w:r>
                  <w:r>
                    <w:rPr>
                      <w:rFonts w:hint="default" w:cs="Times New Roman"/>
                      <w:color w:val="auto"/>
                      <w:sz w:val="21"/>
                      <w:szCs w:val="21"/>
                      <w:highlight w:val="none"/>
                      <w:vertAlign w:val="superscript"/>
                      <w:lang w:val="en-US" w:eastAsia="zh-CN"/>
                    </w:rPr>
                    <w:t>6</w:t>
                  </w:r>
                </w:p>
              </w:tc>
              <w:tc>
                <w:tcPr>
                  <w:tcW w:w="464" w:type="pct"/>
                  <w:shd w:val="clear" w:color="auto" w:fill="auto"/>
                  <w:noWrap w:val="0"/>
                  <w:vAlign w:val="center"/>
                </w:tcPr>
                <w:p w14:paraId="3C200E41">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w:t>
                  </w:r>
                </w:p>
              </w:tc>
              <w:tc>
                <w:tcPr>
                  <w:tcW w:w="889" w:type="pct"/>
                  <w:noWrap w:val="0"/>
                  <w:vAlign w:val="center"/>
                </w:tcPr>
                <w:p w14:paraId="043B788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cs="Times New Roman"/>
                      <w:color w:val="auto"/>
                      <w:kern w:val="2"/>
                      <w:sz w:val="21"/>
                      <w:szCs w:val="21"/>
                      <w:highlight w:val="none"/>
                      <w:lang w:val="en-US" w:eastAsia="zh-CN" w:bidi="ar-SA"/>
                    </w:rPr>
                    <w:t>0.031</w:t>
                  </w:r>
                </w:p>
              </w:tc>
              <w:tc>
                <w:tcPr>
                  <w:tcW w:w="582" w:type="pct"/>
                  <w:noWrap w:val="0"/>
                  <w:vAlign w:val="center"/>
                </w:tcPr>
                <w:p w14:paraId="44FE0AE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cs="Times New Roman"/>
                      <w:color w:val="auto"/>
                      <w:sz w:val="21"/>
                      <w:szCs w:val="21"/>
                      <w:highlight w:val="none"/>
                      <w:lang w:val="en-US" w:eastAsia="zh-CN"/>
                    </w:rPr>
                    <w:t>4.76</w:t>
                  </w:r>
                  <w:r>
                    <w:rPr>
                      <w:rFonts w:hint="default" w:ascii="Times New Roman" w:hAnsi="Times New Roman" w:eastAsia="宋体" w:cs="Times New Roman"/>
                      <w:color w:val="auto"/>
                      <w:sz w:val="21"/>
                      <w:szCs w:val="21"/>
                      <w:highlight w:val="none"/>
                      <w:lang w:val="en-US" w:eastAsia="zh-CN"/>
                    </w:rPr>
                    <w:t>×10</w:t>
                  </w:r>
                  <w:r>
                    <w:rPr>
                      <w:rFonts w:hint="default" w:ascii="Times New Roman" w:hAnsi="Times New Roman" w:eastAsia="宋体" w:cs="Times New Roman"/>
                      <w:color w:val="auto"/>
                      <w:sz w:val="21"/>
                      <w:szCs w:val="21"/>
                      <w:highlight w:val="none"/>
                      <w:vertAlign w:val="superscript"/>
                      <w:lang w:val="en-US" w:eastAsia="zh-CN"/>
                    </w:rPr>
                    <w:t>-6</w:t>
                  </w:r>
                </w:p>
              </w:tc>
              <w:tc>
                <w:tcPr>
                  <w:tcW w:w="553" w:type="pct"/>
                  <w:gridSpan w:val="2"/>
                  <w:shd w:val="clear" w:color="auto" w:fill="auto"/>
                  <w:noWrap w:val="0"/>
                  <w:vAlign w:val="center"/>
                </w:tcPr>
                <w:p w14:paraId="40FB850F">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cs="Times New Roman"/>
                      <w:color w:val="auto"/>
                      <w:sz w:val="21"/>
                      <w:szCs w:val="21"/>
                      <w:highlight w:val="none"/>
                      <w:lang w:val="en-US" w:eastAsia="zh-CN"/>
                    </w:rPr>
                    <w:t>/</w:t>
                  </w:r>
                </w:p>
              </w:tc>
            </w:tr>
            <w:tr w14:paraId="62C07D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5" w:hRule="atLeast"/>
              </w:trPr>
              <w:tc>
                <w:tcPr>
                  <w:tcW w:w="273" w:type="pct"/>
                  <w:vMerge w:val="continue"/>
                  <w:noWrap w:val="0"/>
                  <w:vAlign w:val="center"/>
                </w:tcPr>
                <w:p w14:paraId="351D6D9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842" w:type="pct"/>
                  <w:noWrap w:val="0"/>
                  <w:vAlign w:val="center"/>
                </w:tcPr>
                <w:p w14:paraId="13F5424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排放量(t/a)</w:t>
                  </w:r>
                </w:p>
              </w:tc>
              <w:tc>
                <w:tcPr>
                  <w:tcW w:w="789" w:type="pct"/>
                  <w:noWrap w:val="0"/>
                  <w:vAlign w:val="center"/>
                </w:tcPr>
                <w:p w14:paraId="6143CA4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en-US"/>
                    </w:rPr>
                  </w:pPr>
                  <w:r>
                    <w:rPr>
                      <w:rFonts w:hint="default" w:cs="Times New Roman"/>
                      <w:color w:val="auto"/>
                      <w:kern w:val="2"/>
                      <w:sz w:val="21"/>
                      <w:szCs w:val="21"/>
                      <w:highlight w:val="none"/>
                      <w:lang w:val="en-US" w:eastAsia="zh-CN" w:bidi="en-US"/>
                    </w:rPr>
                    <w:t>0.458</w:t>
                  </w:r>
                </w:p>
              </w:tc>
              <w:tc>
                <w:tcPr>
                  <w:tcW w:w="603" w:type="pct"/>
                  <w:noWrap w:val="0"/>
                  <w:vAlign w:val="center"/>
                </w:tcPr>
                <w:p w14:paraId="415DADC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cs="Times New Roman"/>
                      <w:color w:val="auto"/>
                      <w:sz w:val="21"/>
                      <w:szCs w:val="21"/>
                      <w:highlight w:val="none"/>
                      <w:lang w:val="en-US" w:eastAsia="zh-CN"/>
                    </w:rPr>
                    <w:t>7.12</w:t>
                  </w:r>
                  <w:r>
                    <w:rPr>
                      <w:rFonts w:hint="default" w:ascii="Times New Roman" w:hAnsi="Times New Roman" w:eastAsia="宋体" w:cs="Times New Roman"/>
                      <w:color w:val="auto"/>
                      <w:sz w:val="21"/>
                      <w:szCs w:val="21"/>
                      <w:highlight w:val="none"/>
                      <w:lang w:val="en-US" w:eastAsia="zh-CN"/>
                    </w:rPr>
                    <w:t>×10</w:t>
                  </w:r>
                  <w:r>
                    <w:rPr>
                      <w:rFonts w:hint="default" w:ascii="Times New Roman" w:hAnsi="Times New Roman" w:eastAsia="宋体" w:cs="Times New Roman"/>
                      <w:color w:val="auto"/>
                      <w:sz w:val="21"/>
                      <w:szCs w:val="21"/>
                      <w:highlight w:val="none"/>
                      <w:vertAlign w:val="superscript"/>
                      <w:lang w:val="en-US" w:eastAsia="zh-CN"/>
                    </w:rPr>
                    <w:t>-</w:t>
                  </w:r>
                  <w:r>
                    <w:rPr>
                      <w:rFonts w:hint="default" w:cs="Times New Roman"/>
                      <w:color w:val="auto"/>
                      <w:sz w:val="21"/>
                      <w:szCs w:val="21"/>
                      <w:highlight w:val="none"/>
                      <w:vertAlign w:val="superscript"/>
                      <w:lang w:val="en-US" w:eastAsia="zh-CN"/>
                    </w:rPr>
                    <w:t>5</w:t>
                  </w:r>
                </w:p>
              </w:tc>
              <w:tc>
                <w:tcPr>
                  <w:tcW w:w="464" w:type="pct"/>
                  <w:shd w:val="clear" w:color="auto" w:fill="auto"/>
                  <w:noWrap w:val="0"/>
                  <w:vAlign w:val="center"/>
                </w:tcPr>
                <w:p w14:paraId="1DA37F60">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w:t>
                  </w:r>
                </w:p>
              </w:tc>
              <w:tc>
                <w:tcPr>
                  <w:tcW w:w="889" w:type="pct"/>
                  <w:noWrap w:val="0"/>
                  <w:vAlign w:val="center"/>
                </w:tcPr>
                <w:p w14:paraId="27FBB97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cs="Times New Roman"/>
                      <w:color w:val="auto"/>
                      <w:kern w:val="2"/>
                      <w:sz w:val="21"/>
                      <w:szCs w:val="21"/>
                      <w:highlight w:val="none"/>
                      <w:lang w:val="en-US" w:eastAsia="zh-CN" w:bidi="ar-SA"/>
                    </w:rPr>
                    <w:t>0.220</w:t>
                  </w:r>
                </w:p>
              </w:tc>
              <w:tc>
                <w:tcPr>
                  <w:tcW w:w="582" w:type="pct"/>
                  <w:noWrap w:val="0"/>
                  <w:vAlign w:val="center"/>
                </w:tcPr>
                <w:p w14:paraId="2E7BA48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cs="Times New Roman"/>
                      <w:color w:val="auto"/>
                      <w:sz w:val="21"/>
                      <w:szCs w:val="21"/>
                      <w:highlight w:val="none"/>
                      <w:lang w:val="en-US" w:eastAsia="zh-CN"/>
                    </w:rPr>
                    <w:t>3.42</w:t>
                  </w:r>
                  <w:r>
                    <w:rPr>
                      <w:rFonts w:hint="default" w:ascii="Times New Roman" w:hAnsi="Times New Roman" w:eastAsia="宋体" w:cs="Times New Roman"/>
                      <w:color w:val="auto"/>
                      <w:sz w:val="21"/>
                      <w:szCs w:val="21"/>
                      <w:highlight w:val="none"/>
                      <w:lang w:val="en-US" w:eastAsia="zh-CN"/>
                    </w:rPr>
                    <w:t>×10</w:t>
                  </w:r>
                  <w:r>
                    <w:rPr>
                      <w:rFonts w:hint="default" w:ascii="Times New Roman" w:hAnsi="Times New Roman" w:eastAsia="宋体" w:cs="Times New Roman"/>
                      <w:color w:val="auto"/>
                      <w:sz w:val="21"/>
                      <w:szCs w:val="21"/>
                      <w:highlight w:val="none"/>
                      <w:vertAlign w:val="superscript"/>
                      <w:lang w:val="en-US" w:eastAsia="zh-CN"/>
                    </w:rPr>
                    <w:t>-5</w:t>
                  </w:r>
                </w:p>
              </w:tc>
              <w:tc>
                <w:tcPr>
                  <w:tcW w:w="553" w:type="pct"/>
                  <w:gridSpan w:val="2"/>
                  <w:shd w:val="clear" w:color="auto" w:fill="auto"/>
                  <w:noWrap w:val="0"/>
                  <w:vAlign w:val="center"/>
                </w:tcPr>
                <w:p w14:paraId="77F2ECCF">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cs="Times New Roman"/>
                      <w:color w:val="auto"/>
                      <w:sz w:val="21"/>
                      <w:szCs w:val="21"/>
                      <w:highlight w:val="none"/>
                      <w:lang w:val="en-US" w:eastAsia="zh-CN"/>
                    </w:rPr>
                    <w:t>/</w:t>
                  </w:r>
                </w:p>
              </w:tc>
            </w:tr>
            <w:tr w14:paraId="7880B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2" w:hRule="atLeast"/>
              </w:trPr>
              <w:tc>
                <w:tcPr>
                  <w:tcW w:w="273" w:type="pct"/>
                  <w:vMerge w:val="restart"/>
                  <w:noWrap w:val="0"/>
                  <w:vAlign w:val="center"/>
                </w:tcPr>
                <w:p w14:paraId="1CF7595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排放口基本情况</w:t>
                  </w:r>
                </w:p>
              </w:tc>
              <w:tc>
                <w:tcPr>
                  <w:tcW w:w="842" w:type="pct"/>
                  <w:noWrap w:val="0"/>
                  <w:vAlign w:val="center"/>
                </w:tcPr>
                <w:p w14:paraId="1C7DFB2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排气筒高度(m)</w:t>
                  </w:r>
                </w:p>
              </w:tc>
              <w:tc>
                <w:tcPr>
                  <w:tcW w:w="1858" w:type="pct"/>
                  <w:gridSpan w:val="3"/>
                  <w:noWrap w:val="0"/>
                  <w:vAlign w:val="center"/>
                </w:tcPr>
                <w:p w14:paraId="34E9A5F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bidi="en-US"/>
                    </w:rPr>
                  </w:pPr>
                  <w:r>
                    <w:rPr>
                      <w:rFonts w:hint="default" w:ascii="Times New Roman" w:hAnsi="Times New Roman" w:eastAsia="宋体" w:cs="Times New Roman"/>
                      <w:color w:val="auto"/>
                      <w:sz w:val="21"/>
                      <w:szCs w:val="21"/>
                      <w:highlight w:val="none"/>
                      <w:lang w:val="en-US" w:eastAsia="zh-CN"/>
                    </w:rPr>
                    <w:t>15</w:t>
                  </w:r>
                </w:p>
              </w:tc>
              <w:tc>
                <w:tcPr>
                  <w:tcW w:w="2025" w:type="pct"/>
                  <w:gridSpan w:val="4"/>
                  <w:noWrap w:val="0"/>
                  <w:vAlign w:val="center"/>
                </w:tcPr>
                <w:p w14:paraId="1209058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w:t>
                  </w:r>
                </w:p>
              </w:tc>
            </w:tr>
            <w:tr w14:paraId="7EBF79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2" w:hRule="atLeast"/>
              </w:trPr>
              <w:tc>
                <w:tcPr>
                  <w:tcW w:w="273" w:type="pct"/>
                  <w:vMerge w:val="continue"/>
                  <w:noWrap w:val="0"/>
                  <w:vAlign w:val="center"/>
                </w:tcPr>
                <w:p w14:paraId="08E0C73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842" w:type="pct"/>
                  <w:noWrap w:val="0"/>
                  <w:vAlign w:val="center"/>
                </w:tcPr>
                <w:p w14:paraId="69AD943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排气筒内径(m)</w:t>
                  </w:r>
                </w:p>
              </w:tc>
              <w:tc>
                <w:tcPr>
                  <w:tcW w:w="1858" w:type="pct"/>
                  <w:gridSpan w:val="3"/>
                  <w:noWrap w:val="0"/>
                  <w:vAlign w:val="center"/>
                </w:tcPr>
                <w:p w14:paraId="1DEE124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en-US"/>
                    </w:rPr>
                  </w:pPr>
                  <w:r>
                    <w:rPr>
                      <w:rFonts w:hint="default" w:cs="Times New Roman"/>
                      <w:color w:val="auto"/>
                      <w:sz w:val="21"/>
                      <w:szCs w:val="21"/>
                      <w:highlight w:val="none"/>
                      <w:lang w:val="en-US" w:eastAsia="zh-CN"/>
                    </w:rPr>
                    <w:t>0.8</w:t>
                  </w:r>
                </w:p>
              </w:tc>
              <w:tc>
                <w:tcPr>
                  <w:tcW w:w="2025" w:type="pct"/>
                  <w:gridSpan w:val="4"/>
                  <w:noWrap w:val="0"/>
                  <w:vAlign w:val="center"/>
                </w:tcPr>
                <w:p w14:paraId="371C692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w:t>
                  </w:r>
                </w:p>
              </w:tc>
            </w:tr>
            <w:tr w14:paraId="16546A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2" w:hRule="atLeast"/>
              </w:trPr>
              <w:tc>
                <w:tcPr>
                  <w:tcW w:w="273" w:type="pct"/>
                  <w:vMerge w:val="continue"/>
                  <w:noWrap w:val="0"/>
                  <w:vAlign w:val="center"/>
                </w:tcPr>
                <w:p w14:paraId="35E70EF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842" w:type="pct"/>
                  <w:noWrap w:val="0"/>
                  <w:vAlign w:val="center"/>
                </w:tcPr>
                <w:p w14:paraId="3FECC92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eastAsia="zh-CN"/>
                    </w:rPr>
                    <w:t>烟气流速（</w:t>
                  </w:r>
                  <w:r>
                    <w:rPr>
                      <w:rFonts w:hint="default" w:ascii="Times New Roman" w:hAnsi="Times New Roman" w:eastAsia="宋体" w:cs="Times New Roman"/>
                      <w:color w:val="auto"/>
                      <w:sz w:val="21"/>
                      <w:szCs w:val="21"/>
                      <w:highlight w:val="none"/>
                      <w:lang w:val="en-US" w:eastAsia="zh-CN"/>
                    </w:rPr>
                    <w:t>m/s</w:t>
                  </w:r>
                  <w:r>
                    <w:rPr>
                      <w:rFonts w:hint="default" w:ascii="Times New Roman" w:hAnsi="Times New Roman" w:eastAsia="宋体" w:cs="Times New Roman"/>
                      <w:color w:val="auto"/>
                      <w:sz w:val="21"/>
                      <w:szCs w:val="21"/>
                      <w:highlight w:val="none"/>
                      <w:lang w:eastAsia="zh-CN"/>
                    </w:rPr>
                    <w:t>）</w:t>
                  </w:r>
                </w:p>
              </w:tc>
              <w:tc>
                <w:tcPr>
                  <w:tcW w:w="1858" w:type="pct"/>
                  <w:gridSpan w:val="3"/>
                  <w:noWrap w:val="0"/>
                  <w:vAlign w:val="center"/>
                </w:tcPr>
                <w:p w14:paraId="1840BA5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en-US"/>
                    </w:rPr>
                  </w:pPr>
                  <w:r>
                    <w:rPr>
                      <w:rFonts w:hint="default" w:cs="Times New Roman"/>
                      <w:color w:val="auto"/>
                      <w:sz w:val="21"/>
                      <w:szCs w:val="21"/>
                      <w:highlight w:val="none"/>
                      <w:lang w:val="en-US" w:eastAsia="zh-CN"/>
                    </w:rPr>
                    <w:t>14.43</w:t>
                  </w:r>
                </w:p>
              </w:tc>
              <w:tc>
                <w:tcPr>
                  <w:tcW w:w="2025" w:type="pct"/>
                  <w:gridSpan w:val="4"/>
                  <w:noWrap w:val="0"/>
                  <w:vAlign w:val="center"/>
                </w:tcPr>
                <w:p w14:paraId="7D01632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w:t>
                  </w:r>
                </w:p>
              </w:tc>
            </w:tr>
            <w:tr w14:paraId="63FCC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2" w:hRule="atLeast"/>
              </w:trPr>
              <w:tc>
                <w:tcPr>
                  <w:tcW w:w="273" w:type="pct"/>
                  <w:vMerge w:val="continue"/>
                  <w:noWrap w:val="0"/>
                  <w:vAlign w:val="center"/>
                </w:tcPr>
                <w:p w14:paraId="2873C9E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842" w:type="pct"/>
                  <w:noWrap w:val="0"/>
                  <w:vAlign w:val="center"/>
                </w:tcPr>
                <w:p w14:paraId="4897DA6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温度(℃)</w:t>
                  </w:r>
                </w:p>
              </w:tc>
              <w:tc>
                <w:tcPr>
                  <w:tcW w:w="1858" w:type="pct"/>
                  <w:gridSpan w:val="3"/>
                  <w:noWrap w:val="0"/>
                  <w:vAlign w:val="center"/>
                </w:tcPr>
                <w:p w14:paraId="1840B26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bidi="en-US"/>
                    </w:rPr>
                  </w:pPr>
                  <w:r>
                    <w:rPr>
                      <w:rFonts w:hint="default" w:ascii="Times New Roman" w:hAnsi="Times New Roman" w:eastAsia="宋体" w:cs="Times New Roman"/>
                      <w:color w:val="auto"/>
                      <w:sz w:val="21"/>
                      <w:szCs w:val="21"/>
                      <w:highlight w:val="none"/>
                      <w:lang w:val="en-US" w:eastAsia="zh-CN"/>
                    </w:rPr>
                    <w:t>常温</w:t>
                  </w:r>
                </w:p>
              </w:tc>
              <w:tc>
                <w:tcPr>
                  <w:tcW w:w="2025" w:type="pct"/>
                  <w:gridSpan w:val="4"/>
                  <w:noWrap w:val="0"/>
                  <w:vAlign w:val="center"/>
                </w:tcPr>
                <w:p w14:paraId="148C7D0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w:t>
                  </w:r>
                </w:p>
              </w:tc>
            </w:tr>
            <w:tr w14:paraId="7F679A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2" w:hRule="atLeast"/>
              </w:trPr>
              <w:tc>
                <w:tcPr>
                  <w:tcW w:w="273" w:type="pct"/>
                  <w:vMerge w:val="continue"/>
                  <w:noWrap w:val="0"/>
                  <w:vAlign w:val="center"/>
                </w:tcPr>
                <w:p w14:paraId="7B22D7B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842" w:type="pct"/>
                  <w:noWrap w:val="0"/>
                  <w:vAlign w:val="center"/>
                </w:tcPr>
                <w:p w14:paraId="6B9D8ED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编号及名称</w:t>
                  </w:r>
                </w:p>
              </w:tc>
              <w:tc>
                <w:tcPr>
                  <w:tcW w:w="1858" w:type="pct"/>
                  <w:gridSpan w:val="3"/>
                  <w:noWrap w:val="0"/>
                  <w:vAlign w:val="center"/>
                </w:tcPr>
                <w:p w14:paraId="4049062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bidi="en-US"/>
                    </w:rPr>
                  </w:pPr>
                  <w:r>
                    <w:rPr>
                      <w:rFonts w:hint="default" w:ascii="Times New Roman" w:hAnsi="Times New Roman" w:eastAsia="宋体" w:cs="Times New Roman"/>
                      <w:color w:val="auto"/>
                      <w:sz w:val="21"/>
                      <w:szCs w:val="21"/>
                      <w:highlight w:val="none"/>
                      <w:lang w:val="en-US" w:eastAsia="zh-CN"/>
                    </w:rPr>
                    <w:t>DA00</w:t>
                  </w:r>
                  <w:r>
                    <w:rPr>
                      <w:rFonts w:hint="default" w:cs="Times New Roman"/>
                      <w:color w:val="auto"/>
                      <w:sz w:val="21"/>
                      <w:szCs w:val="21"/>
                      <w:highlight w:val="none"/>
                      <w:lang w:val="en-US" w:eastAsia="zh-CN"/>
                    </w:rPr>
                    <w:t>2</w:t>
                  </w:r>
                </w:p>
              </w:tc>
              <w:tc>
                <w:tcPr>
                  <w:tcW w:w="2025" w:type="pct"/>
                  <w:gridSpan w:val="4"/>
                  <w:noWrap w:val="0"/>
                  <w:vAlign w:val="center"/>
                </w:tcPr>
                <w:p w14:paraId="449B803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w:t>
                  </w:r>
                </w:p>
              </w:tc>
            </w:tr>
            <w:tr w14:paraId="1BABC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2" w:hRule="atLeast"/>
              </w:trPr>
              <w:tc>
                <w:tcPr>
                  <w:tcW w:w="273" w:type="pct"/>
                  <w:vMerge w:val="continue"/>
                  <w:noWrap w:val="0"/>
                  <w:vAlign w:val="center"/>
                </w:tcPr>
                <w:p w14:paraId="4012CAD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842" w:type="pct"/>
                  <w:noWrap w:val="0"/>
                  <w:vAlign w:val="center"/>
                </w:tcPr>
                <w:p w14:paraId="17E01C1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类型</w:t>
                  </w:r>
                </w:p>
              </w:tc>
              <w:tc>
                <w:tcPr>
                  <w:tcW w:w="1858" w:type="pct"/>
                  <w:gridSpan w:val="3"/>
                  <w:noWrap w:val="0"/>
                  <w:vAlign w:val="center"/>
                </w:tcPr>
                <w:p w14:paraId="1F020F9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bidi="en-US"/>
                    </w:rPr>
                  </w:pPr>
                  <w:r>
                    <w:rPr>
                      <w:rFonts w:hint="default" w:ascii="Times New Roman" w:hAnsi="Times New Roman" w:eastAsia="宋体" w:cs="Times New Roman"/>
                      <w:color w:val="auto"/>
                      <w:sz w:val="21"/>
                      <w:szCs w:val="21"/>
                      <w:highlight w:val="none"/>
                      <w:lang w:val="en-US" w:eastAsia="zh-CN"/>
                    </w:rPr>
                    <w:t>一般排放口</w:t>
                  </w:r>
                </w:p>
              </w:tc>
              <w:tc>
                <w:tcPr>
                  <w:tcW w:w="2025" w:type="pct"/>
                  <w:gridSpan w:val="4"/>
                  <w:noWrap w:val="0"/>
                  <w:vAlign w:val="center"/>
                </w:tcPr>
                <w:p w14:paraId="1B3C3B3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w:t>
                  </w:r>
                </w:p>
              </w:tc>
            </w:tr>
            <w:tr w14:paraId="5C7DCA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2" w:hRule="atLeast"/>
              </w:trPr>
              <w:tc>
                <w:tcPr>
                  <w:tcW w:w="273" w:type="pct"/>
                  <w:vMerge w:val="continue"/>
                  <w:noWrap w:val="0"/>
                  <w:vAlign w:val="center"/>
                </w:tcPr>
                <w:p w14:paraId="1D0FA54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842" w:type="pct"/>
                  <w:noWrap w:val="0"/>
                  <w:vAlign w:val="center"/>
                </w:tcPr>
                <w:p w14:paraId="5995A63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地理坐标</w:t>
                  </w:r>
                </w:p>
              </w:tc>
              <w:tc>
                <w:tcPr>
                  <w:tcW w:w="1858" w:type="pct"/>
                  <w:gridSpan w:val="3"/>
                  <w:noWrap w:val="0"/>
                  <w:vAlign w:val="center"/>
                </w:tcPr>
                <w:p w14:paraId="790547E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rPr>
                    <w:t>N</w:t>
                  </w:r>
                  <w:r>
                    <w:rPr>
                      <w:rFonts w:hint="default" w:cs="Times New Roman"/>
                      <w:color w:val="auto"/>
                      <w:highlight w:val="none"/>
                      <w:lang w:val="en-US" w:eastAsia="zh-CN"/>
                    </w:rPr>
                    <w:t>38.338297</w:t>
                  </w:r>
                  <w:r>
                    <w:rPr>
                      <w:rFonts w:hint="default" w:ascii="Times New Roman" w:hAnsi="Times New Roman" w:cs="Times New Roman"/>
                      <w:color w:val="auto"/>
                      <w:highlight w:val="none"/>
                      <w:lang w:val="en-US" w:eastAsia="zh-CN"/>
                    </w:rPr>
                    <w:t>°</w:t>
                  </w:r>
                </w:p>
                <w:p w14:paraId="5875A2F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E</w:t>
                  </w:r>
                  <w:r>
                    <w:rPr>
                      <w:rFonts w:hint="default" w:cs="Times New Roman"/>
                      <w:color w:val="auto"/>
                      <w:highlight w:val="none"/>
                      <w:lang w:val="en-US" w:eastAsia="zh-CN"/>
                    </w:rPr>
                    <w:t>117.525433</w:t>
                  </w:r>
                  <w:r>
                    <w:rPr>
                      <w:rFonts w:hint="default" w:ascii="Times New Roman" w:hAnsi="Times New Roman" w:cs="Times New Roman"/>
                      <w:color w:val="auto"/>
                      <w:highlight w:val="none"/>
                      <w:lang w:val="en-US" w:eastAsia="zh-CN"/>
                    </w:rPr>
                    <w:t>°</w:t>
                  </w:r>
                </w:p>
              </w:tc>
              <w:tc>
                <w:tcPr>
                  <w:tcW w:w="2025" w:type="pct"/>
                  <w:gridSpan w:val="4"/>
                  <w:noWrap w:val="0"/>
                  <w:vAlign w:val="center"/>
                </w:tcPr>
                <w:p w14:paraId="6502885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r>
            <w:tr w14:paraId="649A08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43" w:hRule="atLeast"/>
              </w:trPr>
              <w:tc>
                <w:tcPr>
                  <w:tcW w:w="273" w:type="pct"/>
                  <w:vMerge w:val="restart"/>
                  <w:noWrap w:val="0"/>
                  <w:vAlign w:val="center"/>
                </w:tcPr>
                <w:p w14:paraId="77C761A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排放</w:t>
                  </w:r>
                </w:p>
                <w:p w14:paraId="52FE68B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w:t>
                  </w:r>
                </w:p>
              </w:tc>
              <w:tc>
                <w:tcPr>
                  <w:tcW w:w="842" w:type="pct"/>
                  <w:noWrap w:val="0"/>
                  <w:vAlign w:val="center"/>
                </w:tcPr>
                <w:p w14:paraId="4A3B831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标准名称</w:t>
                  </w:r>
                </w:p>
              </w:tc>
              <w:tc>
                <w:tcPr>
                  <w:tcW w:w="789" w:type="pct"/>
                  <w:noWrap w:val="0"/>
                  <w:vAlign w:val="center"/>
                </w:tcPr>
                <w:p w14:paraId="6A682CB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《合成树脂工业污染物排放标准》（GB31572-2015</w:t>
                  </w:r>
                  <w:r>
                    <w:rPr>
                      <w:rFonts w:hint="default" w:ascii="Times New Roman" w:hAnsi="Times New Roman" w:eastAsia="宋体" w:cs="Times New Roman"/>
                      <w:color w:val="auto"/>
                      <w:sz w:val="21"/>
                      <w:szCs w:val="21"/>
                      <w:highlight w:val="none"/>
                      <w:lang w:val="en-US" w:eastAsia="zh-CN"/>
                    </w:rPr>
                    <w:t>，含2024修改单</w:t>
                  </w:r>
                  <w:r>
                    <w:rPr>
                      <w:rFonts w:hint="default" w:ascii="Times New Roman" w:hAnsi="Times New Roman" w:eastAsia="宋体" w:cs="Times New Roman"/>
                      <w:color w:val="auto"/>
                      <w:sz w:val="21"/>
                      <w:szCs w:val="21"/>
                      <w:highlight w:val="none"/>
                    </w:rPr>
                    <w:t>）表5大气污染物特别排放限值</w:t>
                  </w:r>
                  <w:r>
                    <w:rPr>
                      <w:rFonts w:hint="default"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lang w:val="en-US" w:eastAsia="zh-CN"/>
                    </w:rPr>
                    <w:t>《工业企业挥发性有机物排放控制标准》（DB13/2322-20</w:t>
                  </w:r>
                  <w:r>
                    <w:rPr>
                      <w:rFonts w:hint="default" w:cs="Times New Roman"/>
                      <w:color w:val="auto"/>
                      <w:sz w:val="21"/>
                      <w:szCs w:val="21"/>
                      <w:highlight w:val="none"/>
                      <w:lang w:val="en-US" w:eastAsia="zh-CN"/>
                    </w:rPr>
                    <w:t>25</w:t>
                  </w:r>
                  <w:r>
                    <w:rPr>
                      <w:rFonts w:hint="default" w:ascii="Times New Roman" w:hAnsi="Times New Roman" w:eastAsia="宋体" w:cs="Times New Roman"/>
                      <w:color w:val="auto"/>
                      <w:sz w:val="21"/>
                      <w:szCs w:val="21"/>
                      <w:highlight w:val="none"/>
                      <w:lang w:val="en-US" w:eastAsia="zh-CN"/>
                    </w:rPr>
                    <w:t>）表1中</w:t>
                  </w:r>
                  <w:r>
                    <w:rPr>
                      <w:rFonts w:hint="default" w:cs="Times New Roman"/>
                      <w:color w:val="auto"/>
                      <w:sz w:val="21"/>
                      <w:szCs w:val="21"/>
                      <w:highlight w:val="none"/>
                      <w:lang w:val="en-US" w:eastAsia="zh-CN"/>
                    </w:rPr>
                    <w:t>塑料制品制造行业</w:t>
                  </w:r>
                  <w:r>
                    <w:rPr>
                      <w:rFonts w:hint="default" w:ascii="Times New Roman" w:hAnsi="Times New Roman" w:eastAsia="宋体" w:cs="Times New Roman"/>
                      <w:color w:val="auto"/>
                      <w:sz w:val="21"/>
                      <w:szCs w:val="21"/>
                      <w:highlight w:val="none"/>
                      <w:lang w:val="en-US" w:eastAsia="zh-CN"/>
                    </w:rPr>
                    <w:t>排放限值要求</w:t>
                  </w:r>
                  <w:r>
                    <w:rPr>
                      <w:rFonts w:hint="default" w:cs="Times New Roman"/>
                      <w:color w:val="auto"/>
                      <w:sz w:val="21"/>
                      <w:szCs w:val="21"/>
                      <w:highlight w:val="none"/>
                      <w:lang w:val="en-US" w:eastAsia="zh-CN"/>
                    </w:rPr>
                    <w:t>、《印刷工业挥发性有机物排放标准》（DB13/6188-2025）表1中排放限值要求</w:t>
                  </w:r>
                </w:p>
              </w:tc>
              <w:tc>
                <w:tcPr>
                  <w:tcW w:w="603" w:type="pct"/>
                  <w:noWrap w:val="0"/>
                  <w:vAlign w:val="center"/>
                </w:tcPr>
                <w:p w14:paraId="75C3E7B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《合成树脂工业污染物排放标准》（GB31572-2015</w:t>
                  </w:r>
                  <w:r>
                    <w:rPr>
                      <w:rFonts w:hint="default" w:ascii="Times New Roman" w:hAnsi="Times New Roman" w:eastAsia="宋体" w:cs="Times New Roman"/>
                      <w:color w:val="auto"/>
                      <w:sz w:val="21"/>
                      <w:szCs w:val="21"/>
                      <w:highlight w:val="none"/>
                      <w:lang w:val="en-US" w:eastAsia="zh-CN"/>
                    </w:rPr>
                    <w:t>，含2024修改单</w:t>
                  </w:r>
                  <w:r>
                    <w:rPr>
                      <w:rFonts w:hint="default" w:ascii="Times New Roman" w:hAnsi="Times New Roman" w:eastAsia="宋体" w:cs="Times New Roman"/>
                      <w:color w:val="auto"/>
                      <w:sz w:val="21"/>
                      <w:szCs w:val="21"/>
                      <w:highlight w:val="none"/>
                    </w:rPr>
                    <w:t>）表5大气污染物特别排放限值</w:t>
                  </w:r>
                </w:p>
              </w:tc>
              <w:tc>
                <w:tcPr>
                  <w:tcW w:w="464" w:type="pct"/>
                  <w:shd w:val="clear" w:color="auto" w:fill="auto"/>
                  <w:noWrap w:val="0"/>
                  <w:vAlign w:val="center"/>
                </w:tcPr>
                <w:p w14:paraId="5C6F5193">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《恶臭污染物排放标准》（GB 14554-93）表2中标准</w:t>
                  </w:r>
                </w:p>
              </w:tc>
              <w:tc>
                <w:tcPr>
                  <w:tcW w:w="889" w:type="pct"/>
                  <w:noWrap w:val="0"/>
                  <w:vAlign w:val="center"/>
                </w:tcPr>
                <w:p w14:paraId="4C628A5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《合成树脂工业污染物排放标准》（GB31572-2015，含2024修改单）表9企业边界大气污染物浓度限值</w:t>
                  </w:r>
                  <w:r>
                    <w:rPr>
                      <w:rFonts w:hint="default"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val="en-US" w:eastAsia="zh-CN"/>
                    </w:rPr>
                    <w:t>《工业企业挥发性有机物排放控制标准》（DB13/2322-2025）表2厂区内挥发性有机物无组织排放限值</w:t>
                  </w:r>
                  <w:r>
                    <w:rPr>
                      <w:rFonts w:hint="default" w:cs="Times New Roman"/>
                      <w:color w:val="auto"/>
                      <w:sz w:val="21"/>
                      <w:szCs w:val="21"/>
                      <w:highlight w:val="none"/>
                      <w:lang w:val="en-US" w:eastAsia="zh-CN"/>
                    </w:rPr>
                    <w:t>、《印刷工业挥发性有机物排放标准》（DB13/6188-2025）表2厂区内挥发性有机物无组织排放限值</w:t>
                  </w:r>
                </w:p>
              </w:tc>
              <w:tc>
                <w:tcPr>
                  <w:tcW w:w="582" w:type="pct"/>
                  <w:noWrap w:val="0"/>
                  <w:vAlign w:val="center"/>
                </w:tcPr>
                <w:p w14:paraId="22AD57EB">
                  <w:pPr>
                    <w:keepNext w:val="0"/>
                    <w:keepLines w:val="0"/>
                    <w:suppressLineNumbers w:val="0"/>
                    <w:adjustRightInd w:val="0"/>
                    <w:snapToGrid w:val="0"/>
                    <w:spacing w:before="0" w:beforeAutospacing="0" w:after="0" w:afterAutospacing="0"/>
                    <w:ind w:left="0" w:right="0"/>
                    <w:jc w:val="center"/>
                    <w:rPr>
                      <w:rFonts w:hint="default" w:cs="Times New Roman"/>
                      <w:color w:val="auto"/>
                      <w:sz w:val="21"/>
                      <w:szCs w:val="21"/>
                      <w:highlight w:val="none"/>
                      <w:lang w:val="en-US" w:eastAsia="zh-CN"/>
                    </w:rPr>
                  </w:pPr>
                  <w:r>
                    <w:rPr>
                      <w:rFonts w:hint="default" w:cs="Times New Roman"/>
                      <w:color w:val="auto"/>
                      <w:sz w:val="21"/>
                      <w:szCs w:val="21"/>
                      <w:highlight w:val="none"/>
                      <w:lang w:val="en-US" w:eastAsia="zh-CN"/>
                    </w:rPr>
                    <w:t>/</w:t>
                  </w:r>
                </w:p>
              </w:tc>
              <w:tc>
                <w:tcPr>
                  <w:tcW w:w="553" w:type="pct"/>
                  <w:gridSpan w:val="2"/>
                  <w:shd w:val="clear" w:color="auto" w:fill="auto"/>
                  <w:noWrap w:val="0"/>
                  <w:vAlign w:val="center"/>
                </w:tcPr>
                <w:p w14:paraId="18EF769C">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《恶臭污染物排放标准》（GB 14554-93）表1中</w:t>
                  </w:r>
                  <w:r>
                    <w:rPr>
                      <w:rFonts w:hint="default" w:ascii="Times New Roman" w:hAnsi="Times New Roman" w:eastAsia="宋体" w:cs="Times New Roman"/>
                      <w:color w:val="auto"/>
                      <w:sz w:val="21"/>
                      <w:szCs w:val="21"/>
                      <w:highlight w:val="none"/>
                      <w:lang w:val="en-US" w:eastAsia="zh-CN"/>
                    </w:rPr>
                    <w:t>二级新改扩建</w:t>
                  </w:r>
                  <w:r>
                    <w:rPr>
                      <w:rFonts w:hint="default" w:ascii="Times New Roman" w:hAnsi="Times New Roman" w:eastAsia="宋体" w:cs="Times New Roman"/>
                      <w:color w:val="auto"/>
                      <w:sz w:val="21"/>
                      <w:szCs w:val="21"/>
                      <w:highlight w:val="none"/>
                    </w:rPr>
                    <w:t>标准</w:t>
                  </w:r>
                </w:p>
              </w:tc>
            </w:tr>
            <w:tr w14:paraId="5E1EB8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3" w:hRule="atLeast"/>
              </w:trPr>
              <w:tc>
                <w:tcPr>
                  <w:tcW w:w="273" w:type="pct"/>
                  <w:vMerge w:val="continue"/>
                  <w:noWrap w:val="0"/>
                  <w:vAlign w:val="center"/>
                </w:tcPr>
                <w:p w14:paraId="526B607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842" w:type="pct"/>
                  <w:noWrap w:val="0"/>
                  <w:vAlign w:val="center"/>
                </w:tcPr>
                <w:p w14:paraId="3457DA7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eastAsia="zh-CN"/>
                    </w:rPr>
                  </w:pPr>
                  <w:r>
                    <w:rPr>
                      <w:rFonts w:hint="default" w:cs="Times New Roman"/>
                      <w:color w:val="auto"/>
                      <w:sz w:val="21"/>
                      <w:szCs w:val="21"/>
                      <w:highlight w:val="none"/>
                      <w:lang w:eastAsia="zh-CN"/>
                    </w:rPr>
                    <w:t>标准值</w:t>
                  </w:r>
                </w:p>
              </w:tc>
              <w:tc>
                <w:tcPr>
                  <w:tcW w:w="789" w:type="pct"/>
                  <w:noWrap w:val="0"/>
                  <w:vAlign w:val="center"/>
                </w:tcPr>
                <w:p w14:paraId="7DF41475">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1"/>
                      <w:szCs w:val="21"/>
                      <w:highlight w:val="none"/>
                      <w:vertAlign w:val="baseline"/>
                      <w:lang w:val="en-US" w:eastAsia="zh-CN"/>
                    </w:rPr>
                  </w:pPr>
                  <w:r>
                    <w:rPr>
                      <w:rFonts w:hint="default" w:cs="Times New Roman"/>
                      <w:color w:val="auto"/>
                      <w:sz w:val="21"/>
                      <w:highlight w:val="none"/>
                      <w:u w:val="none" w:color="000000"/>
                      <w:lang w:val="en-US" w:eastAsia="zh-CN"/>
                    </w:rPr>
                    <w:t>3</w:t>
                  </w:r>
                  <w:r>
                    <w:rPr>
                      <w:rFonts w:hint="default" w:ascii="Times New Roman" w:hAnsi="Times New Roman" w:cs="Times New Roman"/>
                      <w:color w:val="auto"/>
                      <w:sz w:val="21"/>
                      <w:highlight w:val="none"/>
                      <w:u w:val="none" w:color="000000"/>
                      <w:lang w:val="en-US" w:eastAsia="zh-CN"/>
                    </w:rPr>
                    <w:t>0</w:t>
                  </w:r>
                  <w:r>
                    <w:rPr>
                      <w:rFonts w:hint="default" w:ascii="Times New Roman" w:hAnsi="Times New Roman" w:cs="Times New Roman"/>
                      <w:color w:val="auto"/>
                      <w:sz w:val="21"/>
                      <w:szCs w:val="21"/>
                      <w:highlight w:val="none"/>
                    </w:rPr>
                    <w:t>mg/m</w:t>
                  </w:r>
                  <w:r>
                    <w:rPr>
                      <w:rFonts w:hint="default" w:ascii="Times New Roman" w:hAnsi="Times New Roman" w:cs="Times New Roman"/>
                      <w:color w:val="auto"/>
                      <w:sz w:val="21"/>
                      <w:szCs w:val="21"/>
                      <w:highlight w:val="none"/>
                      <w:vertAlign w:val="superscript"/>
                    </w:rPr>
                    <w:t>3</w:t>
                  </w:r>
                </w:p>
              </w:tc>
              <w:tc>
                <w:tcPr>
                  <w:tcW w:w="603" w:type="pct"/>
                  <w:noWrap w:val="0"/>
                  <w:vAlign w:val="center"/>
                </w:tcPr>
                <w:p w14:paraId="30164AC1">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1"/>
                      <w:highlight w:val="none"/>
                      <w:u w:val="none" w:color="000000"/>
                      <w:lang w:val="en-US" w:eastAsia="zh-CN"/>
                    </w:rPr>
                  </w:pPr>
                  <w:r>
                    <w:rPr>
                      <w:rFonts w:hint="default" w:ascii="Times New Roman" w:hAnsi="Times New Roman" w:cs="Times New Roman"/>
                      <w:color w:val="auto"/>
                      <w:sz w:val="21"/>
                      <w:highlight w:val="none"/>
                      <w:u w:val="none" w:color="000000"/>
                      <w:lang w:val="en-US" w:eastAsia="zh-CN"/>
                    </w:rPr>
                    <w:t>1</w:t>
                  </w:r>
                  <w:r>
                    <w:rPr>
                      <w:rFonts w:hint="default" w:ascii="Times New Roman" w:hAnsi="Times New Roman" w:cs="Times New Roman"/>
                      <w:color w:val="auto"/>
                      <w:sz w:val="21"/>
                      <w:szCs w:val="21"/>
                      <w:highlight w:val="none"/>
                    </w:rPr>
                    <w:t>mg/m</w:t>
                  </w:r>
                  <w:r>
                    <w:rPr>
                      <w:rFonts w:hint="default" w:ascii="Times New Roman" w:hAnsi="Times New Roman" w:cs="Times New Roman"/>
                      <w:color w:val="auto"/>
                      <w:sz w:val="21"/>
                      <w:szCs w:val="21"/>
                      <w:highlight w:val="none"/>
                      <w:vertAlign w:val="superscript"/>
                    </w:rPr>
                    <w:t>3</w:t>
                  </w:r>
                </w:p>
              </w:tc>
              <w:tc>
                <w:tcPr>
                  <w:tcW w:w="464" w:type="pct"/>
                  <w:shd w:val="clear" w:color="auto" w:fill="auto"/>
                  <w:noWrap w:val="0"/>
                  <w:vAlign w:val="center"/>
                </w:tcPr>
                <w:p w14:paraId="284D9B55">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4"/>
                      <w:highlight w:val="none"/>
                      <w:u w:val="none" w:color="000000"/>
                      <w:lang w:val="en-US" w:eastAsia="zh-CN" w:bidi="ar-SA"/>
                    </w:rPr>
                  </w:pPr>
                  <w:r>
                    <w:rPr>
                      <w:rFonts w:hint="default" w:cs="Times New Roman"/>
                      <w:color w:val="auto"/>
                      <w:sz w:val="21"/>
                      <w:szCs w:val="21"/>
                      <w:lang w:val="en-US" w:eastAsia="zh-CN"/>
                    </w:rPr>
                    <w:t>2</w:t>
                  </w:r>
                  <w:r>
                    <w:rPr>
                      <w:rFonts w:hint="default" w:ascii="Times New Roman" w:hAnsi="Times New Roman" w:eastAsia="宋体" w:cs="Times New Roman"/>
                      <w:color w:val="auto"/>
                      <w:sz w:val="21"/>
                      <w:szCs w:val="21"/>
                      <w:lang w:val="en-US" w:eastAsia="zh-CN"/>
                    </w:rPr>
                    <w:t>000（无量纲）</w:t>
                  </w:r>
                </w:p>
              </w:tc>
              <w:tc>
                <w:tcPr>
                  <w:tcW w:w="889" w:type="pct"/>
                  <w:noWrap w:val="0"/>
                  <w:vAlign w:val="center"/>
                </w:tcPr>
                <w:p w14:paraId="0B693E84">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1"/>
                      <w:szCs w:val="21"/>
                      <w:vertAlign w:val="superscript"/>
                    </w:rPr>
                  </w:pPr>
                  <w:r>
                    <w:rPr>
                      <w:rFonts w:hint="default" w:ascii="Times New Roman" w:hAnsi="Times New Roman" w:cs="Times New Roman"/>
                      <w:color w:val="auto"/>
                      <w:sz w:val="21"/>
                      <w:szCs w:val="21"/>
                      <w:lang w:val="en-US" w:eastAsia="zh-CN"/>
                    </w:rPr>
                    <w:t>厂界：</w:t>
                  </w:r>
                  <w:r>
                    <w:rPr>
                      <w:rFonts w:hint="default" w:cs="Times New Roman"/>
                      <w:color w:val="auto"/>
                      <w:sz w:val="21"/>
                      <w:szCs w:val="21"/>
                      <w:lang w:val="en-US" w:eastAsia="zh-CN"/>
                    </w:rPr>
                    <w:t>4</w:t>
                  </w:r>
                  <w:r>
                    <w:rPr>
                      <w:rFonts w:hint="default" w:ascii="Times New Roman" w:hAnsi="Times New Roman" w:cs="Times New Roman"/>
                      <w:color w:val="auto"/>
                      <w:sz w:val="21"/>
                      <w:szCs w:val="21"/>
                      <w:lang w:val="en-US" w:eastAsia="zh-CN"/>
                    </w:rPr>
                    <w:t>.0</w:t>
                  </w:r>
                  <w:r>
                    <w:rPr>
                      <w:rFonts w:hint="default" w:ascii="Times New Roman" w:hAnsi="Times New Roman" w:cs="Times New Roman"/>
                      <w:color w:val="auto"/>
                      <w:sz w:val="21"/>
                      <w:szCs w:val="21"/>
                    </w:rPr>
                    <w:t>mg/m</w:t>
                  </w:r>
                  <w:r>
                    <w:rPr>
                      <w:rFonts w:hint="default" w:ascii="Times New Roman" w:hAnsi="Times New Roman" w:cs="Times New Roman"/>
                      <w:color w:val="auto"/>
                      <w:sz w:val="21"/>
                      <w:szCs w:val="21"/>
                      <w:vertAlign w:val="superscript"/>
                    </w:rPr>
                    <w:t>3</w:t>
                  </w:r>
                </w:p>
                <w:p w14:paraId="0FB7963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cs="Times New Roman"/>
                      <w:color w:val="auto"/>
                      <w:sz w:val="21"/>
                      <w:szCs w:val="21"/>
                      <w:highlight w:val="none"/>
                      <w:lang w:eastAsia="zh-CN"/>
                    </w:rPr>
                    <w:t>厂房外</w:t>
                  </w:r>
                  <w:r>
                    <w:rPr>
                      <w:rFonts w:hint="default" w:ascii="Times New Roman" w:hAnsi="Times New Roman" w:eastAsia="宋体" w:cs="Times New Roman"/>
                      <w:color w:val="auto"/>
                      <w:sz w:val="21"/>
                      <w:szCs w:val="21"/>
                      <w:highlight w:val="none"/>
                    </w:rPr>
                    <w:t>监控点处1h平均浓度值</w:t>
                  </w:r>
                  <w:r>
                    <w:rPr>
                      <w:rFonts w:hint="default" w:cs="Times New Roman"/>
                      <w:color w:val="auto"/>
                      <w:sz w:val="21"/>
                      <w:szCs w:val="21"/>
                      <w:highlight w:val="none"/>
                      <w:lang w:val="en-US" w:eastAsia="zh-CN"/>
                    </w:rPr>
                    <w:t>2.0</w:t>
                  </w:r>
                  <w:r>
                    <w:rPr>
                      <w:rFonts w:hint="default" w:ascii="Times New Roman" w:hAnsi="Times New Roman" w:eastAsia="宋体" w:cs="Times New Roman"/>
                      <w:color w:val="auto"/>
                      <w:sz w:val="21"/>
                      <w:szCs w:val="21"/>
                      <w:highlight w:val="none"/>
                      <w:lang w:val="en-US" w:eastAsia="zh-CN"/>
                    </w:rPr>
                    <w:t xml:space="preserve"> </w:t>
                  </w:r>
                  <w:r>
                    <w:rPr>
                      <w:rFonts w:hint="default" w:ascii="Times New Roman" w:hAnsi="Times New Roman" w:eastAsia="宋体" w:cs="Times New Roman"/>
                      <w:color w:val="auto"/>
                      <w:sz w:val="21"/>
                      <w:szCs w:val="21"/>
                      <w:highlight w:val="none"/>
                    </w:rPr>
                    <w:t>mg/m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rPr>
                    <w:t>；</w:t>
                  </w:r>
                </w:p>
                <w:p w14:paraId="560F398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任意一次浓度值</w:t>
                  </w:r>
                  <w:r>
                    <w:rPr>
                      <w:rFonts w:hint="default" w:cs="Times New Roman"/>
                      <w:color w:val="auto"/>
                      <w:sz w:val="21"/>
                      <w:szCs w:val="21"/>
                      <w:highlight w:val="none"/>
                      <w:lang w:val="en-US" w:eastAsia="zh-CN"/>
                    </w:rPr>
                    <w:t>1</w:t>
                  </w:r>
                  <w:r>
                    <w:rPr>
                      <w:rFonts w:hint="default" w:ascii="Times New Roman" w:hAnsi="Times New Roman" w:eastAsia="宋体" w:cs="Times New Roman"/>
                      <w:color w:val="auto"/>
                      <w:sz w:val="21"/>
                      <w:szCs w:val="21"/>
                      <w:highlight w:val="none"/>
                    </w:rPr>
                    <w:t>0</w:t>
                  </w:r>
                  <w:r>
                    <w:rPr>
                      <w:rFonts w:hint="default" w:cs="Times New Roman"/>
                      <w:color w:val="auto"/>
                      <w:sz w:val="21"/>
                      <w:szCs w:val="21"/>
                      <w:highlight w:val="none"/>
                      <w:lang w:val="en-US" w:eastAsia="zh-CN"/>
                    </w:rPr>
                    <w:t>.0</w:t>
                  </w:r>
                  <w:r>
                    <w:rPr>
                      <w:rFonts w:hint="default" w:ascii="Times New Roman" w:hAnsi="Times New Roman" w:eastAsia="宋体" w:cs="Times New Roman"/>
                      <w:color w:val="auto"/>
                      <w:sz w:val="21"/>
                      <w:szCs w:val="21"/>
                      <w:highlight w:val="none"/>
                      <w:lang w:val="en-US" w:eastAsia="zh-CN"/>
                    </w:rPr>
                    <w:t xml:space="preserve"> </w:t>
                  </w:r>
                  <w:r>
                    <w:rPr>
                      <w:rFonts w:hint="default" w:ascii="Times New Roman" w:hAnsi="Times New Roman" w:eastAsia="宋体" w:cs="Times New Roman"/>
                      <w:color w:val="auto"/>
                      <w:sz w:val="21"/>
                      <w:szCs w:val="21"/>
                      <w:highlight w:val="none"/>
                    </w:rPr>
                    <w:t>mg/m</w:t>
                  </w:r>
                  <w:r>
                    <w:rPr>
                      <w:rFonts w:hint="default" w:ascii="Times New Roman" w:hAnsi="Times New Roman" w:eastAsia="宋体" w:cs="Times New Roman"/>
                      <w:color w:val="auto"/>
                      <w:sz w:val="21"/>
                      <w:szCs w:val="21"/>
                      <w:highlight w:val="none"/>
                      <w:vertAlign w:val="superscript"/>
                    </w:rPr>
                    <w:t>3</w:t>
                  </w:r>
                </w:p>
              </w:tc>
              <w:tc>
                <w:tcPr>
                  <w:tcW w:w="582" w:type="pct"/>
                  <w:noWrap w:val="0"/>
                  <w:vAlign w:val="center"/>
                </w:tcPr>
                <w:p w14:paraId="6275EE79">
                  <w:pPr>
                    <w:keepNext w:val="0"/>
                    <w:keepLines w:val="0"/>
                    <w:suppressLineNumbers w:val="0"/>
                    <w:adjustRightInd w:val="0"/>
                    <w:snapToGrid w:val="0"/>
                    <w:spacing w:before="0" w:beforeAutospacing="0" w:after="0" w:afterAutospacing="0"/>
                    <w:ind w:left="0" w:right="0"/>
                    <w:jc w:val="center"/>
                    <w:rPr>
                      <w:rFonts w:hint="default" w:cs="Times New Roman"/>
                      <w:color w:val="auto"/>
                      <w:sz w:val="21"/>
                      <w:szCs w:val="21"/>
                      <w:highlight w:val="none"/>
                      <w:lang w:val="en-US" w:eastAsia="zh-CN"/>
                    </w:rPr>
                  </w:pPr>
                  <w:r>
                    <w:rPr>
                      <w:rFonts w:hint="default" w:cs="Times New Roman"/>
                      <w:color w:val="auto"/>
                      <w:sz w:val="21"/>
                      <w:szCs w:val="21"/>
                      <w:highlight w:val="none"/>
                      <w:lang w:val="en-US" w:eastAsia="zh-CN"/>
                    </w:rPr>
                    <w:t>/</w:t>
                  </w:r>
                </w:p>
              </w:tc>
              <w:tc>
                <w:tcPr>
                  <w:tcW w:w="553" w:type="pct"/>
                  <w:gridSpan w:val="2"/>
                  <w:shd w:val="clear" w:color="auto" w:fill="auto"/>
                  <w:noWrap w:val="0"/>
                  <w:vAlign w:val="center"/>
                </w:tcPr>
                <w:p w14:paraId="624937E7">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20（无量纲）</w:t>
                  </w:r>
                </w:p>
              </w:tc>
            </w:tr>
          </w:tbl>
          <w:p w14:paraId="701F7836">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240" w:lineRule="auto"/>
              <w:ind w:left="0" w:right="0" w:firstLine="422" w:firstLineChars="200"/>
              <w:jc w:val="center"/>
              <w:textAlignment w:val="auto"/>
              <w:rPr>
                <w:rFonts w:hint="default" w:ascii="Times New Roman" w:hAnsi="Times New Roman" w:eastAsia="宋体" w:cs="Times New Roman"/>
                <w:b/>
                <w:bCs/>
                <w:color w:val="000000"/>
                <w:kern w:val="0"/>
                <w:sz w:val="21"/>
                <w:szCs w:val="21"/>
                <w:lang w:val="en-US" w:eastAsia="zh-CN" w:bidi="ar-SA"/>
              </w:rPr>
            </w:pPr>
            <w:r>
              <w:rPr>
                <w:rFonts w:hint="default" w:ascii="Times New Roman" w:hAnsi="Times New Roman" w:eastAsia="宋体" w:cs="Times New Roman"/>
                <w:b/>
                <w:bCs/>
                <w:color w:val="000000"/>
                <w:kern w:val="0"/>
                <w:sz w:val="21"/>
                <w:szCs w:val="21"/>
                <w:lang w:val="en-US" w:eastAsia="zh-CN" w:bidi="ar-SA"/>
              </w:rPr>
              <w:t>DA003洁净车间印刷、复合、固化工序废气污染物产排及治理情况一览表</w:t>
            </w:r>
          </w:p>
          <w:tbl>
            <w:tblPr>
              <w:tblStyle w:val="38"/>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50"/>
              <w:gridCol w:w="1386"/>
              <w:gridCol w:w="1391"/>
              <w:gridCol w:w="877"/>
              <w:gridCol w:w="757"/>
              <w:gridCol w:w="1680"/>
              <w:gridCol w:w="840"/>
              <w:gridCol w:w="838"/>
              <w:gridCol w:w="2"/>
            </w:tblGrid>
            <w:tr w14:paraId="029476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8" w:hRule="atLeast"/>
              </w:trPr>
              <w:tc>
                <w:tcPr>
                  <w:tcW w:w="1116" w:type="pct"/>
                  <w:gridSpan w:val="2"/>
                  <w:noWrap w:val="0"/>
                  <w:vAlign w:val="center"/>
                </w:tcPr>
                <w:p w14:paraId="5004F8D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产排污环节名称</w:t>
                  </w:r>
                </w:p>
              </w:tc>
              <w:tc>
                <w:tcPr>
                  <w:tcW w:w="3883" w:type="pct"/>
                  <w:gridSpan w:val="7"/>
                  <w:noWrap w:val="0"/>
                  <w:vAlign w:val="center"/>
                </w:tcPr>
                <w:p w14:paraId="07E507C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bCs/>
                      <w:color w:val="auto"/>
                      <w:szCs w:val="21"/>
                      <w:lang w:val="en-US" w:eastAsia="zh-CN"/>
                    </w:rPr>
                    <w:t>DA003</w:t>
                  </w:r>
                  <w:r>
                    <w:rPr>
                      <w:rFonts w:hint="default" w:ascii="Times New Roman" w:hAnsi="Times New Roman" w:cs="Times New Roman"/>
                      <w:bCs/>
                      <w:color w:val="auto"/>
                      <w:szCs w:val="21"/>
                      <w:lang w:eastAsia="zh-CN"/>
                    </w:rPr>
                    <w:t>洁净车间</w:t>
                  </w:r>
                  <w:r>
                    <w:rPr>
                      <w:rFonts w:hint="default" w:ascii="Times New Roman" w:hAnsi="Times New Roman" w:cs="Times New Roman"/>
                      <w:bCs/>
                      <w:color w:val="auto"/>
                      <w:szCs w:val="21"/>
                    </w:rPr>
                    <w:t>印刷、复合</w:t>
                  </w:r>
                  <w:r>
                    <w:rPr>
                      <w:rFonts w:hint="default" w:ascii="Times New Roman" w:hAnsi="Times New Roman" w:cs="Times New Roman"/>
                      <w:bCs/>
                      <w:color w:val="auto"/>
                      <w:szCs w:val="21"/>
                      <w:lang w:eastAsia="zh-CN"/>
                    </w:rPr>
                    <w:t>、固化</w:t>
                  </w:r>
                  <w:r>
                    <w:rPr>
                      <w:rFonts w:hint="default" w:ascii="Times New Roman" w:hAnsi="Times New Roman" w:cs="Times New Roman"/>
                      <w:bCs/>
                      <w:color w:val="auto"/>
                      <w:szCs w:val="21"/>
                    </w:rPr>
                    <w:t>工序</w:t>
                  </w:r>
                </w:p>
              </w:tc>
            </w:tr>
            <w:tr w14:paraId="206217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2" w:hRule="atLeast"/>
              </w:trPr>
              <w:tc>
                <w:tcPr>
                  <w:tcW w:w="1116" w:type="pct"/>
                  <w:gridSpan w:val="2"/>
                  <w:noWrap w:val="0"/>
                  <w:vAlign w:val="center"/>
                </w:tcPr>
                <w:p w14:paraId="69F71EA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污染物种类</w:t>
                  </w:r>
                </w:p>
              </w:tc>
              <w:tc>
                <w:tcPr>
                  <w:tcW w:w="846" w:type="pct"/>
                  <w:noWrap w:val="0"/>
                  <w:vAlign w:val="center"/>
                </w:tcPr>
                <w:p w14:paraId="451058F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pacing w:val="0"/>
                      <w:position w:val="0"/>
                      <w:sz w:val="21"/>
                      <w:szCs w:val="21"/>
                      <w:highlight w:val="none"/>
                      <w:lang w:eastAsia="zh-CN"/>
                    </w:rPr>
                  </w:pPr>
                  <w:r>
                    <w:rPr>
                      <w:rFonts w:hint="default" w:ascii="Times New Roman" w:hAnsi="Times New Roman" w:eastAsia="宋体" w:cs="Times New Roman"/>
                      <w:color w:val="auto"/>
                      <w:sz w:val="21"/>
                      <w:szCs w:val="21"/>
                      <w:highlight w:val="none"/>
                      <w:lang w:val="en-US" w:eastAsia="zh-CN"/>
                    </w:rPr>
                    <w:t>非甲烷总烃</w:t>
                  </w:r>
                </w:p>
              </w:tc>
              <w:tc>
                <w:tcPr>
                  <w:tcW w:w="533" w:type="pct"/>
                  <w:noWrap w:val="0"/>
                  <w:vAlign w:val="center"/>
                </w:tcPr>
                <w:p w14:paraId="27B7A64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二苯基甲烷二异氰酸酯（MDI）</w:t>
                  </w:r>
                </w:p>
              </w:tc>
              <w:tc>
                <w:tcPr>
                  <w:tcW w:w="460" w:type="pct"/>
                  <w:noWrap w:val="0"/>
                  <w:vAlign w:val="center"/>
                </w:tcPr>
                <w:p w14:paraId="5739556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cs="Times New Roman"/>
                      <w:color w:val="auto"/>
                      <w:sz w:val="21"/>
                      <w:szCs w:val="21"/>
                      <w:highlight w:val="none"/>
                      <w:lang w:val="en-US" w:eastAsia="zh-CN"/>
                    </w:rPr>
                    <w:t>臭气浓度</w:t>
                  </w:r>
                </w:p>
              </w:tc>
              <w:tc>
                <w:tcPr>
                  <w:tcW w:w="1021" w:type="pct"/>
                  <w:noWrap w:val="0"/>
                  <w:vAlign w:val="center"/>
                </w:tcPr>
                <w:p w14:paraId="05E769E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pacing w:val="0"/>
                      <w:kern w:val="2"/>
                      <w:position w:val="0"/>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非甲烷总烃</w:t>
                  </w:r>
                </w:p>
              </w:tc>
              <w:tc>
                <w:tcPr>
                  <w:tcW w:w="510" w:type="pct"/>
                  <w:noWrap w:val="0"/>
                  <w:vAlign w:val="center"/>
                </w:tcPr>
                <w:p w14:paraId="2CA8075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二苯基甲烷二异氰酸酯（MDI）</w:t>
                  </w:r>
                </w:p>
              </w:tc>
              <w:tc>
                <w:tcPr>
                  <w:tcW w:w="510" w:type="pct"/>
                  <w:gridSpan w:val="2"/>
                  <w:noWrap w:val="0"/>
                  <w:vAlign w:val="center"/>
                </w:tcPr>
                <w:p w14:paraId="03B5C97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cs="Times New Roman"/>
                      <w:color w:val="auto"/>
                      <w:sz w:val="21"/>
                      <w:szCs w:val="21"/>
                      <w:highlight w:val="none"/>
                      <w:lang w:val="en-US" w:eastAsia="zh-CN"/>
                    </w:rPr>
                    <w:t>臭气浓度</w:t>
                  </w:r>
                </w:p>
              </w:tc>
            </w:tr>
            <w:tr w14:paraId="5E302A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2" w:hRule="atLeast"/>
              </w:trPr>
              <w:tc>
                <w:tcPr>
                  <w:tcW w:w="273" w:type="pct"/>
                  <w:vMerge w:val="restart"/>
                  <w:noWrap w:val="0"/>
                  <w:vAlign w:val="center"/>
                </w:tcPr>
                <w:p w14:paraId="57530F4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污染物产生情况</w:t>
                  </w:r>
                </w:p>
              </w:tc>
              <w:tc>
                <w:tcPr>
                  <w:tcW w:w="842" w:type="pct"/>
                  <w:noWrap w:val="0"/>
                  <w:vAlign w:val="center"/>
                </w:tcPr>
                <w:p w14:paraId="39301B6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污染物产生量(t/a)</w:t>
                  </w:r>
                </w:p>
              </w:tc>
              <w:tc>
                <w:tcPr>
                  <w:tcW w:w="846" w:type="pct"/>
                  <w:noWrap w:val="0"/>
                  <w:vAlign w:val="center"/>
                </w:tcPr>
                <w:p w14:paraId="3213A1A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bidi="en-US"/>
                    </w:rPr>
                  </w:pPr>
                  <w:r>
                    <w:rPr>
                      <w:rFonts w:hint="default" w:cs="Times New Roman"/>
                      <w:color w:val="auto"/>
                      <w:sz w:val="21"/>
                      <w:szCs w:val="21"/>
                      <w:highlight w:val="none"/>
                      <w:lang w:val="en-US" w:eastAsia="zh-CN" w:bidi="en-US"/>
                    </w:rPr>
                    <w:t>0.913</w:t>
                  </w:r>
                </w:p>
              </w:tc>
              <w:tc>
                <w:tcPr>
                  <w:tcW w:w="533" w:type="pct"/>
                  <w:noWrap w:val="0"/>
                  <w:vAlign w:val="center"/>
                </w:tcPr>
                <w:p w14:paraId="23065C3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cs="Times New Roman"/>
                      <w:color w:val="auto"/>
                      <w:sz w:val="21"/>
                      <w:szCs w:val="21"/>
                      <w:highlight w:val="none"/>
                      <w:lang w:val="en-US" w:eastAsia="zh-CN"/>
                    </w:rPr>
                    <w:t>2.91</w:t>
                  </w:r>
                  <w:r>
                    <w:rPr>
                      <w:rFonts w:hint="default" w:ascii="Times New Roman" w:hAnsi="Times New Roman" w:eastAsia="宋体" w:cs="Times New Roman"/>
                      <w:color w:val="auto"/>
                      <w:sz w:val="21"/>
                      <w:szCs w:val="21"/>
                      <w:highlight w:val="none"/>
                      <w:lang w:val="en-US" w:eastAsia="zh-CN"/>
                    </w:rPr>
                    <w:t>×10</w:t>
                  </w:r>
                  <w:r>
                    <w:rPr>
                      <w:rFonts w:hint="default" w:ascii="Times New Roman" w:hAnsi="Times New Roman" w:eastAsia="宋体" w:cs="Times New Roman"/>
                      <w:color w:val="auto"/>
                      <w:sz w:val="21"/>
                      <w:szCs w:val="21"/>
                      <w:highlight w:val="none"/>
                      <w:vertAlign w:val="superscript"/>
                      <w:lang w:val="en-US" w:eastAsia="zh-CN"/>
                    </w:rPr>
                    <w:t>-4</w:t>
                  </w:r>
                </w:p>
              </w:tc>
              <w:tc>
                <w:tcPr>
                  <w:tcW w:w="460" w:type="pct"/>
                  <w:shd w:val="clear" w:color="auto" w:fill="auto"/>
                  <w:noWrap w:val="0"/>
                  <w:vAlign w:val="center"/>
                </w:tcPr>
                <w:p w14:paraId="3658947D">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cs="Times New Roman"/>
                      <w:color w:val="auto"/>
                      <w:sz w:val="21"/>
                      <w:szCs w:val="21"/>
                      <w:highlight w:val="none"/>
                      <w:lang w:val="en-US" w:eastAsia="zh-CN"/>
                    </w:rPr>
                    <w:t>/</w:t>
                  </w:r>
                </w:p>
              </w:tc>
              <w:tc>
                <w:tcPr>
                  <w:tcW w:w="1021" w:type="pct"/>
                  <w:noWrap w:val="0"/>
                  <w:vAlign w:val="center"/>
                </w:tcPr>
                <w:p w14:paraId="01402E26">
                  <w:pPr>
                    <w:keepNext w:val="0"/>
                    <w:keepLines w:val="0"/>
                    <w:suppressLineNumbers w:val="0"/>
                    <w:adjustRightInd w:val="0"/>
                    <w:snapToGrid w:val="0"/>
                    <w:spacing w:before="0" w:beforeAutospacing="0" w:after="0" w:afterAutospacing="0"/>
                    <w:ind w:left="0" w:right="0"/>
                    <w:jc w:val="center"/>
                    <w:rPr>
                      <w:rFonts w:hint="default" w:cs="Times New Roman"/>
                      <w:color w:val="auto"/>
                      <w:sz w:val="21"/>
                      <w:szCs w:val="21"/>
                      <w:highlight w:val="none"/>
                      <w:lang w:val="en-US" w:eastAsia="zh-CN"/>
                    </w:rPr>
                  </w:pPr>
                  <w:r>
                    <w:rPr>
                      <w:rFonts w:hint="default" w:cs="Times New Roman"/>
                      <w:color w:val="auto"/>
                      <w:sz w:val="21"/>
                      <w:szCs w:val="21"/>
                      <w:highlight w:val="none"/>
                      <w:lang w:val="en-US" w:eastAsia="zh-CN"/>
                    </w:rPr>
                    <w:t>0.101</w:t>
                  </w:r>
                </w:p>
              </w:tc>
              <w:tc>
                <w:tcPr>
                  <w:tcW w:w="510" w:type="pct"/>
                  <w:noWrap w:val="0"/>
                  <w:vAlign w:val="center"/>
                </w:tcPr>
                <w:p w14:paraId="36A2F2A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cs="Times New Roman"/>
                      <w:color w:val="auto"/>
                      <w:sz w:val="21"/>
                      <w:szCs w:val="21"/>
                      <w:highlight w:val="none"/>
                      <w:lang w:val="en-US" w:eastAsia="zh-CN"/>
                    </w:rPr>
                    <w:t>3.23</w:t>
                  </w:r>
                  <w:r>
                    <w:rPr>
                      <w:rFonts w:hint="default" w:ascii="Times New Roman" w:hAnsi="Times New Roman" w:eastAsia="宋体" w:cs="Times New Roman"/>
                      <w:color w:val="auto"/>
                      <w:sz w:val="21"/>
                      <w:szCs w:val="21"/>
                      <w:highlight w:val="none"/>
                      <w:lang w:val="en-US" w:eastAsia="zh-CN"/>
                    </w:rPr>
                    <w:t>×10</w:t>
                  </w:r>
                  <w:r>
                    <w:rPr>
                      <w:rFonts w:hint="default" w:ascii="Times New Roman" w:hAnsi="Times New Roman" w:eastAsia="宋体" w:cs="Times New Roman"/>
                      <w:color w:val="auto"/>
                      <w:sz w:val="21"/>
                      <w:szCs w:val="21"/>
                      <w:highlight w:val="none"/>
                      <w:vertAlign w:val="superscript"/>
                      <w:lang w:val="en-US" w:eastAsia="zh-CN"/>
                    </w:rPr>
                    <w:t>-5</w:t>
                  </w:r>
                </w:p>
              </w:tc>
              <w:tc>
                <w:tcPr>
                  <w:tcW w:w="510" w:type="pct"/>
                  <w:gridSpan w:val="2"/>
                  <w:shd w:val="clear" w:color="auto" w:fill="auto"/>
                  <w:noWrap w:val="0"/>
                  <w:vAlign w:val="center"/>
                </w:tcPr>
                <w:p w14:paraId="51C0674A">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cs="Times New Roman"/>
                      <w:color w:val="auto"/>
                      <w:sz w:val="21"/>
                      <w:szCs w:val="21"/>
                      <w:highlight w:val="none"/>
                      <w:lang w:val="en-US" w:eastAsia="zh-CN"/>
                    </w:rPr>
                    <w:t>/</w:t>
                  </w:r>
                </w:p>
              </w:tc>
            </w:tr>
            <w:tr w14:paraId="18E969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7" w:hRule="atLeast"/>
              </w:trPr>
              <w:tc>
                <w:tcPr>
                  <w:tcW w:w="273" w:type="pct"/>
                  <w:vMerge w:val="continue"/>
                  <w:noWrap w:val="0"/>
                  <w:vAlign w:val="center"/>
                </w:tcPr>
                <w:p w14:paraId="7E49117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842" w:type="pct"/>
                  <w:noWrap w:val="0"/>
                  <w:vAlign w:val="center"/>
                </w:tcPr>
                <w:p w14:paraId="7608996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产生速率（kg/h）</w:t>
                  </w:r>
                </w:p>
              </w:tc>
              <w:tc>
                <w:tcPr>
                  <w:tcW w:w="846" w:type="pct"/>
                  <w:noWrap w:val="0"/>
                  <w:vAlign w:val="center"/>
                </w:tcPr>
                <w:p w14:paraId="6F3C6B6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cs="Times New Roman"/>
                      <w:color w:val="auto"/>
                      <w:sz w:val="21"/>
                      <w:szCs w:val="21"/>
                      <w:highlight w:val="none"/>
                      <w:lang w:val="en-US" w:eastAsia="zh-CN"/>
                    </w:rPr>
                    <w:t>0.127</w:t>
                  </w:r>
                </w:p>
              </w:tc>
              <w:tc>
                <w:tcPr>
                  <w:tcW w:w="533" w:type="pct"/>
                  <w:noWrap w:val="0"/>
                  <w:vAlign w:val="center"/>
                </w:tcPr>
                <w:p w14:paraId="5A8CA85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cs="Times New Roman"/>
                      <w:color w:val="auto"/>
                      <w:sz w:val="21"/>
                      <w:szCs w:val="21"/>
                      <w:highlight w:val="none"/>
                      <w:lang w:val="en-US" w:eastAsia="zh-CN"/>
                    </w:rPr>
                    <w:t>4.04</w:t>
                  </w:r>
                  <w:r>
                    <w:rPr>
                      <w:rFonts w:hint="default" w:ascii="Times New Roman" w:hAnsi="Times New Roman" w:eastAsia="宋体" w:cs="Times New Roman"/>
                      <w:color w:val="auto"/>
                      <w:sz w:val="21"/>
                      <w:szCs w:val="21"/>
                      <w:highlight w:val="none"/>
                      <w:lang w:val="en-US" w:eastAsia="zh-CN"/>
                    </w:rPr>
                    <w:t>×10</w:t>
                  </w:r>
                  <w:r>
                    <w:rPr>
                      <w:rFonts w:hint="default" w:ascii="Times New Roman" w:hAnsi="Times New Roman" w:eastAsia="宋体" w:cs="Times New Roman"/>
                      <w:color w:val="auto"/>
                      <w:sz w:val="21"/>
                      <w:szCs w:val="21"/>
                      <w:highlight w:val="none"/>
                      <w:vertAlign w:val="superscript"/>
                      <w:lang w:val="en-US" w:eastAsia="zh-CN"/>
                    </w:rPr>
                    <w:t>-5</w:t>
                  </w:r>
                </w:p>
              </w:tc>
              <w:tc>
                <w:tcPr>
                  <w:tcW w:w="460" w:type="pct"/>
                  <w:shd w:val="clear" w:color="auto" w:fill="auto"/>
                  <w:noWrap w:val="0"/>
                  <w:vAlign w:val="center"/>
                </w:tcPr>
                <w:p w14:paraId="50A8A489">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cs="Times New Roman"/>
                      <w:color w:val="auto"/>
                      <w:sz w:val="21"/>
                      <w:szCs w:val="21"/>
                      <w:highlight w:val="none"/>
                      <w:lang w:val="en-US" w:eastAsia="zh-CN"/>
                    </w:rPr>
                    <w:t>/</w:t>
                  </w:r>
                </w:p>
              </w:tc>
              <w:tc>
                <w:tcPr>
                  <w:tcW w:w="1021" w:type="pct"/>
                  <w:noWrap w:val="0"/>
                  <w:vAlign w:val="center"/>
                </w:tcPr>
                <w:p w14:paraId="6BBBCA8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cs="Times New Roman"/>
                      <w:color w:val="auto"/>
                      <w:sz w:val="21"/>
                      <w:szCs w:val="21"/>
                      <w:highlight w:val="none"/>
                      <w:lang w:val="en-US" w:eastAsia="zh-CN"/>
                    </w:rPr>
                    <w:t>0.014</w:t>
                  </w:r>
                </w:p>
              </w:tc>
              <w:tc>
                <w:tcPr>
                  <w:tcW w:w="510" w:type="pct"/>
                  <w:noWrap w:val="0"/>
                  <w:vAlign w:val="center"/>
                </w:tcPr>
                <w:p w14:paraId="7D712E7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cs="Times New Roman"/>
                      <w:color w:val="auto"/>
                      <w:sz w:val="21"/>
                      <w:szCs w:val="21"/>
                      <w:highlight w:val="none"/>
                      <w:lang w:val="en-US" w:eastAsia="zh-CN"/>
                    </w:rPr>
                    <w:t>4.48</w:t>
                  </w:r>
                  <w:r>
                    <w:rPr>
                      <w:rFonts w:hint="default" w:ascii="Times New Roman" w:hAnsi="Times New Roman" w:eastAsia="宋体" w:cs="Times New Roman"/>
                      <w:color w:val="auto"/>
                      <w:sz w:val="21"/>
                      <w:szCs w:val="21"/>
                      <w:highlight w:val="none"/>
                      <w:lang w:val="en-US" w:eastAsia="zh-CN"/>
                    </w:rPr>
                    <w:t>×10</w:t>
                  </w:r>
                  <w:r>
                    <w:rPr>
                      <w:rFonts w:hint="default" w:ascii="Times New Roman" w:hAnsi="Times New Roman" w:eastAsia="宋体" w:cs="Times New Roman"/>
                      <w:color w:val="auto"/>
                      <w:sz w:val="21"/>
                      <w:szCs w:val="21"/>
                      <w:highlight w:val="none"/>
                      <w:vertAlign w:val="superscript"/>
                      <w:lang w:val="en-US" w:eastAsia="zh-CN"/>
                    </w:rPr>
                    <w:t>-6</w:t>
                  </w:r>
                </w:p>
              </w:tc>
              <w:tc>
                <w:tcPr>
                  <w:tcW w:w="510" w:type="pct"/>
                  <w:gridSpan w:val="2"/>
                  <w:shd w:val="clear" w:color="auto" w:fill="auto"/>
                  <w:noWrap w:val="0"/>
                  <w:vAlign w:val="center"/>
                </w:tcPr>
                <w:p w14:paraId="22ABBBB8">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cs="Times New Roman"/>
                      <w:color w:val="auto"/>
                      <w:sz w:val="21"/>
                      <w:szCs w:val="21"/>
                      <w:highlight w:val="none"/>
                      <w:lang w:val="en-US" w:eastAsia="zh-CN"/>
                    </w:rPr>
                    <w:t>/</w:t>
                  </w:r>
                </w:p>
              </w:tc>
            </w:tr>
            <w:tr w14:paraId="0C9C04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7" w:hRule="atLeast"/>
              </w:trPr>
              <w:tc>
                <w:tcPr>
                  <w:tcW w:w="273" w:type="pct"/>
                  <w:vMerge w:val="continue"/>
                  <w:noWrap w:val="0"/>
                  <w:vAlign w:val="center"/>
                </w:tcPr>
                <w:p w14:paraId="7EBE849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842" w:type="pct"/>
                  <w:noWrap w:val="0"/>
                  <w:vAlign w:val="center"/>
                </w:tcPr>
                <w:p w14:paraId="7CD3DBC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产生浓度(mg/m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rPr>
                    <w:t>)</w:t>
                  </w:r>
                </w:p>
              </w:tc>
              <w:tc>
                <w:tcPr>
                  <w:tcW w:w="846" w:type="pct"/>
                  <w:noWrap w:val="0"/>
                  <w:vAlign w:val="center"/>
                </w:tcPr>
                <w:p w14:paraId="699FF65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bidi="en-US"/>
                    </w:rPr>
                  </w:pPr>
                  <w:r>
                    <w:rPr>
                      <w:rFonts w:hint="default" w:cs="Times New Roman"/>
                      <w:color w:val="auto"/>
                      <w:sz w:val="21"/>
                      <w:szCs w:val="21"/>
                      <w:highlight w:val="none"/>
                      <w:lang w:val="en-US" w:eastAsia="zh-CN" w:bidi="en-US"/>
                    </w:rPr>
                    <w:t>14.097</w:t>
                  </w:r>
                </w:p>
              </w:tc>
              <w:tc>
                <w:tcPr>
                  <w:tcW w:w="533" w:type="pct"/>
                  <w:noWrap w:val="0"/>
                  <w:vAlign w:val="center"/>
                </w:tcPr>
                <w:p w14:paraId="61C5ED58">
                  <w:pPr>
                    <w:keepNext w:val="0"/>
                    <w:keepLines w:val="0"/>
                    <w:suppressLineNumbers w:val="0"/>
                    <w:adjustRightInd w:val="0"/>
                    <w:snapToGrid w:val="0"/>
                    <w:spacing w:before="0" w:beforeAutospacing="0" w:after="0" w:afterAutospacing="0"/>
                    <w:ind w:left="0" w:right="0"/>
                    <w:jc w:val="center"/>
                    <w:rPr>
                      <w:rFonts w:hint="default" w:cs="Times New Roman"/>
                      <w:color w:val="auto"/>
                      <w:sz w:val="21"/>
                      <w:szCs w:val="21"/>
                      <w:highlight w:val="none"/>
                      <w:lang w:val="en-US" w:eastAsia="zh-CN"/>
                    </w:rPr>
                  </w:pPr>
                  <w:r>
                    <w:rPr>
                      <w:rFonts w:hint="default" w:cs="Times New Roman"/>
                      <w:color w:val="auto"/>
                      <w:sz w:val="21"/>
                      <w:szCs w:val="21"/>
                      <w:highlight w:val="none"/>
                      <w:lang w:val="en-US" w:eastAsia="zh-CN"/>
                    </w:rPr>
                    <w:t>4.48</w:t>
                  </w:r>
                  <w:r>
                    <w:rPr>
                      <w:rFonts w:hint="default" w:ascii="Times New Roman" w:hAnsi="Times New Roman" w:eastAsia="宋体" w:cs="Times New Roman"/>
                      <w:color w:val="auto"/>
                      <w:sz w:val="21"/>
                      <w:szCs w:val="21"/>
                      <w:highlight w:val="none"/>
                      <w:lang w:val="en-US" w:eastAsia="zh-CN"/>
                    </w:rPr>
                    <w:t>×10</w:t>
                  </w:r>
                  <w:r>
                    <w:rPr>
                      <w:rFonts w:hint="default" w:ascii="Times New Roman" w:hAnsi="Times New Roman" w:eastAsia="宋体" w:cs="Times New Roman"/>
                      <w:color w:val="auto"/>
                      <w:sz w:val="21"/>
                      <w:szCs w:val="21"/>
                      <w:highlight w:val="none"/>
                      <w:vertAlign w:val="superscript"/>
                      <w:lang w:val="en-US" w:eastAsia="zh-CN"/>
                    </w:rPr>
                    <w:t>-3</w:t>
                  </w:r>
                </w:p>
              </w:tc>
              <w:tc>
                <w:tcPr>
                  <w:tcW w:w="460" w:type="pct"/>
                  <w:shd w:val="clear" w:color="auto" w:fill="auto"/>
                  <w:noWrap w:val="0"/>
                  <w:vAlign w:val="center"/>
                </w:tcPr>
                <w:p w14:paraId="212871FF">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cs="Times New Roman"/>
                      <w:color w:val="auto"/>
                      <w:sz w:val="21"/>
                      <w:szCs w:val="21"/>
                      <w:highlight w:val="none"/>
                      <w:lang w:val="en-US" w:eastAsia="zh-CN"/>
                    </w:rPr>
                    <w:t>617（无量纲）</w:t>
                  </w:r>
                </w:p>
              </w:tc>
              <w:tc>
                <w:tcPr>
                  <w:tcW w:w="1021" w:type="pct"/>
                  <w:noWrap w:val="0"/>
                  <w:vAlign w:val="center"/>
                </w:tcPr>
                <w:p w14:paraId="4B222FC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510" w:type="pct"/>
                  <w:noWrap w:val="0"/>
                  <w:vAlign w:val="center"/>
                </w:tcPr>
                <w:p w14:paraId="59D9149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510" w:type="pct"/>
                  <w:gridSpan w:val="2"/>
                  <w:shd w:val="clear" w:color="auto" w:fill="auto"/>
                  <w:noWrap w:val="0"/>
                  <w:vAlign w:val="center"/>
                </w:tcPr>
                <w:p w14:paraId="455C3951">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cs="Times New Roman"/>
                      <w:color w:val="auto"/>
                      <w:sz w:val="21"/>
                      <w:szCs w:val="21"/>
                      <w:highlight w:val="none"/>
                      <w:lang w:val="en-US" w:eastAsia="zh-CN"/>
                    </w:rPr>
                    <w:t>15（无量纲）</w:t>
                  </w:r>
                </w:p>
              </w:tc>
            </w:tr>
            <w:tr w14:paraId="5F79F5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 w:type="pct"/>
                <w:trHeight w:val="302" w:hRule="atLeast"/>
              </w:trPr>
              <w:tc>
                <w:tcPr>
                  <w:tcW w:w="1116" w:type="pct"/>
                  <w:gridSpan w:val="2"/>
                  <w:noWrap w:val="0"/>
                  <w:vAlign w:val="center"/>
                </w:tcPr>
                <w:p w14:paraId="6C9598E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排放形式</w:t>
                  </w:r>
                </w:p>
              </w:tc>
              <w:tc>
                <w:tcPr>
                  <w:tcW w:w="1839" w:type="pct"/>
                  <w:gridSpan w:val="3"/>
                  <w:noWrap w:val="0"/>
                  <w:vAlign w:val="center"/>
                </w:tcPr>
                <w:p w14:paraId="1577272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有组织</w:t>
                  </w:r>
                </w:p>
              </w:tc>
              <w:tc>
                <w:tcPr>
                  <w:tcW w:w="2042" w:type="pct"/>
                  <w:gridSpan w:val="3"/>
                  <w:noWrap w:val="0"/>
                  <w:vAlign w:val="center"/>
                </w:tcPr>
                <w:p w14:paraId="4974180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无组织</w:t>
                  </w:r>
                </w:p>
              </w:tc>
            </w:tr>
            <w:tr w14:paraId="176C79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9" w:hRule="atLeast"/>
              </w:trPr>
              <w:tc>
                <w:tcPr>
                  <w:tcW w:w="273" w:type="pct"/>
                  <w:vMerge w:val="restart"/>
                  <w:noWrap w:val="0"/>
                  <w:vAlign w:val="center"/>
                </w:tcPr>
                <w:p w14:paraId="45681E4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治理</w:t>
                  </w:r>
                </w:p>
                <w:p w14:paraId="19FB9BA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设施</w:t>
                  </w:r>
                </w:p>
              </w:tc>
              <w:tc>
                <w:tcPr>
                  <w:tcW w:w="842" w:type="pct"/>
                  <w:noWrap w:val="0"/>
                  <w:vAlign w:val="center"/>
                </w:tcPr>
                <w:p w14:paraId="3AE2B14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治理工艺</w:t>
                  </w:r>
                </w:p>
              </w:tc>
              <w:tc>
                <w:tcPr>
                  <w:tcW w:w="1839" w:type="pct"/>
                  <w:gridSpan w:val="3"/>
                  <w:noWrap w:val="0"/>
                  <w:vAlign w:val="center"/>
                </w:tcPr>
                <w:p w14:paraId="1E1D27A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bidi="en-US"/>
                    </w:rPr>
                  </w:pPr>
                  <w:r>
                    <w:rPr>
                      <w:rFonts w:hint="default" w:ascii="Times New Roman" w:hAnsi="Times New Roman" w:eastAsia="宋体" w:cs="Times New Roman"/>
                      <w:color w:val="auto"/>
                      <w:sz w:val="21"/>
                      <w:szCs w:val="21"/>
                      <w:highlight w:val="none"/>
                      <w:lang w:val="en-US" w:eastAsia="zh-CN"/>
                    </w:rPr>
                    <w:t>二级活性炭吸附</w:t>
                  </w:r>
                </w:p>
              </w:tc>
              <w:tc>
                <w:tcPr>
                  <w:tcW w:w="2043" w:type="pct"/>
                  <w:gridSpan w:val="4"/>
                  <w:noWrap w:val="0"/>
                  <w:vAlign w:val="center"/>
                </w:tcPr>
                <w:p w14:paraId="3F4F719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车间密闭</w:t>
                  </w:r>
                </w:p>
              </w:tc>
            </w:tr>
            <w:tr w14:paraId="42B718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273" w:type="pct"/>
                  <w:vMerge w:val="continue"/>
                  <w:noWrap w:val="0"/>
                  <w:vAlign w:val="center"/>
                </w:tcPr>
                <w:p w14:paraId="79154FA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842" w:type="pct"/>
                  <w:noWrap w:val="0"/>
                  <w:vAlign w:val="center"/>
                </w:tcPr>
                <w:p w14:paraId="1AF7D4F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处理能力(m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rPr>
                    <w:t>/h)</w:t>
                  </w:r>
                </w:p>
              </w:tc>
              <w:tc>
                <w:tcPr>
                  <w:tcW w:w="1839" w:type="pct"/>
                  <w:gridSpan w:val="3"/>
                  <w:noWrap w:val="0"/>
                  <w:vAlign w:val="center"/>
                </w:tcPr>
                <w:p w14:paraId="43F9B1F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bidi="en-US"/>
                    </w:rPr>
                  </w:pPr>
                  <w:r>
                    <w:rPr>
                      <w:rFonts w:hint="default" w:cs="Times New Roman"/>
                      <w:color w:val="auto"/>
                      <w:sz w:val="21"/>
                      <w:szCs w:val="21"/>
                      <w:highlight w:val="none"/>
                      <w:lang w:val="en-US" w:eastAsia="zh-CN"/>
                    </w:rPr>
                    <w:t>9000</w:t>
                  </w:r>
                </w:p>
              </w:tc>
              <w:tc>
                <w:tcPr>
                  <w:tcW w:w="2043" w:type="pct"/>
                  <w:gridSpan w:val="4"/>
                  <w:noWrap w:val="0"/>
                  <w:vAlign w:val="center"/>
                </w:tcPr>
                <w:p w14:paraId="0BD90EA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r>
            <w:tr w14:paraId="144E7B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2" w:hRule="atLeast"/>
              </w:trPr>
              <w:tc>
                <w:tcPr>
                  <w:tcW w:w="273" w:type="pct"/>
                  <w:vMerge w:val="continue"/>
                  <w:noWrap w:val="0"/>
                  <w:vAlign w:val="center"/>
                </w:tcPr>
                <w:p w14:paraId="5DDEA5C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842" w:type="pct"/>
                  <w:noWrap w:val="0"/>
                  <w:vAlign w:val="center"/>
                </w:tcPr>
                <w:p w14:paraId="376944A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收集效率(%)</w:t>
                  </w:r>
                </w:p>
              </w:tc>
              <w:tc>
                <w:tcPr>
                  <w:tcW w:w="1839" w:type="pct"/>
                  <w:gridSpan w:val="3"/>
                  <w:noWrap w:val="0"/>
                  <w:vAlign w:val="center"/>
                </w:tcPr>
                <w:p w14:paraId="6DD7DB9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bidi="en-US"/>
                    </w:rPr>
                  </w:pPr>
                  <w:r>
                    <w:rPr>
                      <w:rFonts w:hint="default" w:ascii="Times New Roman" w:hAnsi="Times New Roman" w:eastAsia="宋体" w:cs="Times New Roman"/>
                      <w:color w:val="auto"/>
                      <w:sz w:val="21"/>
                      <w:szCs w:val="21"/>
                      <w:highlight w:val="none"/>
                      <w:lang w:val="en-US" w:eastAsia="zh-CN"/>
                    </w:rPr>
                    <w:t>90</w:t>
                  </w:r>
                </w:p>
              </w:tc>
              <w:tc>
                <w:tcPr>
                  <w:tcW w:w="2043" w:type="pct"/>
                  <w:gridSpan w:val="4"/>
                  <w:noWrap w:val="0"/>
                  <w:vAlign w:val="center"/>
                </w:tcPr>
                <w:p w14:paraId="677B155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r>
            <w:tr w14:paraId="6C6003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2" w:hRule="atLeast"/>
              </w:trPr>
              <w:tc>
                <w:tcPr>
                  <w:tcW w:w="273" w:type="pct"/>
                  <w:vMerge w:val="continue"/>
                  <w:noWrap w:val="0"/>
                  <w:vAlign w:val="center"/>
                </w:tcPr>
                <w:p w14:paraId="47F73BC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842" w:type="pct"/>
                  <w:noWrap w:val="0"/>
                  <w:vAlign w:val="center"/>
                </w:tcPr>
                <w:p w14:paraId="1F60F19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去除率(%)</w:t>
                  </w:r>
                </w:p>
              </w:tc>
              <w:tc>
                <w:tcPr>
                  <w:tcW w:w="1839" w:type="pct"/>
                  <w:gridSpan w:val="3"/>
                  <w:noWrap w:val="0"/>
                  <w:vAlign w:val="center"/>
                </w:tcPr>
                <w:p w14:paraId="7BC03FC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bidi="en-US"/>
                    </w:rPr>
                  </w:pPr>
                  <w:r>
                    <w:rPr>
                      <w:rFonts w:hint="default" w:cs="Times New Roman"/>
                      <w:color w:val="auto"/>
                      <w:sz w:val="21"/>
                      <w:szCs w:val="21"/>
                      <w:highlight w:val="none"/>
                      <w:lang w:val="en-US" w:eastAsia="zh-CN"/>
                    </w:rPr>
                    <w:t>90</w:t>
                  </w:r>
                </w:p>
              </w:tc>
              <w:tc>
                <w:tcPr>
                  <w:tcW w:w="2043" w:type="pct"/>
                  <w:gridSpan w:val="4"/>
                  <w:noWrap w:val="0"/>
                  <w:vAlign w:val="center"/>
                </w:tcPr>
                <w:p w14:paraId="1BDBE49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r>
            <w:tr w14:paraId="0AFBB1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2" w:hRule="atLeast"/>
              </w:trPr>
              <w:tc>
                <w:tcPr>
                  <w:tcW w:w="273" w:type="pct"/>
                  <w:vMerge w:val="continue"/>
                  <w:noWrap w:val="0"/>
                  <w:vAlign w:val="center"/>
                </w:tcPr>
                <w:p w14:paraId="5D162AD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842" w:type="pct"/>
                  <w:noWrap w:val="0"/>
                  <w:vAlign w:val="center"/>
                </w:tcPr>
                <w:p w14:paraId="6CFA2F3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cs="Times New Roman"/>
                      <w:color w:val="auto"/>
                      <w:sz w:val="21"/>
                      <w:szCs w:val="21"/>
                      <w:highlight w:val="none"/>
                      <w:lang w:eastAsia="zh-CN"/>
                    </w:rPr>
                    <w:t>年工作时间（</w:t>
                  </w:r>
                  <w:r>
                    <w:rPr>
                      <w:rFonts w:hint="default" w:cs="Times New Roman"/>
                      <w:color w:val="auto"/>
                      <w:sz w:val="21"/>
                      <w:szCs w:val="21"/>
                      <w:highlight w:val="none"/>
                      <w:lang w:val="en-US" w:eastAsia="zh-CN"/>
                    </w:rPr>
                    <w:t>h/a）</w:t>
                  </w:r>
                </w:p>
              </w:tc>
              <w:tc>
                <w:tcPr>
                  <w:tcW w:w="1839" w:type="pct"/>
                  <w:gridSpan w:val="3"/>
                  <w:noWrap w:val="0"/>
                  <w:vAlign w:val="center"/>
                </w:tcPr>
                <w:p w14:paraId="6553A3C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cs="Times New Roman"/>
                      <w:color w:val="auto"/>
                      <w:sz w:val="21"/>
                      <w:szCs w:val="21"/>
                      <w:highlight w:val="none"/>
                      <w:lang w:val="en-US" w:eastAsia="zh-CN"/>
                    </w:rPr>
                    <w:t>7200</w:t>
                  </w:r>
                </w:p>
              </w:tc>
              <w:tc>
                <w:tcPr>
                  <w:tcW w:w="2043" w:type="pct"/>
                  <w:gridSpan w:val="4"/>
                  <w:noWrap w:val="0"/>
                  <w:vAlign w:val="center"/>
                </w:tcPr>
                <w:p w14:paraId="707C5BD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cs="Times New Roman"/>
                      <w:color w:val="auto"/>
                      <w:sz w:val="21"/>
                      <w:szCs w:val="21"/>
                      <w:highlight w:val="none"/>
                      <w:lang w:val="en-US" w:eastAsia="zh-CN"/>
                    </w:rPr>
                    <w:t>/</w:t>
                  </w:r>
                </w:p>
              </w:tc>
            </w:tr>
            <w:tr w14:paraId="3EF095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2" w:hRule="atLeast"/>
              </w:trPr>
              <w:tc>
                <w:tcPr>
                  <w:tcW w:w="273" w:type="pct"/>
                  <w:vMerge w:val="continue"/>
                  <w:noWrap w:val="0"/>
                  <w:vAlign w:val="center"/>
                </w:tcPr>
                <w:p w14:paraId="2B0283A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842" w:type="pct"/>
                  <w:noWrap w:val="0"/>
                  <w:vAlign w:val="center"/>
                </w:tcPr>
                <w:p w14:paraId="3C14B41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是否可行技术</w:t>
                  </w:r>
                </w:p>
              </w:tc>
              <w:tc>
                <w:tcPr>
                  <w:tcW w:w="1839" w:type="pct"/>
                  <w:gridSpan w:val="3"/>
                  <w:noWrap w:val="0"/>
                  <w:vAlign w:val="center"/>
                </w:tcPr>
                <w:p w14:paraId="14DC041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bidi="en-US"/>
                    </w:rPr>
                  </w:pPr>
                  <w:r>
                    <w:rPr>
                      <w:rFonts w:hint="default" w:ascii="Times New Roman" w:hAnsi="Times New Roman" w:eastAsia="宋体" w:cs="Times New Roman"/>
                      <w:color w:val="auto"/>
                      <w:sz w:val="21"/>
                      <w:szCs w:val="21"/>
                      <w:highlight w:val="none"/>
                      <w:lang w:val="en-US" w:eastAsia="zh-CN"/>
                    </w:rPr>
                    <w:t>是</w:t>
                  </w:r>
                </w:p>
              </w:tc>
              <w:tc>
                <w:tcPr>
                  <w:tcW w:w="2043" w:type="pct"/>
                  <w:gridSpan w:val="4"/>
                  <w:noWrap w:val="0"/>
                  <w:vAlign w:val="center"/>
                </w:tcPr>
                <w:p w14:paraId="31350A1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是</w:t>
                  </w:r>
                </w:p>
              </w:tc>
            </w:tr>
            <w:tr w14:paraId="10AE67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0" w:hRule="atLeast"/>
              </w:trPr>
              <w:tc>
                <w:tcPr>
                  <w:tcW w:w="273" w:type="pct"/>
                  <w:vMerge w:val="restart"/>
                  <w:noWrap w:val="0"/>
                  <w:vAlign w:val="center"/>
                </w:tcPr>
                <w:p w14:paraId="7A26790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污染物排放情况</w:t>
                  </w:r>
                </w:p>
              </w:tc>
              <w:tc>
                <w:tcPr>
                  <w:tcW w:w="842" w:type="pct"/>
                  <w:noWrap w:val="0"/>
                  <w:vAlign w:val="center"/>
                </w:tcPr>
                <w:p w14:paraId="51ACF05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排放浓度(mg/m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rPr>
                    <w:t>)</w:t>
                  </w:r>
                </w:p>
              </w:tc>
              <w:tc>
                <w:tcPr>
                  <w:tcW w:w="846" w:type="pct"/>
                  <w:noWrap w:val="0"/>
                  <w:vAlign w:val="center"/>
                </w:tcPr>
                <w:p w14:paraId="15A266B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bidi="en-US"/>
                    </w:rPr>
                  </w:pPr>
                  <w:r>
                    <w:rPr>
                      <w:rFonts w:hint="default" w:cs="Times New Roman"/>
                      <w:color w:val="auto"/>
                      <w:sz w:val="21"/>
                      <w:szCs w:val="21"/>
                      <w:highlight w:val="none"/>
                      <w:lang w:val="en-US" w:eastAsia="zh-CN" w:bidi="en-US"/>
                    </w:rPr>
                    <w:t>1.410</w:t>
                  </w:r>
                </w:p>
              </w:tc>
              <w:tc>
                <w:tcPr>
                  <w:tcW w:w="533" w:type="pct"/>
                  <w:noWrap w:val="0"/>
                  <w:vAlign w:val="center"/>
                </w:tcPr>
                <w:p w14:paraId="4062A41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cs="Times New Roman"/>
                      <w:color w:val="auto"/>
                      <w:sz w:val="21"/>
                      <w:szCs w:val="21"/>
                      <w:highlight w:val="none"/>
                      <w:lang w:val="en-US" w:eastAsia="zh-CN"/>
                    </w:rPr>
                    <w:t>4.48</w:t>
                  </w:r>
                  <w:r>
                    <w:rPr>
                      <w:rFonts w:hint="default" w:ascii="Times New Roman" w:hAnsi="Times New Roman" w:eastAsia="宋体" w:cs="Times New Roman"/>
                      <w:color w:val="auto"/>
                      <w:sz w:val="21"/>
                      <w:szCs w:val="21"/>
                      <w:highlight w:val="none"/>
                      <w:lang w:val="en-US" w:eastAsia="zh-CN"/>
                    </w:rPr>
                    <w:t>×10</w:t>
                  </w:r>
                  <w:r>
                    <w:rPr>
                      <w:rFonts w:hint="default" w:ascii="Times New Roman" w:hAnsi="Times New Roman" w:eastAsia="宋体" w:cs="Times New Roman"/>
                      <w:color w:val="auto"/>
                      <w:sz w:val="21"/>
                      <w:szCs w:val="21"/>
                      <w:highlight w:val="none"/>
                      <w:vertAlign w:val="superscript"/>
                      <w:lang w:val="en-US" w:eastAsia="zh-CN"/>
                    </w:rPr>
                    <w:t>-4</w:t>
                  </w:r>
                </w:p>
              </w:tc>
              <w:tc>
                <w:tcPr>
                  <w:tcW w:w="460" w:type="pct"/>
                  <w:shd w:val="clear" w:color="auto" w:fill="auto"/>
                  <w:noWrap w:val="0"/>
                  <w:vAlign w:val="center"/>
                </w:tcPr>
                <w:p w14:paraId="4D121B12">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100（无量纲）</w:t>
                  </w:r>
                </w:p>
              </w:tc>
              <w:tc>
                <w:tcPr>
                  <w:tcW w:w="1021" w:type="pct"/>
                  <w:noWrap w:val="0"/>
                  <w:vAlign w:val="center"/>
                </w:tcPr>
                <w:p w14:paraId="3DAB358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w:t>
                  </w:r>
                </w:p>
              </w:tc>
              <w:tc>
                <w:tcPr>
                  <w:tcW w:w="510" w:type="pct"/>
                  <w:noWrap w:val="0"/>
                  <w:vAlign w:val="center"/>
                </w:tcPr>
                <w:p w14:paraId="3321109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510" w:type="pct"/>
                  <w:gridSpan w:val="2"/>
                  <w:shd w:val="clear" w:color="auto" w:fill="auto"/>
                  <w:noWrap w:val="0"/>
                  <w:vAlign w:val="center"/>
                </w:tcPr>
                <w:p w14:paraId="787E5BAC">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cs="Times New Roman"/>
                      <w:color w:val="auto"/>
                      <w:sz w:val="21"/>
                      <w:szCs w:val="21"/>
                      <w:highlight w:val="none"/>
                      <w:lang w:val="en-US" w:eastAsia="zh-CN"/>
                    </w:rPr>
                    <w:t>15（无量纲）</w:t>
                  </w:r>
                </w:p>
              </w:tc>
            </w:tr>
            <w:tr w14:paraId="160F0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2" w:hRule="atLeast"/>
              </w:trPr>
              <w:tc>
                <w:tcPr>
                  <w:tcW w:w="273" w:type="pct"/>
                  <w:vMerge w:val="continue"/>
                  <w:noWrap w:val="0"/>
                  <w:vAlign w:val="center"/>
                </w:tcPr>
                <w:p w14:paraId="21ADF48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842" w:type="pct"/>
                  <w:noWrap w:val="0"/>
                  <w:vAlign w:val="center"/>
                </w:tcPr>
                <w:p w14:paraId="03534E8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排放速率(kg/h)</w:t>
                  </w:r>
                </w:p>
              </w:tc>
              <w:tc>
                <w:tcPr>
                  <w:tcW w:w="846" w:type="pct"/>
                  <w:noWrap w:val="0"/>
                  <w:vAlign w:val="center"/>
                </w:tcPr>
                <w:p w14:paraId="60B0E11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en-US"/>
                    </w:rPr>
                  </w:pPr>
                  <w:r>
                    <w:rPr>
                      <w:rFonts w:hint="default" w:cs="Times New Roman"/>
                      <w:color w:val="auto"/>
                      <w:kern w:val="2"/>
                      <w:sz w:val="21"/>
                      <w:szCs w:val="21"/>
                      <w:highlight w:val="none"/>
                      <w:lang w:val="en-US" w:eastAsia="zh-CN" w:bidi="en-US"/>
                    </w:rPr>
                    <w:t>0.013</w:t>
                  </w:r>
                </w:p>
              </w:tc>
              <w:tc>
                <w:tcPr>
                  <w:tcW w:w="533" w:type="pct"/>
                  <w:noWrap w:val="0"/>
                  <w:vAlign w:val="center"/>
                </w:tcPr>
                <w:p w14:paraId="03C9168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cs="Times New Roman"/>
                      <w:color w:val="auto"/>
                      <w:sz w:val="21"/>
                      <w:szCs w:val="21"/>
                      <w:highlight w:val="none"/>
                      <w:lang w:val="en-US" w:eastAsia="zh-CN"/>
                    </w:rPr>
                    <w:t>4.04</w:t>
                  </w:r>
                  <w:r>
                    <w:rPr>
                      <w:rFonts w:hint="default" w:ascii="Times New Roman" w:hAnsi="Times New Roman" w:eastAsia="宋体" w:cs="Times New Roman"/>
                      <w:color w:val="auto"/>
                      <w:sz w:val="21"/>
                      <w:szCs w:val="21"/>
                      <w:highlight w:val="none"/>
                      <w:lang w:val="en-US" w:eastAsia="zh-CN"/>
                    </w:rPr>
                    <w:t>×10</w:t>
                  </w:r>
                  <w:r>
                    <w:rPr>
                      <w:rFonts w:hint="default" w:ascii="Times New Roman" w:hAnsi="Times New Roman" w:eastAsia="宋体" w:cs="Times New Roman"/>
                      <w:color w:val="auto"/>
                      <w:sz w:val="21"/>
                      <w:szCs w:val="21"/>
                      <w:highlight w:val="none"/>
                      <w:vertAlign w:val="superscript"/>
                      <w:lang w:val="en-US" w:eastAsia="zh-CN"/>
                    </w:rPr>
                    <w:t>-</w:t>
                  </w:r>
                  <w:r>
                    <w:rPr>
                      <w:rFonts w:hint="default" w:cs="Times New Roman"/>
                      <w:color w:val="auto"/>
                      <w:sz w:val="21"/>
                      <w:szCs w:val="21"/>
                      <w:highlight w:val="none"/>
                      <w:vertAlign w:val="superscript"/>
                      <w:lang w:val="en-US" w:eastAsia="zh-CN"/>
                    </w:rPr>
                    <w:t>6</w:t>
                  </w:r>
                </w:p>
              </w:tc>
              <w:tc>
                <w:tcPr>
                  <w:tcW w:w="460" w:type="pct"/>
                  <w:shd w:val="clear" w:color="auto" w:fill="auto"/>
                  <w:noWrap w:val="0"/>
                  <w:vAlign w:val="center"/>
                </w:tcPr>
                <w:p w14:paraId="6B9FA623">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w:t>
                  </w:r>
                </w:p>
              </w:tc>
              <w:tc>
                <w:tcPr>
                  <w:tcW w:w="1021" w:type="pct"/>
                  <w:noWrap w:val="0"/>
                  <w:vAlign w:val="center"/>
                </w:tcPr>
                <w:p w14:paraId="0DAFA5A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cs="Times New Roman"/>
                      <w:color w:val="auto"/>
                      <w:kern w:val="2"/>
                      <w:sz w:val="21"/>
                      <w:szCs w:val="21"/>
                      <w:highlight w:val="none"/>
                      <w:lang w:val="en-US" w:eastAsia="zh-CN" w:bidi="ar-SA"/>
                    </w:rPr>
                    <w:t>0.014</w:t>
                  </w:r>
                </w:p>
              </w:tc>
              <w:tc>
                <w:tcPr>
                  <w:tcW w:w="510" w:type="pct"/>
                  <w:noWrap w:val="0"/>
                  <w:vAlign w:val="center"/>
                </w:tcPr>
                <w:p w14:paraId="359A288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cs="Times New Roman"/>
                      <w:color w:val="auto"/>
                      <w:sz w:val="21"/>
                      <w:szCs w:val="21"/>
                      <w:highlight w:val="none"/>
                      <w:lang w:val="en-US" w:eastAsia="zh-CN"/>
                    </w:rPr>
                    <w:t>4.48</w:t>
                  </w:r>
                  <w:r>
                    <w:rPr>
                      <w:rFonts w:hint="default" w:ascii="Times New Roman" w:hAnsi="Times New Roman" w:eastAsia="宋体" w:cs="Times New Roman"/>
                      <w:color w:val="auto"/>
                      <w:sz w:val="21"/>
                      <w:szCs w:val="21"/>
                      <w:highlight w:val="none"/>
                      <w:lang w:val="en-US" w:eastAsia="zh-CN"/>
                    </w:rPr>
                    <w:t>×10</w:t>
                  </w:r>
                  <w:r>
                    <w:rPr>
                      <w:rFonts w:hint="default" w:ascii="Times New Roman" w:hAnsi="Times New Roman" w:eastAsia="宋体" w:cs="Times New Roman"/>
                      <w:color w:val="auto"/>
                      <w:sz w:val="21"/>
                      <w:szCs w:val="21"/>
                      <w:highlight w:val="none"/>
                      <w:vertAlign w:val="superscript"/>
                      <w:lang w:val="en-US" w:eastAsia="zh-CN"/>
                    </w:rPr>
                    <w:t>-6</w:t>
                  </w:r>
                </w:p>
              </w:tc>
              <w:tc>
                <w:tcPr>
                  <w:tcW w:w="510" w:type="pct"/>
                  <w:gridSpan w:val="2"/>
                  <w:shd w:val="clear" w:color="auto" w:fill="auto"/>
                  <w:noWrap w:val="0"/>
                  <w:vAlign w:val="center"/>
                </w:tcPr>
                <w:p w14:paraId="780FB87F">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cs="Times New Roman"/>
                      <w:color w:val="auto"/>
                      <w:sz w:val="21"/>
                      <w:szCs w:val="21"/>
                      <w:highlight w:val="none"/>
                      <w:lang w:val="en-US" w:eastAsia="zh-CN"/>
                    </w:rPr>
                    <w:t>/</w:t>
                  </w:r>
                </w:p>
              </w:tc>
            </w:tr>
            <w:tr w14:paraId="37E82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5" w:hRule="atLeast"/>
              </w:trPr>
              <w:tc>
                <w:tcPr>
                  <w:tcW w:w="273" w:type="pct"/>
                  <w:vMerge w:val="continue"/>
                  <w:noWrap w:val="0"/>
                  <w:vAlign w:val="center"/>
                </w:tcPr>
                <w:p w14:paraId="4EC1F49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842" w:type="pct"/>
                  <w:noWrap w:val="0"/>
                  <w:vAlign w:val="center"/>
                </w:tcPr>
                <w:p w14:paraId="4B169ED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排放量(t/a)</w:t>
                  </w:r>
                </w:p>
              </w:tc>
              <w:tc>
                <w:tcPr>
                  <w:tcW w:w="846" w:type="pct"/>
                  <w:noWrap w:val="0"/>
                  <w:vAlign w:val="center"/>
                </w:tcPr>
                <w:p w14:paraId="3B80467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en-US"/>
                    </w:rPr>
                  </w:pPr>
                  <w:r>
                    <w:rPr>
                      <w:rFonts w:hint="default" w:cs="Times New Roman"/>
                      <w:color w:val="auto"/>
                      <w:kern w:val="2"/>
                      <w:sz w:val="21"/>
                      <w:szCs w:val="21"/>
                      <w:highlight w:val="none"/>
                      <w:lang w:val="en-US" w:eastAsia="zh-CN" w:bidi="en-US"/>
                    </w:rPr>
                    <w:t>0.091</w:t>
                  </w:r>
                </w:p>
              </w:tc>
              <w:tc>
                <w:tcPr>
                  <w:tcW w:w="533" w:type="pct"/>
                  <w:noWrap w:val="0"/>
                  <w:vAlign w:val="center"/>
                </w:tcPr>
                <w:p w14:paraId="0DB23C4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cs="Times New Roman"/>
                      <w:color w:val="auto"/>
                      <w:sz w:val="21"/>
                      <w:szCs w:val="21"/>
                      <w:highlight w:val="none"/>
                      <w:lang w:val="en-US" w:eastAsia="zh-CN"/>
                    </w:rPr>
                    <w:t>2.91</w:t>
                  </w:r>
                  <w:r>
                    <w:rPr>
                      <w:rFonts w:hint="default" w:ascii="Times New Roman" w:hAnsi="Times New Roman" w:eastAsia="宋体" w:cs="Times New Roman"/>
                      <w:color w:val="auto"/>
                      <w:sz w:val="21"/>
                      <w:szCs w:val="21"/>
                      <w:highlight w:val="none"/>
                      <w:lang w:val="en-US" w:eastAsia="zh-CN"/>
                    </w:rPr>
                    <w:t>×10</w:t>
                  </w:r>
                  <w:r>
                    <w:rPr>
                      <w:rFonts w:hint="default" w:ascii="Times New Roman" w:hAnsi="Times New Roman" w:eastAsia="宋体" w:cs="Times New Roman"/>
                      <w:color w:val="auto"/>
                      <w:sz w:val="21"/>
                      <w:szCs w:val="21"/>
                      <w:highlight w:val="none"/>
                      <w:vertAlign w:val="superscript"/>
                      <w:lang w:val="en-US" w:eastAsia="zh-CN"/>
                    </w:rPr>
                    <w:t>-</w:t>
                  </w:r>
                  <w:r>
                    <w:rPr>
                      <w:rFonts w:hint="default" w:cs="Times New Roman"/>
                      <w:color w:val="auto"/>
                      <w:sz w:val="21"/>
                      <w:szCs w:val="21"/>
                      <w:highlight w:val="none"/>
                      <w:vertAlign w:val="superscript"/>
                      <w:lang w:val="en-US" w:eastAsia="zh-CN"/>
                    </w:rPr>
                    <w:t>5</w:t>
                  </w:r>
                </w:p>
              </w:tc>
              <w:tc>
                <w:tcPr>
                  <w:tcW w:w="460" w:type="pct"/>
                  <w:shd w:val="clear" w:color="auto" w:fill="auto"/>
                  <w:noWrap w:val="0"/>
                  <w:vAlign w:val="center"/>
                </w:tcPr>
                <w:p w14:paraId="0C133D2A">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w:t>
                  </w:r>
                </w:p>
              </w:tc>
              <w:tc>
                <w:tcPr>
                  <w:tcW w:w="1021" w:type="pct"/>
                  <w:noWrap w:val="0"/>
                  <w:vAlign w:val="center"/>
                </w:tcPr>
                <w:p w14:paraId="61986F0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cs="Times New Roman"/>
                      <w:color w:val="auto"/>
                      <w:kern w:val="2"/>
                      <w:sz w:val="21"/>
                      <w:szCs w:val="21"/>
                      <w:highlight w:val="none"/>
                      <w:lang w:val="en-US" w:eastAsia="zh-CN" w:bidi="ar-SA"/>
                    </w:rPr>
                    <w:t>0.101</w:t>
                  </w:r>
                </w:p>
              </w:tc>
              <w:tc>
                <w:tcPr>
                  <w:tcW w:w="510" w:type="pct"/>
                  <w:noWrap w:val="0"/>
                  <w:vAlign w:val="center"/>
                </w:tcPr>
                <w:p w14:paraId="456D703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cs="Times New Roman"/>
                      <w:color w:val="auto"/>
                      <w:sz w:val="21"/>
                      <w:szCs w:val="21"/>
                      <w:highlight w:val="none"/>
                      <w:lang w:val="en-US" w:eastAsia="zh-CN"/>
                    </w:rPr>
                    <w:t>3.23</w:t>
                  </w:r>
                  <w:r>
                    <w:rPr>
                      <w:rFonts w:hint="default" w:ascii="Times New Roman" w:hAnsi="Times New Roman" w:eastAsia="宋体" w:cs="Times New Roman"/>
                      <w:color w:val="auto"/>
                      <w:sz w:val="21"/>
                      <w:szCs w:val="21"/>
                      <w:highlight w:val="none"/>
                      <w:lang w:val="en-US" w:eastAsia="zh-CN"/>
                    </w:rPr>
                    <w:t>×10</w:t>
                  </w:r>
                  <w:r>
                    <w:rPr>
                      <w:rFonts w:hint="default" w:ascii="Times New Roman" w:hAnsi="Times New Roman" w:eastAsia="宋体" w:cs="Times New Roman"/>
                      <w:color w:val="auto"/>
                      <w:sz w:val="21"/>
                      <w:szCs w:val="21"/>
                      <w:highlight w:val="none"/>
                      <w:vertAlign w:val="superscript"/>
                      <w:lang w:val="en-US" w:eastAsia="zh-CN"/>
                    </w:rPr>
                    <w:t>-5</w:t>
                  </w:r>
                </w:p>
              </w:tc>
              <w:tc>
                <w:tcPr>
                  <w:tcW w:w="510" w:type="pct"/>
                  <w:gridSpan w:val="2"/>
                  <w:shd w:val="clear" w:color="auto" w:fill="auto"/>
                  <w:noWrap w:val="0"/>
                  <w:vAlign w:val="center"/>
                </w:tcPr>
                <w:p w14:paraId="09D19721">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cs="Times New Roman"/>
                      <w:color w:val="auto"/>
                      <w:sz w:val="21"/>
                      <w:szCs w:val="21"/>
                      <w:highlight w:val="none"/>
                      <w:lang w:val="en-US" w:eastAsia="zh-CN"/>
                    </w:rPr>
                    <w:t>/</w:t>
                  </w:r>
                </w:p>
              </w:tc>
            </w:tr>
            <w:tr w14:paraId="032DDB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2" w:hRule="atLeast"/>
              </w:trPr>
              <w:tc>
                <w:tcPr>
                  <w:tcW w:w="273" w:type="pct"/>
                  <w:vMerge w:val="restart"/>
                  <w:noWrap w:val="0"/>
                  <w:vAlign w:val="center"/>
                </w:tcPr>
                <w:p w14:paraId="3CF41C0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排放口基本情况</w:t>
                  </w:r>
                </w:p>
              </w:tc>
              <w:tc>
                <w:tcPr>
                  <w:tcW w:w="842" w:type="pct"/>
                  <w:noWrap w:val="0"/>
                  <w:vAlign w:val="center"/>
                </w:tcPr>
                <w:p w14:paraId="5EE3538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排气筒高度(m)</w:t>
                  </w:r>
                </w:p>
              </w:tc>
              <w:tc>
                <w:tcPr>
                  <w:tcW w:w="1839" w:type="pct"/>
                  <w:gridSpan w:val="3"/>
                  <w:noWrap w:val="0"/>
                  <w:vAlign w:val="center"/>
                </w:tcPr>
                <w:p w14:paraId="7AB7715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bidi="en-US"/>
                    </w:rPr>
                  </w:pPr>
                  <w:r>
                    <w:rPr>
                      <w:rFonts w:hint="default" w:ascii="Times New Roman" w:hAnsi="Times New Roman" w:eastAsia="宋体" w:cs="Times New Roman"/>
                      <w:color w:val="auto"/>
                      <w:sz w:val="21"/>
                      <w:szCs w:val="21"/>
                      <w:highlight w:val="none"/>
                      <w:lang w:val="en-US" w:eastAsia="zh-CN"/>
                    </w:rPr>
                    <w:t>15</w:t>
                  </w:r>
                </w:p>
              </w:tc>
              <w:tc>
                <w:tcPr>
                  <w:tcW w:w="2043" w:type="pct"/>
                  <w:gridSpan w:val="4"/>
                  <w:noWrap w:val="0"/>
                  <w:vAlign w:val="center"/>
                </w:tcPr>
                <w:p w14:paraId="488109C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w:t>
                  </w:r>
                </w:p>
              </w:tc>
            </w:tr>
            <w:tr w14:paraId="4E1B37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2" w:hRule="atLeast"/>
              </w:trPr>
              <w:tc>
                <w:tcPr>
                  <w:tcW w:w="273" w:type="pct"/>
                  <w:vMerge w:val="continue"/>
                  <w:noWrap w:val="0"/>
                  <w:vAlign w:val="center"/>
                </w:tcPr>
                <w:p w14:paraId="4C4DA7E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842" w:type="pct"/>
                  <w:noWrap w:val="0"/>
                  <w:vAlign w:val="center"/>
                </w:tcPr>
                <w:p w14:paraId="38F6AF8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排气筒内径(m)</w:t>
                  </w:r>
                </w:p>
              </w:tc>
              <w:tc>
                <w:tcPr>
                  <w:tcW w:w="1839" w:type="pct"/>
                  <w:gridSpan w:val="3"/>
                  <w:noWrap w:val="0"/>
                  <w:vAlign w:val="center"/>
                </w:tcPr>
                <w:p w14:paraId="466CFAB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en-US"/>
                    </w:rPr>
                  </w:pPr>
                  <w:r>
                    <w:rPr>
                      <w:rFonts w:hint="default" w:cs="Times New Roman"/>
                      <w:color w:val="auto"/>
                      <w:sz w:val="21"/>
                      <w:szCs w:val="21"/>
                      <w:highlight w:val="none"/>
                      <w:lang w:val="en-US" w:eastAsia="zh-CN"/>
                    </w:rPr>
                    <w:t>0.45</w:t>
                  </w:r>
                </w:p>
              </w:tc>
              <w:tc>
                <w:tcPr>
                  <w:tcW w:w="2043" w:type="pct"/>
                  <w:gridSpan w:val="4"/>
                  <w:noWrap w:val="0"/>
                  <w:vAlign w:val="center"/>
                </w:tcPr>
                <w:p w14:paraId="56793AD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w:t>
                  </w:r>
                </w:p>
              </w:tc>
            </w:tr>
            <w:tr w14:paraId="7F704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2" w:hRule="atLeast"/>
              </w:trPr>
              <w:tc>
                <w:tcPr>
                  <w:tcW w:w="273" w:type="pct"/>
                  <w:vMerge w:val="continue"/>
                  <w:noWrap w:val="0"/>
                  <w:vAlign w:val="center"/>
                </w:tcPr>
                <w:p w14:paraId="758E568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842" w:type="pct"/>
                  <w:noWrap w:val="0"/>
                  <w:vAlign w:val="center"/>
                </w:tcPr>
                <w:p w14:paraId="5DC29AA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eastAsia="zh-CN"/>
                    </w:rPr>
                    <w:t>烟气流速（</w:t>
                  </w:r>
                  <w:r>
                    <w:rPr>
                      <w:rFonts w:hint="default" w:ascii="Times New Roman" w:hAnsi="Times New Roman" w:eastAsia="宋体" w:cs="Times New Roman"/>
                      <w:color w:val="auto"/>
                      <w:sz w:val="21"/>
                      <w:szCs w:val="21"/>
                      <w:highlight w:val="none"/>
                      <w:lang w:val="en-US" w:eastAsia="zh-CN"/>
                    </w:rPr>
                    <w:t>m/s</w:t>
                  </w:r>
                  <w:r>
                    <w:rPr>
                      <w:rFonts w:hint="default" w:ascii="Times New Roman" w:hAnsi="Times New Roman" w:eastAsia="宋体" w:cs="Times New Roman"/>
                      <w:color w:val="auto"/>
                      <w:sz w:val="21"/>
                      <w:szCs w:val="21"/>
                      <w:highlight w:val="none"/>
                      <w:lang w:eastAsia="zh-CN"/>
                    </w:rPr>
                    <w:t>）</w:t>
                  </w:r>
                </w:p>
              </w:tc>
              <w:tc>
                <w:tcPr>
                  <w:tcW w:w="1839" w:type="pct"/>
                  <w:gridSpan w:val="3"/>
                  <w:noWrap w:val="0"/>
                  <w:vAlign w:val="center"/>
                </w:tcPr>
                <w:p w14:paraId="0195FB4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en-US"/>
                    </w:rPr>
                  </w:pPr>
                  <w:r>
                    <w:rPr>
                      <w:rFonts w:hint="default" w:cs="Times New Roman"/>
                      <w:color w:val="auto"/>
                      <w:sz w:val="21"/>
                      <w:szCs w:val="21"/>
                      <w:highlight w:val="none"/>
                      <w:lang w:val="en-US" w:eastAsia="zh-CN"/>
                    </w:rPr>
                    <w:t>15.72</w:t>
                  </w:r>
                </w:p>
              </w:tc>
              <w:tc>
                <w:tcPr>
                  <w:tcW w:w="2043" w:type="pct"/>
                  <w:gridSpan w:val="4"/>
                  <w:noWrap w:val="0"/>
                  <w:vAlign w:val="center"/>
                </w:tcPr>
                <w:p w14:paraId="5191291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w:t>
                  </w:r>
                </w:p>
              </w:tc>
            </w:tr>
            <w:tr w14:paraId="2090CD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2" w:hRule="atLeast"/>
              </w:trPr>
              <w:tc>
                <w:tcPr>
                  <w:tcW w:w="273" w:type="pct"/>
                  <w:vMerge w:val="continue"/>
                  <w:noWrap w:val="0"/>
                  <w:vAlign w:val="center"/>
                </w:tcPr>
                <w:p w14:paraId="7867B9B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842" w:type="pct"/>
                  <w:noWrap w:val="0"/>
                  <w:vAlign w:val="center"/>
                </w:tcPr>
                <w:p w14:paraId="3590E47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温度(℃)</w:t>
                  </w:r>
                </w:p>
              </w:tc>
              <w:tc>
                <w:tcPr>
                  <w:tcW w:w="1839" w:type="pct"/>
                  <w:gridSpan w:val="3"/>
                  <w:noWrap w:val="0"/>
                  <w:vAlign w:val="center"/>
                </w:tcPr>
                <w:p w14:paraId="767EE67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bidi="en-US"/>
                    </w:rPr>
                  </w:pPr>
                  <w:r>
                    <w:rPr>
                      <w:rFonts w:hint="default" w:ascii="Times New Roman" w:hAnsi="Times New Roman" w:eastAsia="宋体" w:cs="Times New Roman"/>
                      <w:color w:val="auto"/>
                      <w:sz w:val="21"/>
                      <w:szCs w:val="21"/>
                      <w:highlight w:val="none"/>
                      <w:lang w:val="en-US" w:eastAsia="zh-CN"/>
                    </w:rPr>
                    <w:t>常温</w:t>
                  </w:r>
                </w:p>
              </w:tc>
              <w:tc>
                <w:tcPr>
                  <w:tcW w:w="2043" w:type="pct"/>
                  <w:gridSpan w:val="4"/>
                  <w:noWrap w:val="0"/>
                  <w:vAlign w:val="center"/>
                </w:tcPr>
                <w:p w14:paraId="127A492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w:t>
                  </w:r>
                </w:p>
              </w:tc>
            </w:tr>
            <w:tr w14:paraId="0098CE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2" w:hRule="atLeast"/>
              </w:trPr>
              <w:tc>
                <w:tcPr>
                  <w:tcW w:w="273" w:type="pct"/>
                  <w:vMerge w:val="continue"/>
                  <w:noWrap w:val="0"/>
                  <w:vAlign w:val="center"/>
                </w:tcPr>
                <w:p w14:paraId="48E3F40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842" w:type="pct"/>
                  <w:noWrap w:val="0"/>
                  <w:vAlign w:val="center"/>
                </w:tcPr>
                <w:p w14:paraId="1BB4DBC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编号及名称</w:t>
                  </w:r>
                </w:p>
              </w:tc>
              <w:tc>
                <w:tcPr>
                  <w:tcW w:w="1839" w:type="pct"/>
                  <w:gridSpan w:val="3"/>
                  <w:noWrap w:val="0"/>
                  <w:vAlign w:val="center"/>
                </w:tcPr>
                <w:p w14:paraId="3CCDF19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bidi="en-US"/>
                    </w:rPr>
                  </w:pPr>
                  <w:r>
                    <w:rPr>
                      <w:rFonts w:hint="default" w:ascii="Times New Roman" w:hAnsi="Times New Roman" w:eastAsia="宋体" w:cs="Times New Roman"/>
                      <w:color w:val="auto"/>
                      <w:sz w:val="21"/>
                      <w:szCs w:val="21"/>
                      <w:highlight w:val="none"/>
                      <w:lang w:val="en-US" w:eastAsia="zh-CN"/>
                    </w:rPr>
                    <w:t>DA00</w:t>
                  </w:r>
                  <w:r>
                    <w:rPr>
                      <w:rFonts w:hint="default" w:cs="Times New Roman"/>
                      <w:color w:val="auto"/>
                      <w:sz w:val="21"/>
                      <w:szCs w:val="21"/>
                      <w:highlight w:val="none"/>
                      <w:lang w:val="en-US" w:eastAsia="zh-CN"/>
                    </w:rPr>
                    <w:t>3</w:t>
                  </w:r>
                </w:p>
              </w:tc>
              <w:tc>
                <w:tcPr>
                  <w:tcW w:w="2043" w:type="pct"/>
                  <w:gridSpan w:val="4"/>
                  <w:noWrap w:val="0"/>
                  <w:vAlign w:val="center"/>
                </w:tcPr>
                <w:p w14:paraId="457688D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w:t>
                  </w:r>
                </w:p>
              </w:tc>
            </w:tr>
            <w:tr w14:paraId="45F603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2" w:hRule="atLeast"/>
              </w:trPr>
              <w:tc>
                <w:tcPr>
                  <w:tcW w:w="273" w:type="pct"/>
                  <w:vMerge w:val="continue"/>
                  <w:noWrap w:val="0"/>
                  <w:vAlign w:val="center"/>
                </w:tcPr>
                <w:p w14:paraId="091B682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842" w:type="pct"/>
                  <w:noWrap w:val="0"/>
                  <w:vAlign w:val="center"/>
                </w:tcPr>
                <w:p w14:paraId="74448C2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类型</w:t>
                  </w:r>
                </w:p>
              </w:tc>
              <w:tc>
                <w:tcPr>
                  <w:tcW w:w="1839" w:type="pct"/>
                  <w:gridSpan w:val="3"/>
                  <w:noWrap w:val="0"/>
                  <w:vAlign w:val="center"/>
                </w:tcPr>
                <w:p w14:paraId="0DB9FF7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bidi="en-US"/>
                    </w:rPr>
                  </w:pPr>
                  <w:r>
                    <w:rPr>
                      <w:rFonts w:hint="default" w:ascii="Times New Roman" w:hAnsi="Times New Roman" w:eastAsia="宋体" w:cs="Times New Roman"/>
                      <w:color w:val="auto"/>
                      <w:sz w:val="21"/>
                      <w:szCs w:val="21"/>
                      <w:highlight w:val="none"/>
                      <w:lang w:val="en-US" w:eastAsia="zh-CN"/>
                    </w:rPr>
                    <w:t>一般排放口</w:t>
                  </w:r>
                </w:p>
              </w:tc>
              <w:tc>
                <w:tcPr>
                  <w:tcW w:w="2043" w:type="pct"/>
                  <w:gridSpan w:val="4"/>
                  <w:noWrap w:val="0"/>
                  <w:vAlign w:val="center"/>
                </w:tcPr>
                <w:p w14:paraId="10134B0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w:t>
                  </w:r>
                </w:p>
              </w:tc>
            </w:tr>
            <w:tr w14:paraId="36FB87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2" w:hRule="atLeast"/>
              </w:trPr>
              <w:tc>
                <w:tcPr>
                  <w:tcW w:w="273" w:type="pct"/>
                  <w:vMerge w:val="continue"/>
                  <w:noWrap w:val="0"/>
                  <w:vAlign w:val="center"/>
                </w:tcPr>
                <w:p w14:paraId="2D165F9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842" w:type="pct"/>
                  <w:noWrap w:val="0"/>
                  <w:vAlign w:val="center"/>
                </w:tcPr>
                <w:p w14:paraId="1CAD658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地理坐标</w:t>
                  </w:r>
                </w:p>
              </w:tc>
              <w:tc>
                <w:tcPr>
                  <w:tcW w:w="1839" w:type="pct"/>
                  <w:gridSpan w:val="3"/>
                  <w:noWrap w:val="0"/>
                  <w:vAlign w:val="center"/>
                </w:tcPr>
                <w:p w14:paraId="734AC93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rPr>
                    <w:t>N</w:t>
                  </w:r>
                  <w:r>
                    <w:rPr>
                      <w:rFonts w:hint="default" w:cs="Times New Roman"/>
                      <w:color w:val="auto"/>
                      <w:highlight w:val="none"/>
                      <w:lang w:val="en-US" w:eastAsia="zh-CN"/>
                    </w:rPr>
                    <w:t>38.338110</w:t>
                  </w:r>
                  <w:r>
                    <w:rPr>
                      <w:rFonts w:hint="default" w:ascii="Times New Roman" w:hAnsi="Times New Roman" w:cs="Times New Roman"/>
                      <w:color w:val="auto"/>
                      <w:highlight w:val="none"/>
                      <w:lang w:val="en-US" w:eastAsia="zh-CN"/>
                    </w:rPr>
                    <w:t>°</w:t>
                  </w:r>
                </w:p>
                <w:p w14:paraId="7E93EE0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E</w:t>
                  </w:r>
                  <w:r>
                    <w:rPr>
                      <w:rFonts w:hint="default" w:cs="Times New Roman"/>
                      <w:color w:val="auto"/>
                      <w:highlight w:val="none"/>
                      <w:lang w:val="en-US" w:eastAsia="zh-CN"/>
                    </w:rPr>
                    <w:t>117.526434</w:t>
                  </w:r>
                  <w:r>
                    <w:rPr>
                      <w:rFonts w:hint="default" w:ascii="Times New Roman" w:hAnsi="Times New Roman" w:cs="Times New Roman"/>
                      <w:color w:val="auto"/>
                      <w:highlight w:val="none"/>
                      <w:lang w:val="en-US" w:eastAsia="zh-CN"/>
                    </w:rPr>
                    <w:t>°</w:t>
                  </w:r>
                </w:p>
              </w:tc>
              <w:tc>
                <w:tcPr>
                  <w:tcW w:w="2043" w:type="pct"/>
                  <w:gridSpan w:val="4"/>
                  <w:noWrap w:val="0"/>
                  <w:vAlign w:val="center"/>
                </w:tcPr>
                <w:p w14:paraId="37B259D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r>
            <w:tr w14:paraId="458DEF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9" w:hRule="atLeast"/>
              </w:trPr>
              <w:tc>
                <w:tcPr>
                  <w:tcW w:w="273" w:type="pct"/>
                  <w:vMerge w:val="restart"/>
                  <w:noWrap w:val="0"/>
                  <w:vAlign w:val="center"/>
                </w:tcPr>
                <w:p w14:paraId="51CC580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排放</w:t>
                  </w:r>
                </w:p>
                <w:p w14:paraId="21A00E8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w:t>
                  </w:r>
                </w:p>
              </w:tc>
              <w:tc>
                <w:tcPr>
                  <w:tcW w:w="842" w:type="pct"/>
                  <w:noWrap w:val="0"/>
                  <w:vAlign w:val="center"/>
                </w:tcPr>
                <w:p w14:paraId="11BF144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标准名称</w:t>
                  </w:r>
                </w:p>
              </w:tc>
              <w:tc>
                <w:tcPr>
                  <w:tcW w:w="846" w:type="pct"/>
                  <w:noWrap w:val="0"/>
                  <w:vAlign w:val="center"/>
                </w:tcPr>
                <w:p w14:paraId="00A1316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《合成树脂工业污染物排放标准》（GB31572-2015</w:t>
                  </w:r>
                  <w:r>
                    <w:rPr>
                      <w:rFonts w:hint="default" w:ascii="Times New Roman" w:hAnsi="Times New Roman" w:eastAsia="宋体" w:cs="Times New Roman"/>
                      <w:color w:val="auto"/>
                      <w:sz w:val="21"/>
                      <w:szCs w:val="21"/>
                      <w:highlight w:val="none"/>
                      <w:lang w:val="en-US" w:eastAsia="zh-CN"/>
                    </w:rPr>
                    <w:t>，含2024修改单</w:t>
                  </w:r>
                  <w:r>
                    <w:rPr>
                      <w:rFonts w:hint="default" w:ascii="Times New Roman" w:hAnsi="Times New Roman" w:eastAsia="宋体" w:cs="Times New Roman"/>
                      <w:color w:val="auto"/>
                      <w:sz w:val="21"/>
                      <w:szCs w:val="21"/>
                      <w:highlight w:val="none"/>
                    </w:rPr>
                    <w:t>）表5大气污染物特别排放限值</w:t>
                  </w:r>
                  <w:r>
                    <w:rPr>
                      <w:rFonts w:hint="default"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lang w:val="en-US" w:eastAsia="zh-CN"/>
                    </w:rPr>
                    <w:t>《工业企业挥发性有机物排放控制标准》（DB13/2322-20</w:t>
                  </w:r>
                  <w:r>
                    <w:rPr>
                      <w:rFonts w:hint="default" w:cs="Times New Roman"/>
                      <w:color w:val="auto"/>
                      <w:sz w:val="21"/>
                      <w:szCs w:val="21"/>
                      <w:highlight w:val="none"/>
                      <w:lang w:val="en-US" w:eastAsia="zh-CN"/>
                    </w:rPr>
                    <w:t>25</w:t>
                  </w:r>
                  <w:r>
                    <w:rPr>
                      <w:rFonts w:hint="default" w:ascii="Times New Roman" w:hAnsi="Times New Roman" w:eastAsia="宋体" w:cs="Times New Roman"/>
                      <w:color w:val="auto"/>
                      <w:sz w:val="21"/>
                      <w:szCs w:val="21"/>
                      <w:highlight w:val="none"/>
                      <w:lang w:val="en-US" w:eastAsia="zh-CN"/>
                    </w:rPr>
                    <w:t>）表1中</w:t>
                  </w:r>
                  <w:r>
                    <w:rPr>
                      <w:rFonts w:hint="default" w:cs="Times New Roman"/>
                      <w:color w:val="auto"/>
                      <w:sz w:val="21"/>
                      <w:szCs w:val="21"/>
                      <w:highlight w:val="none"/>
                      <w:lang w:val="en-US" w:eastAsia="zh-CN"/>
                    </w:rPr>
                    <w:t>塑料制品制造行业</w:t>
                  </w:r>
                  <w:r>
                    <w:rPr>
                      <w:rFonts w:hint="default" w:ascii="Times New Roman" w:hAnsi="Times New Roman" w:eastAsia="宋体" w:cs="Times New Roman"/>
                      <w:color w:val="auto"/>
                      <w:sz w:val="21"/>
                      <w:szCs w:val="21"/>
                      <w:highlight w:val="none"/>
                      <w:lang w:val="en-US" w:eastAsia="zh-CN"/>
                    </w:rPr>
                    <w:t>排放限值要求</w:t>
                  </w:r>
                  <w:r>
                    <w:rPr>
                      <w:rFonts w:hint="default" w:cs="Times New Roman"/>
                      <w:color w:val="auto"/>
                      <w:sz w:val="21"/>
                      <w:szCs w:val="21"/>
                      <w:highlight w:val="none"/>
                      <w:lang w:val="en-US" w:eastAsia="zh-CN"/>
                    </w:rPr>
                    <w:t>、《印刷工业挥发性有机物排放标准》（DB13/6188-2025）表1中排放限值要求</w:t>
                  </w:r>
                </w:p>
              </w:tc>
              <w:tc>
                <w:tcPr>
                  <w:tcW w:w="533" w:type="pct"/>
                  <w:noWrap w:val="0"/>
                  <w:vAlign w:val="center"/>
                </w:tcPr>
                <w:p w14:paraId="1694F6C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《合成树脂工业污染物排放标准》（GB31572-2015</w:t>
                  </w:r>
                  <w:r>
                    <w:rPr>
                      <w:rFonts w:hint="default" w:ascii="Times New Roman" w:hAnsi="Times New Roman" w:eastAsia="宋体" w:cs="Times New Roman"/>
                      <w:color w:val="auto"/>
                      <w:sz w:val="21"/>
                      <w:szCs w:val="21"/>
                      <w:highlight w:val="none"/>
                      <w:lang w:val="en-US" w:eastAsia="zh-CN"/>
                    </w:rPr>
                    <w:t>，含2024修改单</w:t>
                  </w:r>
                  <w:r>
                    <w:rPr>
                      <w:rFonts w:hint="default" w:ascii="Times New Roman" w:hAnsi="Times New Roman" w:eastAsia="宋体" w:cs="Times New Roman"/>
                      <w:color w:val="auto"/>
                      <w:sz w:val="21"/>
                      <w:szCs w:val="21"/>
                      <w:highlight w:val="none"/>
                    </w:rPr>
                    <w:t>）表5大气污染物特别排放限值</w:t>
                  </w:r>
                </w:p>
              </w:tc>
              <w:tc>
                <w:tcPr>
                  <w:tcW w:w="460" w:type="pct"/>
                  <w:shd w:val="clear" w:color="auto" w:fill="auto"/>
                  <w:noWrap w:val="0"/>
                  <w:vAlign w:val="center"/>
                </w:tcPr>
                <w:p w14:paraId="3B09615C">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《恶臭污染物排放标准》（GB 14554-93）表2中标准</w:t>
                  </w:r>
                </w:p>
              </w:tc>
              <w:tc>
                <w:tcPr>
                  <w:tcW w:w="1021" w:type="pct"/>
                  <w:noWrap w:val="0"/>
                  <w:vAlign w:val="center"/>
                </w:tcPr>
                <w:p w14:paraId="7B6015E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《合成树脂工业污染物排放标准》（GB31572-2015，含2024修改单）表9企业边界大气污染物浓度限值</w:t>
                  </w:r>
                  <w:r>
                    <w:rPr>
                      <w:rFonts w:hint="default"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val="en-US" w:eastAsia="zh-CN"/>
                    </w:rPr>
                    <w:t>《工业企业挥发性有机物排放控制标准》（DB13/2322-2025）表2厂区内挥发性有机物无组织排放限值</w:t>
                  </w:r>
                  <w:r>
                    <w:rPr>
                      <w:rFonts w:hint="default" w:cs="Times New Roman"/>
                      <w:color w:val="auto"/>
                      <w:sz w:val="21"/>
                      <w:szCs w:val="21"/>
                      <w:highlight w:val="none"/>
                      <w:lang w:val="en-US" w:eastAsia="zh-CN"/>
                    </w:rPr>
                    <w:t>、《印刷工业挥发性有机物排放标准》（DB13/6188-2025）表2厂区内挥发性有机物无组织排放限值</w:t>
                  </w:r>
                </w:p>
              </w:tc>
              <w:tc>
                <w:tcPr>
                  <w:tcW w:w="510" w:type="pct"/>
                  <w:noWrap w:val="0"/>
                  <w:vAlign w:val="center"/>
                </w:tcPr>
                <w:p w14:paraId="0491B275">
                  <w:pPr>
                    <w:keepNext w:val="0"/>
                    <w:keepLines w:val="0"/>
                    <w:suppressLineNumbers w:val="0"/>
                    <w:adjustRightInd w:val="0"/>
                    <w:snapToGrid w:val="0"/>
                    <w:spacing w:before="0" w:beforeAutospacing="0" w:after="0" w:afterAutospacing="0"/>
                    <w:ind w:left="0" w:right="0"/>
                    <w:jc w:val="center"/>
                    <w:rPr>
                      <w:rFonts w:hint="default" w:cs="Times New Roman"/>
                      <w:color w:val="auto"/>
                      <w:sz w:val="21"/>
                      <w:szCs w:val="21"/>
                      <w:highlight w:val="none"/>
                      <w:lang w:val="en-US" w:eastAsia="zh-CN"/>
                    </w:rPr>
                  </w:pPr>
                  <w:r>
                    <w:rPr>
                      <w:rFonts w:hint="default" w:cs="Times New Roman"/>
                      <w:color w:val="auto"/>
                      <w:sz w:val="21"/>
                      <w:szCs w:val="21"/>
                      <w:highlight w:val="none"/>
                      <w:lang w:val="en-US" w:eastAsia="zh-CN"/>
                    </w:rPr>
                    <w:t>/</w:t>
                  </w:r>
                </w:p>
              </w:tc>
              <w:tc>
                <w:tcPr>
                  <w:tcW w:w="510" w:type="pct"/>
                  <w:gridSpan w:val="2"/>
                  <w:shd w:val="clear" w:color="auto" w:fill="auto"/>
                  <w:noWrap w:val="0"/>
                  <w:vAlign w:val="center"/>
                </w:tcPr>
                <w:p w14:paraId="01484DBD">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《恶臭污染物排放标准》（GB 14554-93）表1中</w:t>
                  </w:r>
                  <w:r>
                    <w:rPr>
                      <w:rFonts w:hint="default" w:ascii="Times New Roman" w:hAnsi="Times New Roman" w:eastAsia="宋体" w:cs="Times New Roman"/>
                      <w:color w:val="auto"/>
                      <w:sz w:val="21"/>
                      <w:szCs w:val="21"/>
                      <w:highlight w:val="none"/>
                      <w:lang w:val="en-US" w:eastAsia="zh-CN"/>
                    </w:rPr>
                    <w:t>二级新改扩建</w:t>
                  </w:r>
                  <w:r>
                    <w:rPr>
                      <w:rFonts w:hint="default" w:ascii="Times New Roman" w:hAnsi="Times New Roman" w:eastAsia="宋体" w:cs="Times New Roman"/>
                      <w:color w:val="auto"/>
                      <w:sz w:val="21"/>
                      <w:szCs w:val="21"/>
                      <w:highlight w:val="none"/>
                    </w:rPr>
                    <w:t>标准</w:t>
                  </w:r>
                </w:p>
              </w:tc>
            </w:tr>
            <w:tr w14:paraId="07D072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3" w:hRule="atLeast"/>
              </w:trPr>
              <w:tc>
                <w:tcPr>
                  <w:tcW w:w="273" w:type="pct"/>
                  <w:vMerge w:val="continue"/>
                  <w:noWrap w:val="0"/>
                  <w:vAlign w:val="center"/>
                </w:tcPr>
                <w:p w14:paraId="66DE6C4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842" w:type="pct"/>
                  <w:noWrap w:val="0"/>
                  <w:vAlign w:val="center"/>
                </w:tcPr>
                <w:p w14:paraId="3244ECF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eastAsia="zh-CN"/>
                    </w:rPr>
                  </w:pPr>
                  <w:r>
                    <w:rPr>
                      <w:rFonts w:hint="default" w:cs="Times New Roman"/>
                      <w:color w:val="auto"/>
                      <w:sz w:val="21"/>
                      <w:szCs w:val="21"/>
                      <w:highlight w:val="none"/>
                      <w:lang w:eastAsia="zh-CN"/>
                    </w:rPr>
                    <w:t>标准值</w:t>
                  </w:r>
                </w:p>
              </w:tc>
              <w:tc>
                <w:tcPr>
                  <w:tcW w:w="846" w:type="pct"/>
                  <w:noWrap w:val="0"/>
                  <w:vAlign w:val="center"/>
                </w:tcPr>
                <w:p w14:paraId="0355610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vertAlign w:val="baseline"/>
                      <w:lang w:val="en-US" w:eastAsia="zh-CN"/>
                    </w:rPr>
                  </w:pPr>
                  <w:r>
                    <w:rPr>
                      <w:rFonts w:hint="default" w:cs="Times New Roman"/>
                      <w:color w:val="auto"/>
                      <w:sz w:val="21"/>
                      <w:highlight w:val="none"/>
                      <w:u w:val="none" w:color="000000"/>
                      <w:lang w:val="en-US" w:eastAsia="zh-CN"/>
                    </w:rPr>
                    <w:t>3</w:t>
                  </w:r>
                  <w:r>
                    <w:rPr>
                      <w:rFonts w:hint="default" w:ascii="Times New Roman" w:hAnsi="Times New Roman" w:cs="Times New Roman"/>
                      <w:color w:val="auto"/>
                      <w:sz w:val="21"/>
                      <w:highlight w:val="none"/>
                      <w:u w:val="none" w:color="000000"/>
                      <w:lang w:val="en-US" w:eastAsia="zh-CN"/>
                    </w:rPr>
                    <w:t>0</w:t>
                  </w:r>
                  <w:r>
                    <w:rPr>
                      <w:rFonts w:hint="default" w:ascii="Times New Roman" w:hAnsi="Times New Roman" w:cs="Times New Roman"/>
                      <w:color w:val="auto"/>
                      <w:sz w:val="21"/>
                      <w:szCs w:val="21"/>
                      <w:highlight w:val="none"/>
                    </w:rPr>
                    <w:t>mg/m</w:t>
                  </w:r>
                  <w:r>
                    <w:rPr>
                      <w:rFonts w:hint="default" w:ascii="Times New Roman" w:hAnsi="Times New Roman" w:cs="Times New Roman"/>
                      <w:color w:val="auto"/>
                      <w:sz w:val="21"/>
                      <w:szCs w:val="21"/>
                      <w:highlight w:val="none"/>
                      <w:vertAlign w:val="superscript"/>
                    </w:rPr>
                    <w:t>3</w:t>
                  </w:r>
                </w:p>
              </w:tc>
              <w:tc>
                <w:tcPr>
                  <w:tcW w:w="533" w:type="pct"/>
                  <w:noWrap w:val="0"/>
                  <w:vAlign w:val="center"/>
                </w:tcPr>
                <w:p w14:paraId="641CA752">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1"/>
                      <w:highlight w:val="none"/>
                      <w:u w:val="none" w:color="000000"/>
                      <w:lang w:val="en-US" w:eastAsia="zh-CN"/>
                    </w:rPr>
                  </w:pPr>
                  <w:r>
                    <w:rPr>
                      <w:rFonts w:hint="default" w:ascii="Times New Roman" w:hAnsi="Times New Roman" w:cs="Times New Roman"/>
                      <w:color w:val="auto"/>
                      <w:sz w:val="21"/>
                      <w:highlight w:val="none"/>
                      <w:u w:val="none" w:color="000000"/>
                      <w:lang w:val="en-US" w:eastAsia="zh-CN"/>
                    </w:rPr>
                    <w:t>1</w:t>
                  </w:r>
                  <w:r>
                    <w:rPr>
                      <w:rFonts w:hint="default" w:ascii="Times New Roman" w:hAnsi="Times New Roman" w:cs="Times New Roman"/>
                      <w:color w:val="auto"/>
                      <w:sz w:val="21"/>
                      <w:szCs w:val="21"/>
                      <w:highlight w:val="none"/>
                    </w:rPr>
                    <w:t>mg/m</w:t>
                  </w:r>
                  <w:r>
                    <w:rPr>
                      <w:rFonts w:hint="default" w:ascii="Times New Roman" w:hAnsi="Times New Roman" w:cs="Times New Roman"/>
                      <w:color w:val="auto"/>
                      <w:sz w:val="21"/>
                      <w:szCs w:val="21"/>
                      <w:highlight w:val="none"/>
                      <w:vertAlign w:val="superscript"/>
                    </w:rPr>
                    <w:t>3</w:t>
                  </w:r>
                </w:p>
              </w:tc>
              <w:tc>
                <w:tcPr>
                  <w:tcW w:w="460" w:type="pct"/>
                  <w:shd w:val="clear" w:color="auto" w:fill="auto"/>
                  <w:noWrap w:val="0"/>
                  <w:vAlign w:val="center"/>
                </w:tcPr>
                <w:p w14:paraId="6E96DCC5">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4"/>
                      <w:highlight w:val="none"/>
                      <w:u w:val="none" w:color="000000"/>
                      <w:lang w:val="en-US" w:eastAsia="zh-CN" w:bidi="ar-SA"/>
                    </w:rPr>
                  </w:pPr>
                  <w:r>
                    <w:rPr>
                      <w:rFonts w:hint="default" w:cs="Times New Roman"/>
                      <w:color w:val="auto"/>
                      <w:sz w:val="21"/>
                      <w:szCs w:val="21"/>
                      <w:lang w:val="en-US" w:eastAsia="zh-CN"/>
                    </w:rPr>
                    <w:t>2</w:t>
                  </w:r>
                  <w:r>
                    <w:rPr>
                      <w:rFonts w:hint="default" w:ascii="Times New Roman" w:hAnsi="Times New Roman" w:eastAsia="宋体" w:cs="Times New Roman"/>
                      <w:color w:val="auto"/>
                      <w:sz w:val="21"/>
                      <w:szCs w:val="21"/>
                      <w:lang w:val="en-US" w:eastAsia="zh-CN"/>
                    </w:rPr>
                    <w:t>000（无量纲）</w:t>
                  </w:r>
                </w:p>
              </w:tc>
              <w:tc>
                <w:tcPr>
                  <w:tcW w:w="1021" w:type="pct"/>
                  <w:noWrap w:val="0"/>
                  <w:vAlign w:val="center"/>
                </w:tcPr>
                <w:p w14:paraId="28A74FF7">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1"/>
                      <w:szCs w:val="21"/>
                      <w:vertAlign w:val="superscript"/>
                    </w:rPr>
                  </w:pPr>
                  <w:r>
                    <w:rPr>
                      <w:rFonts w:hint="default" w:ascii="Times New Roman" w:hAnsi="Times New Roman" w:cs="Times New Roman"/>
                      <w:color w:val="auto"/>
                      <w:sz w:val="21"/>
                      <w:szCs w:val="21"/>
                      <w:lang w:val="en-US" w:eastAsia="zh-CN"/>
                    </w:rPr>
                    <w:t>厂界：</w:t>
                  </w:r>
                  <w:r>
                    <w:rPr>
                      <w:rFonts w:hint="default" w:cs="Times New Roman"/>
                      <w:color w:val="auto"/>
                      <w:sz w:val="21"/>
                      <w:szCs w:val="21"/>
                      <w:lang w:val="en-US" w:eastAsia="zh-CN"/>
                    </w:rPr>
                    <w:t>4</w:t>
                  </w:r>
                  <w:r>
                    <w:rPr>
                      <w:rFonts w:hint="default" w:ascii="Times New Roman" w:hAnsi="Times New Roman" w:cs="Times New Roman"/>
                      <w:color w:val="auto"/>
                      <w:sz w:val="21"/>
                      <w:szCs w:val="21"/>
                      <w:lang w:val="en-US" w:eastAsia="zh-CN"/>
                    </w:rPr>
                    <w:t>.0</w:t>
                  </w:r>
                  <w:r>
                    <w:rPr>
                      <w:rFonts w:hint="default" w:ascii="Times New Roman" w:hAnsi="Times New Roman" w:cs="Times New Roman"/>
                      <w:color w:val="auto"/>
                      <w:sz w:val="21"/>
                      <w:szCs w:val="21"/>
                    </w:rPr>
                    <w:t>mg/m</w:t>
                  </w:r>
                  <w:r>
                    <w:rPr>
                      <w:rFonts w:hint="default" w:ascii="Times New Roman" w:hAnsi="Times New Roman" w:cs="Times New Roman"/>
                      <w:color w:val="auto"/>
                      <w:sz w:val="21"/>
                      <w:szCs w:val="21"/>
                      <w:vertAlign w:val="superscript"/>
                    </w:rPr>
                    <w:t>3</w:t>
                  </w:r>
                </w:p>
                <w:p w14:paraId="374660C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cs="Times New Roman"/>
                      <w:color w:val="auto"/>
                      <w:sz w:val="21"/>
                      <w:szCs w:val="21"/>
                      <w:highlight w:val="none"/>
                      <w:lang w:eastAsia="zh-CN"/>
                    </w:rPr>
                    <w:t>厂房外</w:t>
                  </w:r>
                  <w:r>
                    <w:rPr>
                      <w:rFonts w:hint="default" w:ascii="Times New Roman" w:hAnsi="Times New Roman" w:eastAsia="宋体" w:cs="Times New Roman"/>
                      <w:color w:val="auto"/>
                      <w:sz w:val="21"/>
                      <w:szCs w:val="21"/>
                      <w:highlight w:val="none"/>
                    </w:rPr>
                    <w:t>监控点处1h平均浓度值</w:t>
                  </w:r>
                  <w:r>
                    <w:rPr>
                      <w:rFonts w:hint="default" w:cs="Times New Roman"/>
                      <w:color w:val="auto"/>
                      <w:sz w:val="21"/>
                      <w:szCs w:val="21"/>
                      <w:highlight w:val="none"/>
                      <w:lang w:val="en-US" w:eastAsia="zh-CN"/>
                    </w:rPr>
                    <w:t>2.0</w:t>
                  </w:r>
                  <w:r>
                    <w:rPr>
                      <w:rFonts w:hint="default" w:ascii="Times New Roman" w:hAnsi="Times New Roman" w:eastAsia="宋体" w:cs="Times New Roman"/>
                      <w:color w:val="auto"/>
                      <w:sz w:val="21"/>
                      <w:szCs w:val="21"/>
                      <w:highlight w:val="none"/>
                      <w:lang w:val="en-US" w:eastAsia="zh-CN"/>
                    </w:rPr>
                    <w:t xml:space="preserve"> </w:t>
                  </w:r>
                  <w:r>
                    <w:rPr>
                      <w:rFonts w:hint="default" w:ascii="Times New Roman" w:hAnsi="Times New Roman" w:eastAsia="宋体" w:cs="Times New Roman"/>
                      <w:color w:val="auto"/>
                      <w:sz w:val="21"/>
                      <w:szCs w:val="21"/>
                      <w:highlight w:val="none"/>
                    </w:rPr>
                    <w:t>mg/m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rPr>
                    <w:t>；</w:t>
                  </w:r>
                </w:p>
                <w:p w14:paraId="68B35C3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任意一次浓度值</w:t>
                  </w:r>
                  <w:r>
                    <w:rPr>
                      <w:rFonts w:hint="default" w:cs="Times New Roman"/>
                      <w:color w:val="auto"/>
                      <w:sz w:val="21"/>
                      <w:szCs w:val="21"/>
                      <w:highlight w:val="none"/>
                      <w:lang w:val="en-US" w:eastAsia="zh-CN"/>
                    </w:rPr>
                    <w:t>1</w:t>
                  </w:r>
                  <w:r>
                    <w:rPr>
                      <w:rFonts w:hint="default" w:ascii="Times New Roman" w:hAnsi="Times New Roman" w:eastAsia="宋体" w:cs="Times New Roman"/>
                      <w:color w:val="auto"/>
                      <w:sz w:val="21"/>
                      <w:szCs w:val="21"/>
                      <w:highlight w:val="none"/>
                    </w:rPr>
                    <w:t>0</w:t>
                  </w:r>
                  <w:r>
                    <w:rPr>
                      <w:rFonts w:hint="default" w:cs="Times New Roman"/>
                      <w:color w:val="auto"/>
                      <w:sz w:val="21"/>
                      <w:szCs w:val="21"/>
                      <w:highlight w:val="none"/>
                      <w:lang w:val="en-US" w:eastAsia="zh-CN"/>
                    </w:rPr>
                    <w:t>.0</w:t>
                  </w:r>
                  <w:r>
                    <w:rPr>
                      <w:rFonts w:hint="default" w:ascii="Times New Roman" w:hAnsi="Times New Roman" w:eastAsia="宋体" w:cs="Times New Roman"/>
                      <w:color w:val="auto"/>
                      <w:sz w:val="21"/>
                      <w:szCs w:val="21"/>
                      <w:highlight w:val="none"/>
                      <w:lang w:val="en-US" w:eastAsia="zh-CN"/>
                    </w:rPr>
                    <w:t xml:space="preserve"> </w:t>
                  </w:r>
                  <w:r>
                    <w:rPr>
                      <w:rFonts w:hint="default" w:ascii="Times New Roman" w:hAnsi="Times New Roman" w:eastAsia="宋体" w:cs="Times New Roman"/>
                      <w:color w:val="auto"/>
                      <w:sz w:val="21"/>
                      <w:szCs w:val="21"/>
                      <w:highlight w:val="none"/>
                    </w:rPr>
                    <w:t>mg/m</w:t>
                  </w:r>
                  <w:r>
                    <w:rPr>
                      <w:rFonts w:hint="default" w:ascii="Times New Roman" w:hAnsi="Times New Roman" w:eastAsia="宋体" w:cs="Times New Roman"/>
                      <w:color w:val="auto"/>
                      <w:sz w:val="21"/>
                      <w:szCs w:val="21"/>
                      <w:highlight w:val="none"/>
                      <w:vertAlign w:val="superscript"/>
                    </w:rPr>
                    <w:t>3</w:t>
                  </w:r>
                </w:p>
              </w:tc>
              <w:tc>
                <w:tcPr>
                  <w:tcW w:w="510" w:type="pct"/>
                  <w:noWrap w:val="0"/>
                  <w:vAlign w:val="center"/>
                </w:tcPr>
                <w:p w14:paraId="5BCE1506">
                  <w:pPr>
                    <w:keepNext w:val="0"/>
                    <w:keepLines w:val="0"/>
                    <w:suppressLineNumbers w:val="0"/>
                    <w:adjustRightInd w:val="0"/>
                    <w:snapToGrid w:val="0"/>
                    <w:spacing w:before="0" w:beforeAutospacing="0" w:after="0" w:afterAutospacing="0"/>
                    <w:ind w:left="0" w:right="0"/>
                    <w:jc w:val="center"/>
                    <w:rPr>
                      <w:rFonts w:hint="default" w:cs="Times New Roman"/>
                      <w:color w:val="auto"/>
                      <w:sz w:val="21"/>
                      <w:szCs w:val="21"/>
                      <w:highlight w:val="none"/>
                      <w:lang w:val="en-US" w:eastAsia="zh-CN"/>
                    </w:rPr>
                  </w:pPr>
                  <w:r>
                    <w:rPr>
                      <w:rFonts w:hint="default" w:cs="Times New Roman"/>
                      <w:color w:val="auto"/>
                      <w:sz w:val="21"/>
                      <w:szCs w:val="21"/>
                      <w:highlight w:val="none"/>
                      <w:lang w:val="en-US" w:eastAsia="zh-CN"/>
                    </w:rPr>
                    <w:t>/</w:t>
                  </w:r>
                </w:p>
              </w:tc>
              <w:tc>
                <w:tcPr>
                  <w:tcW w:w="510" w:type="pct"/>
                  <w:gridSpan w:val="2"/>
                  <w:shd w:val="clear" w:color="auto" w:fill="auto"/>
                  <w:noWrap w:val="0"/>
                  <w:vAlign w:val="center"/>
                </w:tcPr>
                <w:p w14:paraId="7ADC4202">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20（无量纲）</w:t>
                  </w:r>
                </w:p>
              </w:tc>
            </w:tr>
          </w:tbl>
          <w:p w14:paraId="75169BD6">
            <w:pPr>
              <w:keepNext w:val="0"/>
              <w:keepLines w:val="0"/>
              <w:widowControl/>
              <w:suppressLineNumbers w:val="0"/>
              <w:spacing w:before="157" w:beforeLines="50" w:beforeAutospacing="0" w:after="0" w:afterAutospacing="0" w:line="360" w:lineRule="auto"/>
              <w:ind w:left="0" w:right="0" w:firstLine="480" w:firstLineChars="200"/>
              <w:rPr>
                <w:rFonts w:hint="default" w:ascii="Times New Roman" w:hAnsi="Times New Roman" w:cs="Times New Roman"/>
                <w:sz w:val="24"/>
              </w:rPr>
            </w:pPr>
            <w:r>
              <w:rPr>
                <w:rFonts w:hint="default" w:ascii="Times New Roman" w:hAnsi="Times New Roman" w:cs="Times New Roman"/>
                <w:sz w:val="24"/>
              </w:rPr>
              <w:t>（3）治理措施可行性分析</w:t>
            </w:r>
          </w:p>
          <w:p w14:paraId="1FF8E62F">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snapToGrid w:val="0"/>
                <w:color w:val="auto"/>
                <w:sz w:val="24"/>
              </w:rPr>
            </w:pPr>
            <w:r>
              <w:rPr>
                <w:rFonts w:hint="default" w:ascii="Times New Roman" w:hAnsi="Times New Roman" w:eastAsia="宋体" w:cs="Times New Roman"/>
                <w:snapToGrid w:val="0"/>
                <w:color w:val="auto"/>
                <w:sz w:val="24"/>
                <w:lang w:val="en-US" w:eastAsia="zh-CN"/>
              </w:rPr>
              <w:t>项目非洁净车间吹膜、印刷、复合工序废气经集气装置收集后，由一套二级活性炭吸附装置处理，</w:t>
            </w:r>
            <w:r>
              <w:rPr>
                <w:rFonts w:hint="default" w:ascii="Times New Roman" w:hAnsi="Times New Roman" w:cs="Times New Roman"/>
                <w:snapToGrid w:val="0"/>
                <w:color w:val="auto"/>
                <w:sz w:val="24"/>
              </w:rPr>
              <w:t>经</w:t>
            </w:r>
            <w:r>
              <w:rPr>
                <w:rFonts w:hint="default" w:ascii="Times New Roman" w:hAnsi="Times New Roman" w:cs="Times New Roman"/>
                <w:snapToGrid w:val="0"/>
                <w:color w:val="auto"/>
                <w:sz w:val="24"/>
                <w:lang w:val="en-US" w:eastAsia="zh-CN"/>
              </w:rPr>
              <w:t>1根</w:t>
            </w:r>
            <w:r>
              <w:rPr>
                <w:rFonts w:hint="default" w:ascii="Times New Roman" w:hAnsi="Times New Roman" w:cs="Times New Roman"/>
                <w:snapToGrid w:val="0"/>
                <w:color w:val="auto"/>
                <w:sz w:val="24"/>
              </w:rPr>
              <w:t>15</w:t>
            </w:r>
            <w:r>
              <w:rPr>
                <w:rFonts w:hint="default" w:ascii="Times New Roman" w:hAnsi="Times New Roman" w:cs="Times New Roman"/>
                <w:snapToGrid w:val="0"/>
                <w:color w:val="auto"/>
                <w:sz w:val="24"/>
                <w:lang w:val="en-US" w:eastAsia="zh-CN"/>
              </w:rPr>
              <w:t>m</w:t>
            </w:r>
            <w:r>
              <w:rPr>
                <w:rFonts w:hint="default" w:ascii="Times New Roman" w:hAnsi="Times New Roman" w:cs="Times New Roman"/>
                <w:snapToGrid w:val="0"/>
                <w:color w:val="auto"/>
                <w:sz w:val="24"/>
              </w:rPr>
              <w:t>排气筒</w:t>
            </w:r>
            <w:r>
              <w:rPr>
                <w:rFonts w:hint="default" w:ascii="Times New Roman" w:hAnsi="Times New Roman" w:cs="Times New Roman"/>
                <w:snapToGrid w:val="0"/>
                <w:color w:val="auto"/>
                <w:sz w:val="24"/>
                <w:lang w:eastAsia="zh-CN"/>
              </w:rPr>
              <w:t>（</w:t>
            </w:r>
            <w:r>
              <w:rPr>
                <w:rFonts w:hint="default" w:ascii="Times New Roman" w:hAnsi="Times New Roman" w:cs="Times New Roman"/>
                <w:snapToGrid w:val="0"/>
                <w:color w:val="auto"/>
                <w:sz w:val="24"/>
                <w:lang w:val="en-US" w:eastAsia="zh-CN"/>
              </w:rPr>
              <w:t>DA001</w:t>
            </w:r>
            <w:r>
              <w:rPr>
                <w:rFonts w:hint="default" w:cs="Times New Roman"/>
                <w:snapToGrid w:val="0"/>
                <w:color w:val="auto"/>
                <w:sz w:val="24"/>
                <w:lang w:val="en-US" w:eastAsia="zh-CN"/>
              </w:rPr>
              <w:t>依托</w:t>
            </w:r>
            <w:r>
              <w:rPr>
                <w:rFonts w:hint="default" w:ascii="Times New Roman" w:hAnsi="Times New Roman" w:cs="Times New Roman"/>
                <w:snapToGrid w:val="0"/>
                <w:color w:val="auto"/>
                <w:sz w:val="24"/>
                <w:lang w:eastAsia="zh-CN"/>
              </w:rPr>
              <w:t>）</w:t>
            </w:r>
            <w:r>
              <w:rPr>
                <w:rFonts w:hint="default" w:ascii="Times New Roman" w:hAnsi="Times New Roman" w:cs="Times New Roman"/>
                <w:snapToGrid w:val="0"/>
                <w:color w:val="auto"/>
                <w:sz w:val="24"/>
              </w:rPr>
              <w:t>排放</w:t>
            </w:r>
            <w:r>
              <w:rPr>
                <w:rFonts w:hint="default" w:ascii="Times New Roman" w:hAnsi="Times New Roman" w:cs="Times New Roman"/>
                <w:snapToGrid w:val="0"/>
                <w:color w:val="auto"/>
                <w:sz w:val="24"/>
                <w:lang w:eastAsia="zh-CN"/>
              </w:rPr>
              <w:t>；非洁净车间印刷、复合、固化工序</w:t>
            </w:r>
            <w:r>
              <w:rPr>
                <w:rFonts w:hint="default" w:cs="Times New Roman"/>
                <w:snapToGrid w:val="0"/>
                <w:color w:val="auto"/>
                <w:sz w:val="24"/>
                <w:lang w:eastAsia="zh-CN"/>
              </w:rPr>
              <w:t>与洁净车间水性油墨配制</w:t>
            </w:r>
            <w:r>
              <w:rPr>
                <w:rFonts w:hint="eastAsia" w:cs="Times New Roman"/>
                <w:snapToGrid w:val="0"/>
                <w:color w:val="auto"/>
                <w:sz w:val="24"/>
                <w:lang w:eastAsia="zh-CN"/>
              </w:rPr>
              <w:t>、擦拭</w:t>
            </w:r>
            <w:r>
              <w:rPr>
                <w:rFonts w:hint="default" w:ascii="Times New Roman" w:hAnsi="Times New Roman" w:eastAsia="宋体" w:cs="Times New Roman"/>
                <w:snapToGrid w:val="0"/>
                <w:color w:val="auto"/>
                <w:sz w:val="24"/>
                <w:lang w:val="en-US" w:eastAsia="zh-CN"/>
              </w:rPr>
              <w:t>废气经集气装置收集后，由一套二级活性炭吸附装置处理，</w:t>
            </w:r>
            <w:r>
              <w:rPr>
                <w:rFonts w:hint="default" w:ascii="Times New Roman" w:hAnsi="Times New Roman" w:cs="Times New Roman"/>
                <w:snapToGrid w:val="0"/>
                <w:color w:val="auto"/>
                <w:sz w:val="24"/>
              </w:rPr>
              <w:t>经</w:t>
            </w:r>
            <w:r>
              <w:rPr>
                <w:rFonts w:hint="default" w:ascii="Times New Roman" w:hAnsi="Times New Roman" w:cs="Times New Roman"/>
                <w:snapToGrid w:val="0"/>
                <w:color w:val="auto"/>
                <w:sz w:val="24"/>
                <w:lang w:val="en-US" w:eastAsia="zh-CN"/>
              </w:rPr>
              <w:t>1根</w:t>
            </w:r>
            <w:r>
              <w:rPr>
                <w:rFonts w:hint="default" w:ascii="Times New Roman" w:hAnsi="Times New Roman" w:cs="Times New Roman"/>
                <w:snapToGrid w:val="0"/>
                <w:color w:val="auto"/>
                <w:sz w:val="24"/>
              </w:rPr>
              <w:t>15</w:t>
            </w:r>
            <w:r>
              <w:rPr>
                <w:rFonts w:hint="default" w:ascii="Times New Roman" w:hAnsi="Times New Roman" w:cs="Times New Roman"/>
                <w:snapToGrid w:val="0"/>
                <w:color w:val="auto"/>
                <w:sz w:val="24"/>
                <w:lang w:val="en-US" w:eastAsia="zh-CN"/>
              </w:rPr>
              <w:t>m</w:t>
            </w:r>
            <w:r>
              <w:rPr>
                <w:rFonts w:hint="default" w:ascii="Times New Roman" w:hAnsi="Times New Roman" w:cs="Times New Roman"/>
                <w:snapToGrid w:val="0"/>
                <w:color w:val="auto"/>
                <w:sz w:val="24"/>
              </w:rPr>
              <w:t>排气筒</w:t>
            </w:r>
            <w:r>
              <w:rPr>
                <w:rFonts w:hint="default" w:ascii="Times New Roman" w:hAnsi="Times New Roman" w:cs="Times New Roman"/>
                <w:snapToGrid w:val="0"/>
                <w:color w:val="auto"/>
                <w:sz w:val="24"/>
                <w:lang w:eastAsia="zh-CN"/>
              </w:rPr>
              <w:t>（</w:t>
            </w:r>
            <w:r>
              <w:rPr>
                <w:rFonts w:hint="default" w:ascii="Times New Roman" w:hAnsi="Times New Roman" w:cs="Times New Roman"/>
                <w:snapToGrid w:val="0"/>
                <w:color w:val="auto"/>
                <w:sz w:val="24"/>
                <w:lang w:val="en-US" w:eastAsia="zh-CN"/>
              </w:rPr>
              <w:t>DA002</w:t>
            </w:r>
            <w:r>
              <w:rPr>
                <w:rFonts w:hint="default" w:cs="Times New Roman"/>
                <w:snapToGrid w:val="0"/>
                <w:color w:val="auto"/>
                <w:sz w:val="24"/>
                <w:lang w:val="en-US" w:eastAsia="zh-CN"/>
              </w:rPr>
              <w:t>依托</w:t>
            </w:r>
            <w:r>
              <w:rPr>
                <w:rFonts w:hint="default" w:ascii="Times New Roman" w:hAnsi="Times New Roman" w:cs="Times New Roman"/>
                <w:snapToGrid w:val="0"/>
                <w:color w:val="auto"/>
                <w:sz w:val="24"/>
                <w:lang w:eastAsia="zh-CN"/>
              </w:rPr>
              <w:t>）</w:t>
            </w:r>
            <w:r>
              <w:rPr>
                <w:rFonts w:hint="default" w:ascii="Times New Roman" w:hAnsi="Times New Roman" w:cs="Times New Roman"/>
                <w:snapToGrid w:val="0"/>
                <w:color w:val="auto"/>
                <w:sz w:val="24"/>
              </w:rPr>
              <w:t>排放</w:t>
            </w:r>
            <w:r>
              <w:rPr>
                <w:rFonts w:hint="default" w:ascii="Times New Roman" w:hAnsi="Times New Roman" w:cs="Times New Roman"/>
                <w:snapToGrid w:val="0"/>
                <w:color w:val="auto"/>
                <w:sz w:val="24"/>
                <w:lang w:eastAsia="zh-CN"/>
              </w:rPr>
              <w:t>；洁净车间印刷、复合、固化工序</w:t>
            </w:r>
            <w:r>
              <w:rPr>
                <w:rFonts w:hint="default" w:ascii="Times New Roman" w:hAnsi="Times New Roman" w:eastAsia="宋体" w:cs="Times New Roman"/>
                <w:snapToGrid w:val="0"/>
                <w:color w:val="auto"/>
                <w:sz w:val="24"/>
                <w:lang w:val="en-US" w:eastAsia="zh-CN"/>
              </w:rPr>
              <w:t>废气经集气装置收集后，由一套二级活性炭吸附装置处理，</w:t>
            </w:r>
            <w:r>
              <w:rPr>
                <w:rFonts w:hint="default" w:ascii="Times New Roman" w:hAnsi="Times New Roman" w:cs="Times New Roman"/>
                <w:snapToGrid w:val="0"/>
                <w:color w:val="auto"/>
                <w:sz w:val="24"/>
              </w:rPr>
              <w:t>经</w:t>
            </w:r>
            <w:r>
              <w:rPr>
                <w:rFonts w:hint="default" w:ascii="Times New Roman" w:hAnsi="Times New Roman" w:cs="Times New Roman"/>
                <w:snapToGrid w:val="0"/>
                <w:color w:val="auto"/>
                <w:sz w:val="24"/>
                <w:lang w:val="en-US" w:eastAsia="zh-CN"/>
              </w:rPr>
              <w:t>1根</w:t>
            </w:r>
            <w:r>
              <w:rPr>
                <w:rFonts w:hint="default" w:ascii="Times New Roman" w:hAnsi="Times New Roman" w:cs="Times New Roman"/>
                <w:snapToGrid w:val="0"/>
                <w:color w:val="auto"/>
                <w:sz w:val="24"/>
              </w:rPr>
              <w:t>15</w:t>
            </w:r>
            <w:r>
              <w:rPr>
                <w:rFonts w:hint="default" w:ascii="Times New Roman" w:hAnsi="Times New Roman" w:cs="Times New Roman"/>
                <w:snapToGrid w:val="0"/>
                <w:color w:val="auto"/>
                <w:sz w:val="24"/>
                <w:lang w:val="en-US" w:eastAsia="zh-CN"/>
              </w:rPr>
              <w:t>m</w:t>
            </w:r>
            <w:r>
              <w:rPr>
                <w:rFonts w:hint="default" w:ascii="Times New Roman" w:hAnsi="Times New Roman" w:cs="Times New Roman"/>
                <w:snapToGrid w:val="0"/>
                <w:color w:val="auto"/>
                <w:sz w:val="24"/>
              </w:rPr>
              <w:t>排气筒</w:t>
            </w:r>
            <w:r>
              <w:rPr>
                <w:rFonts w:hint="default" w:ascii="Times New Roman" w:hAnsi="Times New Roman" w:cs="Times New Roman"/>
                <w:snapToGrid w:val="0"/>
                <w:color w:val="auto"/>
                <w:sz w:val="24"/>
                <w:lang w:eastAsia="zh-CN"/>
              </w:rPr>
              <w:t>（</w:t>
            </w:r>
            <w:r>
              <w:rPr>
                <w:rFonts w:hint="default" w:ascii="Times New Roman" w:hAnsi="Times New Roman" w:cs="Times New Roman"/>
                <w:snapToGrid w:val="0"/>
                <w:color w:val="auto"/>
                <w:sz w:val="24"/>
                <w:lang w:val="en-US" w:eastAsia="zh-CN"/>
              </w:rPr>
              <w:t>DA003</w:t>
            </w:r>
            <w:r>
              <w:rPr>
                <w:rFonts w:hint="default" w:cs="Times New Roman"/>
                <w:snapToGrid w:val="0"/>
                <w:color w:val="auto"/>
                <w:sz w:val="24"/>
                <w:lang w:val="en-US" w:eastAsia="zh-CN"/>
              </w:rPr>
              <w:t>新增</w:t>
            </w:r>
            <w:r>
              <w:rPr>
                <w:rFonts w:hint="default" w:ascii="Times New Roman" w:hAnsi="Times New Roman" w:cs="Times New Roman"/>
                <w:snapToGrid w:val="0"/>
                <w:color w:val="auto"/>
                <w:sz w:val="24"/>
                <w:lang w:eastAsia="zh-CN"/>
              </w:rPr>
              <w:t>）</w:t>
            </w:r>
            <w:r>
              <w:rPr>
                <w:rFonts w:hint="default" w:ascii="Times New Roman" w:hAnsi="Times New Roman" w:cs="Times New Roman"/>
                <w:snapToGrid w:val="0"/>
                <w:color w:val="auto"/>
                <w:sz w:val="24"/>
              </w:rPr>
              <w:t>排放</w:t>
            </w:r>
            <w:r>
              <w:rPr>
                <w:rFonts w:hint="default" w:ascii="Times New Roman" w:hAnsi="Times New Roman" w:cs="Times New Roman"/>
                <w:snapToGrid w:val="0"/>
                <w:color w:val="auto"/>
                <w:sz w:val="24"/>
                <w:lang w:eastAsia="zh-CN"/>
              </w:rPr>
              <w:t>。</w:t>
            </w:r>
            <w:r>
              <w:rPr>
                <w:rFonts w:hint="default"/>
                <w:snapToGrid w:val="0"/>
                <w:color w:val="auto"/>
                <w:sz w:val="24"/>
                <w:highlight w:val="none"/>
              </w:rPr>
              <w:t>根据</w:t>
            </w:r>
            <w:r>
              <w:rPr>
                <w:rFonts w:hint="default"/>
                <w:color w:val="auto"/>
                <w:sz w:val="24"/>
                <w:szCs w:val="22"/>
                <w:highlight w:val="none"/>
              </w:rPr>
              <w:t>《排污许可证申请与核发技术规范</w:t>
            </w:r>
            <w:r>
              <w:rPr>
                <w:rFonts w:hint="default"/>
                <w:color w:val="auto"/>
                <w:sz w:val="24"/>
                <w:szCs w:val="22"/>
                <w:highlight w:val="none"/>
                <w:lang w:val="en-US" w:eastAsia="zh-CN"/>
              </w:rPr>
              <w:t xml:space="preserve"> </w:t>
            </w:r>
            <w:r>
              <w:rPr>
                <w:rFonts w:hint="default"/>
                <w:color w:val="auto"/>
                <w:sz w:val="24"/>
                <w:szCs w:val="22"/>
                <w:highlight w:val="none"/>
              </w:rPr>
              <w:t>橡胶和塑料制品工业》（HJ1122—2020</w:t>
            </w:r>
            <w:r>
              <w:rPr>
                <w:rFonts w:hint="default"/>
                <w:snapToGrid w:val="0"/>
                <w:color w:val="auto"/>
                <w:sz w:val="24"/>
                <w:highlight w:val="none"/>
              </w:rPr>
              <w:t>）</w:t>
            </w:r>
            <w:r>
              <w:rPr>
                <w:rFonts w:hint="default"/>
                <w:snapToGrid w:val="0"/>
                <w:color w:val="auto"/>
                <w:sz w:val="24"/>
                <w:highlight w:val="none"/>
                <w:lang w:eastAsia="zh-CN"/>
              </w:rPr>
              <w:t>和</w:t>
            </w:r>
            <w:r>
              <w:rPr>
                <w:rFonts w:hint="default"/>
                <w:color w:val="auto"/>
                <w:sz w:val="24"/>
                <w:szCs w:val="22"/>
                <w:highlight w:val="none"/>
              </w:rPr>
              <w:t>《排污许可证申请与核发技术规范</w:t>
            </w:r>
            <w:r>
              <w:rPr>
                <w:rFonts w:hint="default" w:ascii="Times New Roman" w:hAnsi="Times New Roman" w:eastAsia="宋体" w:cs="Times New Roman"/>
                <w:sz w:val="24"/>
                <w:szCs w:val="24"/>
                <w:highlight w:val="none"/>
              </w:rPr>
              <w:t xml:space="preserve"> 印刷</w:t>
            </w:r>
            <w:r>
              <w:rPr>
                <w:rFonts w:hint="default" w:ascii="Times New Roman" w:hAnsi="Times New Roman" w:eastAsia="宋体" w:cs="Times New Roman"/>
                <w:color w:val="auto"/>
                <w:sz w:val="24"/>
                <w:szCs w:val="22"/>
                <w:highlight w:val="none"/>
              </w:rPr>
              <w:t>工业》（HJ 1</w:t>
            </w:r>
            <w:r>
              <w:rPr>
                <w:rFonts w:hint="default" w:ascii="Times New Roman" w:hAnsi="Times New Roman" w:eastAsia="宋体" w:cs="Times New Roman"/>
                <w:color w:val="auto"/>
                <w:sz w:val="24"/>
                <w:szCs w:val="22"/>
                <w:highlight w:val="none"/>
                <w:lang w:val="en-US" w:eastAsia="zh-CN"/>
              </w:rPr>
              <w:t>066</w:t>
            </w:r>
            <w:r>
              <w:rPr>
                <w:rFonts w:hint="default" w:ascii="Times New Roman" w:hAnsi="Times New Roman" w:eastAsia="宋体" w:cs="Times New Roman"/>
                <w:color w:val="auto"/>
                <w:sz w:val="24"/>
                <w:szCs w:val="22"/>
                <w:highlight w:val="none"/>
              </w:rPr>
              <w:t>—20</w:t>
            </w:r>
            <w:r>
              <w:rPr>
                <w:rFonts w:hint="default" w:ascii="Times New Roman" w:hAnsi="Times New Roman" w:eastAsia="宋体" w:cs="Times New Roman"/>
                <w:color w:val="auto"/>
                <w:sz w:val="24"/>
                <w:szCs w:val="22"/>
                <w:highlight w:val="none"/>
                <w:lang w:val="en-US" w:eastAsia="zh-CN"/>
              </w:rPr>
              <w:t>19</w:t>
            </w:r>
            <w:r>
              <w:rPr>
                <w:rFonts w:hint="default" w:ascii="Times New Roman" w:hAnsi="Times New Roman" w:eastAsia="宋体" w:cs="Times New Roman"/>
                <w:color w:val="auto"/>
                <w:sz w:val="24"/>
                <w:szCs w:val="22"/>
                <w:highlight w:val="none"/>
                <w:lang w:eastAsia="zh-CN"/>
              </w:rPr>
              <w:t>）</w:t>
            </w:r>
            <w:r>
              <w:rPr>
                <w:rFonts w:hint="default" w:ascii="Times New Roman" w:hAnsi="Times New Roman" w:eastAsia="宋体" w:cs="Times New Roman"/>
                <w:color w:val="auto"/>
                <w:sz w:val="24"/>
                <w:szCs w:val="22"/>
                <w:highlight w:val="none"/>
              </w:rPr>
              <w:t>对</w:t>
            </w:r>
            <w:r>
              <w:rPr>
                <w:rFonts w:hint="default"/>
                <w:snapToGrid w:val="0"/>
                <w:color w:val="auto"/>
                <w:sz w:val="24"/>
                <w:highlight w:val="none"/>
              </w:rPr>
              <w:t>处理措施可行性的要求，</w:t>
            </w:r>
            <w:r>
              <w:rPr>
                <w:rFonts w:hint="default"/>
                <w:color w:val="auto"/>
                <w:sz w:val="24"/>
                <w:szCs w:val="22"/>
                <w:highlight w:val="none"/>
              </w:rPr>
              <w:t>塑料制品工业</w:t>
            </w:r>
            <w:r>
              <w:rPr>
                <w:rFonts w:hint="default"/>
                <w:color w:val="auto"/>
                <w:sz w:val="24"/>
                <w:szCs w:val="22"/>
                <w:highlight w:val="none"/>
                <w:lang w:eastAsia="zh-CN"/>
              </w:rPr>
              <w:t>推荐污染防治设施为</w:t>
            </w:r>
            <w:r>
              <w:rPr>
                <w:rFonts w:hint="default"/>
                <w:color w:val="auto"/>
                <w:sz w:val="24"/>
                <w:szCs w:val="22"/>
                <w:highlight w:val="none"/>
                <w:lang w:val="en-US" w:eastAsia="zh-CN"/>
              </w:rPr>
              <w:t>除尘、喷淋、吸附、热力燃烧、催化燃烧、低温等离子体、UV光氧化/光催化、生物法、以上组合技术等技术，</w:t>
            </w:r>
            <w:r>
              <w:rPr>
                <w:rFonts w:hint="default" w:ascii="Times New Roman" w:hAnsi="Times New Roman" w:eastAsia="宋体" w:cs="Times New Roman"/>
                <w:sz w:val="24"/>
                <w:szCs w:val="24"/>
                <w:highlight w:val="none"/>
              </w:rPr>
              <w:t>印刷</w:t>
            </w:r>
            <w:r>
              <w:rPr>
                <w:rFonts w:hint="default" w:ascii="Times New Roman" w:hAnsi="Times New Roman" w:eastAsia="宋体" w:cs="Times New Roman"/>
                <w:color w:val="auto"/>
                <w:sz w:val="24"/>
                <w:szCs w:val="22"/>
                <w:highlight w:val="none"/>
              </w:rPr>
              <w:t>工业</w:t>
            </w:r>
            <w:r>
              <w:rPr>
                <w:rFonts w:hint="default"/>
                <w:color w:val="auto"/>
                <w:sz w:val="24"/>
                <w:szCs w:val="22"/>
                <w:highlight w:val="none"/>
                <w:lang w:eastAsia="zh-CN"/>
              </w:rPr>
              <w:t>推荐污染防治设施为</w:t>
            </w:r>
            <w:r>
              <w:rPr>
                <w:rFonts w:hint="default"/>
                <w:color w:val="auto"/>
                <w:sz w:val="24"/>
                <w:szCs w:val="22"/>
                <w:highlight w:val="none"/>
                <w:lang w:val="en-US" w:eastAsia="zh-CN"/>
              </w:rPr>
              <w:t>集气设施或密闭车间、活性炭吸附（现场再生）、浓缩+热力（催化）氧化技术、其他</w:t>
            </w:r>
            <w:r>
              <w:rPr>
                <w:rFonts w:hint="default"/>
                <w:snapToGrid w:val="0"/>
                <w:color w:val="auto"/>
                <w:sz w:val="24"/>
                <w:highlight w:val="none"/>
              </w:rPr>
              <w:t>。</w:t>
            </w:r>
            <w:r>
              <w:rPr>
                <w:rFonts w:hint="default"/>
                <w:snapToGrid w:val="0"/>
                <w:color w:val="auto"/>
                <w:sz w:val="24"/>
                <w:highlight w:val="none"/>
                <w:lang w:eastAsia="zh-CN"/>
              </w:rPr>
              <w:t>本项目二级活性炭吸附装置虽不属于印刷工业推荐污染防治设施，但根据</w:t>
            </w:r>
            <w:r>
              <w:rPr>
                <w:rFonts w:hint="default" w:ascii="Times New Roman" w:hAnsi="Times New Roman" w:eastAsia="宋体" w:cs="Times New Roman"/>
                <w:color w:val="auto"/>
                <w:sz w:val="24"/>
                <w:highlight w:val="none"/>
                <w:lang w:val="en-US" w:eastAsia="zh-CN"/>
              </w:rPr>
              <w:t>《</w:t>
            </w:r>
            <w:r>
              <w:rPr>
                <w:rFonts w:hint="default" w:ascii="Times New Roman" w:hAnsi="Times New Roman" w:eastAsia="宋体" w:cs="Times New Roman"/>
                <w:color w:val="auto"/>
                <w:sz w:val="24"/>
                <w:highlight w:val="none"/>
              </w:rPr>
              <w:t>重污染天气重点行业应急减排措施</w:t>
            </w:r>
            <w:r>
              <w:rPr>
                <w:rFonts w:hint="default" w:ascii="Times New Roman" w:hAnsi="Times New Roman" w:eastAsia="宋体" w:cs="Times New Roman"/>
                <w:color w:val="auto"/>
                <w:sz w:val="24"/>
                <w:highlight w:val="none"/>
                <w:lang w:eastAsia="zh-CN"/>
              </w:rPr>
              <w:t>制定</w:t>
            </w:r>
            <w:r>
              <w:rPr>
                <w:rFonts w:hint="default" w:ascii="Times New Roman" w:hAnsi="Times New Roman" w:eastAsia="宋体" w:cs="Times New Roman"/>
                <w:color w:val="auto"/>
                <w:sz w:val="24"/>
                <w:highlight w:val="none"/>
              </w:rPr>
              <w:t>技术指南</w:t>
            </w:r>
            <w:r>
              <w:rPr>
                <w:rFonts w:hint="default" w:ascii="Times New Roman" w:hAnsi="Times New Roman" w:eastAsia="宋体" w:cs="Times New Roman"/>
                <w:color w:val="auto"/>
                <w:sz w:val="24"/>
                <w:highlight w:val="none"/>
                <w:lang w:val="en-US" w:eastAsia="zh-CN"/>
              </w:rPr>
              <w:t>》（2020年修订版）中包装印刷行业绩效分级指标A级要求中对污染治理技术的要求，使用溶剂型原辅材料时含VOCs废气采用燃烧、吸附+燃烧、吸附+冷凝回收等治理技术，</w:t>
            </w:r>
            <w:r>
              <w:rPr>
                <w:rFonts w:hint="default"/>
                <w:sz w:val="24"/>
                <w:lang w:eastAsia="zh-CN"/>
              </w:rPr>
              <w:t>本项目</w:t>
            </w:r>
            <w:r>
              <w:rPr>
                <w:rFonts w:hint="default"/>
                <w:sz w:val="24"/>
                <w:lang w:val="en-US" w:eastAsia="zh-CN"/>
              </w:rPr>
              <w:t>采用水性油墨属于非溶剂型油墨，非甲烷总烃产生速率小于2kg/h，</w:t>
            </w:r>
            <w:r>
              <w:rPr>
                <w:rFonts w:hint="default"/>
                <w:snapToGrid w:val="0"/>
                <w:color w:val="auto"/>
                <w:sz w:val="24"/>
                <w:highlight w:val="none"/>
                <w:lang w:eastAsia="zh-CN"/>
              </w:rPr>
              <w:t>活性炭对苯系物、酯类、酮类等非极性有机物吸附能力强（尤其适用于低浓度、大风量废气），项目优选碘值≥800 mg/g的煤质或椰壳活性炭，比表面积大的活性炭，并控制空速（GHSV）：建议0.2~0.5 m/s，接触时间≥1秒，处理技术可行。</w:t>
            </w:r>
          </w:p>
          <w:p w14:paraId="18EAB3BA">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snapToGrid w:val="0"/>
                <w:color w:val="auto"/>
                <w:sz w:val="24"/>
              </w:rPr>
            </w:pPr>
            <w:r>
              <w:rPr>
                <w:rFonts w:hint="default" w:cs="Times New Roman"/>
                <w:snapToGrid w:val="0"/>
                <w:color w:val="auto"/>
                <w:sz w:val="24"/>
                <w:lang w:eastAsia="zh-CN"/>
              </w:rPr>
              <w:t>综上，</w:t>
            </w:r>
            <w:r>
              <w:rPr>
                <w:rFonts w:hint="default" w:ascii="Times New Roman" w:hAnsi="Times New Roman" w:cs="Times New Roman"/>
                <w:snapToGrid w:val="0"/>
                <w:color w:val="auto"/>
                <w:sz w:val="24"/>
              </w:rPr>
              <w:t>该项目所用处理技术使污染物能够稳定达标排放，</w:t>
            </w:r>
            <w:r>
              <w:rPr>
                <w:rFonts w:hint="default" w:ascii="Times New Roman" w:hAnsi="Times New Roman" w:cs="Times New Roman"/>
                <w:snapToGrid w:val="0"/>
                <w:color w:val="auto"/>
                <w:sz w:val="24"/>
                <w:lang w:eastAsia="zh-CN"/>
              </w:rPr>
              <w:t>属于</w:t>
            </w:r>
            <w:r>
              <w:rPr>
                <w:rFonts w:hint="default" w:ascii="Times New Roman" w:hAnsi="Times New Roman" w:cs="Times New Roman"/>
                <w:snapToGrid w:val="0"/>
                <w:color w:val="auto"/>
                <w:sz w:val="24"/>
              </w:rPr>
              <w:t>可行性技术。</w:t>
            </w:r>
          </w:p>
          <w:p w14:paraId="4D59AE19">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cs="Times New Roman"/>
                <w:sz w:val="24"/>
              </w:rPr>
            </w:pPr>
            <w:r>
              <w:rPr>
                <w:rFonts w:hint="default" w:ascii="Times New Roman" w:hAnsi="Times New Roman" w:cs="Times New Roman"/>
                <w:sz w:val="24"/>
              </w:rPr>
              <w:t>（4）非正常工况</w:t>
            </w:r>
          </w:p>
          <w:p w14:paraId="29B34C35">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sz w:val="24"/>
              </w:rPr>
            </w:pPr>
            <w:r>
              <w:rPr>
                <w:rFonts w:hint="default" w:ascii="Times New Roman" w:hAnsi="Times New Roman" w:cs="Times New Roman"/>
                <w:sz w:val="24"/>
              </w:rPr>
              <w:t>非正常工况排放指生产中开停车（工、炉）、设备检修、工艺设备运转异常等非正常工况下的污染物排放，以及污染排放控制措施达不到应有效率等情况下的排放。</w:t>
            </w:r>
          </w:p>
          <w:p w14:paraId="42935EEA">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sz w:val="24"/>
              </w:rPr>
            </w:pPr>
            <w:r>
              <w:rPr>
                <w:rFonts w:hint="default" w:ascii="Times New Roman" w:hAnsi="Times New Roman" w:cs="Times New Roman"/>
                <w:sz w:val="24"/>
              </w:rPr>
              <w:t>本项目将活性炭吸附装置出现故障，污染物直接排放定为非正常工况下的废气排放源强。项目非正常工况废气的排放情况见下表。</w:t>
            </w:r>
          </w:p>
          <w:p w14:paraId="4468F7C9">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Autospacing="0" w:line="240" w:lineRule="auto"/>
              <w:ind w:left="0" w:right="0" w:firstLine="422" w:firstLineChars="200"/>
              <w:jc w:val="center"/>
              <w:textAlignment w:val="auto"/>
              <w:rPr>
                <w:rFonts w:hint="default" w:ascii="Times New Roman" w:hAnsi="Times New Roman" w:cs="Times New Roman"/>
                <w:b/>
                <w:bCs/>
                <w:sz w:val="21"/>
                <w:szCs w:val="21"/>
                <w:highlight w:val="none"/>
              </w:rPr>
            </w:pPr>
            <w:r>
              <w:rPr>
                <w:rFonts w:hint="default" w:ascii="Times New Roman" w:hAnsi="Times New Roman" w:eastAsia="宋体" w:cs="Times New Roman"/>
                <w:b/>
                <w:bCs/>
                <w:color w:val="000000"/>
                <w:kern w:val="0"/>
                <w:sz w:val="21"/>
                <w:szCs w:val="21"/>
                <w:lang w:val="en-US" w:eastAsia="zh-CN" w:bidi="ar-SA"/>
              </w:rPr>
              <w:t>非正常工况废气排放情况一览表</w:t>
            </w:r>
          </w:p>
          <w:tbl>
            <w:tblPr>
              <w:tblStyle w:val="3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
            <w:tblGrid>
              <w:gridCol w:w="733"/>
              <w:gridCol w:w="1147"/>
              <w:gridCol w:w="971"/>
              <w:gridCol w:w="542"/>
              <w:gridCol w:w="750"/>
              <w:gridCol w:w="462"/>
              <w:gridCol w:w="973"/>
              <w:gridCol w:w="973"/>
              <w:gridCol w:w="973"/>
              <w:gridCol w:w="683"/>
            </w:tblGrid>
            <w:tr w14:paraId="49781C9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87" w:hRule="atLeast"/>
                <w:jc w:val="center"/>
              </w:trPr>
              <w:tc>
                <w:tcPr>
                  <w:tcW w:w="733" w:type="dxa"/>
                  <w:vMerge w:val="restart"/>
                  <w:noWrap w:val="0"/>
                  <w:vAlign w:val="center"/>
                </w:tcPr>
                <w:p w14:paraId="3675CFAE">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rPr>
                    <w:t>排放源</w:t>
                  </w:r>
                </w:p>
              </w:tc>
              <w:tc>
                <w:tcPr>
                  <w:tcW w:w="1147" w:type="dxa"/>
                  <w:vMerge w:val="restart"/>
                  <w:noWrap w:val="0"/>
                  <w:vAlign w:val="center"/>
                </w:tcPr>
                <w:p w14:paraId="6AAFC034">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rPr>
                    <w:t>污染物名称</w:t>
                  </w:r>
                </w:p>
              </w:tc>
              <w:tc>
                <w:tcPr>
                  <w:tcW w:w="971" w:type="dxa"/>
                  <w:vMerge w:val="restart"/>
                  <w:noWrap w:val="0"/>
                  <w:vAlign w:val="center"/>
                </w:tcPr>
                <w:p w14:paraId="1249F7DF">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非正常工况</w:t>
                  </w:r>
                </w:p>
              </w:tc>
              <w:tc>
                <w:tcPr>
                  <w:tcW w:w="542" w:type="dxa"/>
                  <w:vMerge w:val="restart"/>
                  <w:noWrap w:val="0"/>
                  <w:vAlign w:val="center"/>
                </w:tcPr>
                <w:p w14:paraId="28318C68">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持续时间</w:t>
                  </w:r>
                </w:p>
                <w:p w14:paraId="0B73DB4B">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(h)</w:t>
                  </w:r>
                </w:p>
              </w:tc>
              <w:tc>
                <w:tcPr>
                  <w:tcW w:w="750" w:type="dxa"/>
                  <w:vMerge w:val="restart"/>
                  <w:noWrap w:val="0"/>
                  <w:vAlign w:val="center"/>
                </w:tcPr>
                <w:p w14:paraId="58A0CFBF">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废气量(m</w:t>
                  </w:r>
                  <w:r>
                    <w:rPr>
                      <w:rFonts w:hint="default" w:ascii="Times New Roman" w:hAnsi="Times New Roman" w:cs="Times New Roman"/>
                      <w:b/>
                      <w:bCs/>
                      <w:color w:val="auto"/>
                      <w:sz w:val="21"/>
                      <w:szCs w:val="21"/>
                      <w:vertAlign w:val="superscript"/>
                      <w:lang w:val="zh-CN"/>
                    </w:rPr>
                    <w:t>3</w:t>
                  </w:r>
                  <w:r>
                    <w:rPr>
                      <w:rFonts w:hint="default" w:ascii="Times New Roman" w:hAnsi="Times New Roman" w:cs="Times New Roman"/>
                      <w:b/>
                      <w:bCs/>
                      <w:color w:val="auto"/>
                      <w:sz w:val="21"/>
                      <w:szCs w:val="21"/>
                      <w:lang w:val="zh-CN"/>
                    </w:rPr>
                    <w:t>/h)</w:t>
                  </w:r>
                </w:p>
              </w:tc>
              <w:tc>
                <w:tcPr>
                  <w:tcW w:w="462" w:type="dxa"/>
                  <w:vMerge w:val="restart"/>
                  <w:noWrap w:val="0"/>
                  <w:vAlign w:val="center"/>
                </w:tcPr>
                <w:p w14:paraId="2F706918">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效率</w:t>
                  </w:r>
                </w:p>
              </w:tc>
              <w:tc>
                <w:tcPr>
                  <w:tcW w:w="2919" w:type="dxa"/>
                  <w:gridSpan w:val="3"/>
                  <w:noWrap w:val="0"/>
                  <w:vAlign w:val="center"/>
                </w:tcPr>
                <w:p w14:paraId="2A4121EC">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pacing w:val="-10"/>
                      <w:sz w:val="21"/>
                      <w:szCs w:val="21"/>
                      <w:lang w:val="zh-CN"/>
                    </w:rPr>
                    <w:t>污染物</w:t>
                  </w:r>
                </w:p>
              </w:tc>
              <w:tc>
                <w:tcPr>
                  <w:tcW w:w="683" w:type="dxa"/>
                  <w:vMerge w:val="restart"/>
                  <w:noWrap w:val="0"/>
                  <w:vAlign w:val="center"/>
                </w:tcPr>
                <w:p w14:paraId="5D35F88D">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rPr>
                    <w:t>年发生频次</w:t>
                  </w:r>
                </w:p>
              </w:tc>
            </w:tr>
            <w:tr w14:paraId="0BD5AE9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57" w:hRule="atLeast"/>
                <w:jc w:val="center"/>
              </w:trPr>
              <w:tc>
                <w:tcPr>
                  <w:tcW w:w="733" w:type="dxa"/>
                  <w:vMerge w:val="continue"/>
                  <w:noWrap w:val="0"/>
                  <w:vAlign w:val="center"/>
                </w:tcPr>
                <w:p w14:paraId="446D41F1">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
                      <w:bCs/>
                      <w:color w:val="auto"/>
                      <w:sz w:val="21"/>
                      <w:szCs w:val="21"/>
                    </w:rPr>
                  </w:pPr>
                </w:p>
              </w:tc>
              <w:tc>
                <w:tcPr>
                  <w:tcW w:w="1147" w:type="dxa"/>
                  <w:vMerge w:val="continue"/>
                  <w:noWrap w:val="0"/>
                  <w:vAlign w:val="center"/>
                </w:tcPr>
                <w:p w14:paraId="5F71E892">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
                      <w:bCs/>
                      <w:color w:val="auto"/>
                      <w:sz w:val="21"/>
                      <w:szCs w:val="21"/>
                    </w:rPr>
                  </w:pPr>
                </w:p>
              </w:tc>
              <w:tc>
                <w:tcPr>
                  <w:tcW w:w="971" w:type="dxa"/>
                  <w:vMerge w:val="continue"/>
                  <w:noWrap w:val="0"/>
                  <w:vAlign w:val="center"/>
                </w:tcPr>
                <w:p w14:paraId="2BBF71FD">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
                      <w:bCs/>
                      <w:color w:val="auto"/>
                      <w:sz w:val="21"/>
                      <w:szCs w:val="21"/>
                      <w:lang w:val="zh-CN"/>
                    </w:rPr>
                  </w:pPr>
                </w:p>
              </w:tc>
              <w:tc>
                <w:tcPr>
                  <w:tcW w:w="542" w:type="dxa"/>
                  <w:vMerge w:val="continue"/>
                  <w:noWrap w:val="0"/>
                  <w:vAlign w:val="center"/>
                </w:tcPr>
                <w:p w14:paraId="402D42C6">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
                      <w:bCs/>
                      <w:color w:val="auto"/>
                      <w:sz w:val="21"/>
                      <w:szCs w:val="21"/>
                    </w:rPr>
                  </w:pPr>
                </w:p>
              </w:tc>
              <w:tc>
                <w:tcPr>
                  <w:tcW w:w="750" w:type="dxa"/>
                  <w:vMerge w:val="continue"/>
                  <w:noWrap w:val="0"/>
                  <w:vAlign w:val="center"/>
                </w:tcPr>
                <w:p w14:paraId="24D673C1">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
                      <w:bCs/>
                      <w:color w:val="auto"/>
                      <w:sz w:val="21"/>
                      <w:szCs w:val="21"/>
                      <w:lang w:val="zh-CN"/>
                    </w:rPr>
                  </w:pPr>
                </w:p>
              </w:tc>
              <w:tc>
                <w:tcPr>
                  <w:tcW w:w="462" w:type="dxa"/>
                  <w:vMerge w:val="continue"/>
                  <w:noWrap w:val="0"/>
                  <w:vAlign w:val="center"/>
                </w:tcPr>
                <w:p w14:paraId="186C9433">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
                      <w:bCs/>
                      <w:color w:val="auto"/>
                      <w:sz w:val="21"/>
                      <w:szCs w:val="21"/>
                      <w:lang w:val="zh-CN"/>
                    </w:rPr>
                  </w:pPr>
                </w:p>
              </w:tc>
              <w:tc>
                <w:tcPr>
                  <w:tcW w:w="973" w:type="dxa"/>
                  <w:noWrap w:val="0"/>
                  <w:vAlign w:val="center"/>
                </w:tcPr>
                <w:p w14:paraId="11DA0985">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排放浓度(mg/m</w:t>
                  </w:r>
                  <w:r>
                    <w:rPr>
                      <w:rFonts w:hint="default" w:ascii="Times New Roman" w:hAnsi="Times New Roman" w:cs="Times New Roman"/>
                      <w:b/>
                      <w:bCs/>
                      <w:color w:val="auto"/>
                      <w:sz w:val="21"/>
                      <w:szCs w:val="21"/>
                      <w:vertAlign w:val="superscript"/>
                      <w:lang w:val="zh-CN"/>
                    </w:rPr>
                    <w:t>3</w:t>
                  </w:r>
                  <w:r>
                    <w:rPr>
                      <w:rFonts w:hint="default" w:ascii="Times New Roman" w:hAnsi="Times New Roman" w:cs="Times New Roman"/>
                      <w:b/>
                      <w:bCs/>
                      <w:color w:val="auto"/>
                      <w:sz w:val="21"/>
                      <w:szCs w:val="21"/>
                      <w:lang w:val="zh-CN"/>
                    </w:rPr>
                    <w:t>)</w:t>
                  </w:r>
                </w:p>
              </w:tc>
              <w:tc>
                <w:tcPr>
                  <w:tcW w:w="973" w:type="dxa"/>
                  <w:noWrap w:val="0"/>
                  <w:vAlign w:val="center"/>
                </w:tcPr>
                <w:p w14:paraId="03BC6629">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排放速率(kg/h)</w:t>
                  </w:r>
                </w:p>
              </w:tc>
              <w:tc>
                <w:tcPr>
                  <w:tcW w:w="973" w:type="dxa"/>
                  <w:noWrap w:val="0"/>
                  <w:vAlign w:val="center"/>
                </w:tcPr>
                <w:p w14:paraId="64B8AC25">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rPr>
                    <w:t>排放量(kg/a)</w:t>
                  </w:r>
                </w:p>
              </w:tc>
              <w:tc>
                <w:tcPr>
                  <w:tcW w:w="683" w:type="dxa"/>
                  <w:vMerge w:val="continue"/>
                  <w:noWrap w:val="0"/>
                  <w:vAlign w:val="center"/>
                </w:tcPr>
                <w:p w14:paraId="7D0914C3">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
                      <w:bCs/>
                      <w:color w:val="auto"/>
                      <w:sz w:val="21"/>
                      <w:szCs w:val="21"/>
                    </w:rPr>
                  </w:pPr>
                </w:p>
              </w:tc>
            </w:tr>
            <w:tr w14:paraId="4B5E34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99" w:hRule="atLeast"/>
                <w:jc w:val="center"/>
              </w:trPr>
              <w:tc>
                <w:tcPr>
                  <w:tcW w:w="733" w:type="dxa"/>
                  <w:vMerge w:val="restart"/>
                  <w:noWrap w:val="0"/>
                  <w:vAlign w:val="center"/>
                </w:tcPr>
                <w:p w14:paraId="5D512C33">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lang w:val="en-US" w:eastAsia="zh-CN" w:bidi="en-US"/>
                    </w:rPr>
                  </w:pPr>
                  <w:r>
                    <w:rPr>
                      <w:rFonts w:hint="default" w:ascii="Times New Roman" w:hAnsi="Times New Roman" w:cs="Times New Roman"/>
                      <w:color w:val="auto"/>
                      <w:sz w:val="21"/>
                      <w:szCs w:val="21"/>
                    </w:rPr>
                    <w:t>DA00</w:t>
                  </w:r>
                  <w:r>
                    <w:rPr>
                      <w:rFonts w:hint="default" w:ascii="Times New Roman" w:hAnsi="Times New Roman" w:cs="Times New Roman"/>
                      <w:color w:val="auto"/>
                      <w:sz w:val="21"/>
                      <w:szCs w:val="21"/>
                      <w:lang w:val="en-US" w:eastAsia="zh-CN"/>
                    </w:rPr>
                    <w:t>1</w:t>
                  </w:r>
                </w:p>
              </w:tc>
              <w:tc>
                <w:tcPr>
                  <w:tcW w:w="1147" w:type="dxa"/>
                  <w:noWrap w:val="0"/>
                  <w:vAlign w:val="center"/>
                </w:tcPr>
                <w:p w14:paraId="07032211">
                  <w:pPr>
                    <w:keepNext w:val="0"/>
                    <w:keepLines w:val="0"/>
                    <w:widowControl/>
                    <w:suppressLineNumbers w:val="0"/>
                    <w:adjustRightInd w:val="0"/>
                    <w:snapToGrid w:val="0"/>
                    <w:spacing w:before="0" w:beforeAutospacing="0" w:after="0" w:afterAutospacing="0" w:line="300" w:lineRule="exact"/>
                    <w:ind w:left="0" w:right="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非甲烷总烃</w:t>
                  </w:r>
                </w:p>
              </w:tc>
              <w:tc>
                <w:tcPr>
                  <w:tcW w:w="971" w:type="dxa"/>
                  <w:vMerge w:val="restart"/>
                  <w:noWrap w:val="0"/>
                  <w:vAlign w:val="center"/>
                </w:tcPr>
                <w:p w14:paraId="13E051F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0" w:lineRule="exact"/>
                    <w:ind w:left="0" w:right="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废气治理设施</w:t>
                  </w:r>
                  <w:r>
                    <w:rPr>
                      <w:rFonts w:hint="default" w:ascii="Times New Roman" w:hAnsi="Times New Roman" w:cs="Times New Roman"/>
                      <w:color w:val="auto"/>
                      <w:sz w:val="21"/>
                      <w:szCs w:val="21"/>
                    </w:rPr>
                    <w:t>故障</w:t>
                  </w:r>
                </w:p>
              </w:tc>
              <w:tc>
                <w:tcPr>
                  <w:tcW w:w="542" w:type="dxa"/>
                  <w:noWrap w:val="0"/>
                  <w:vAlign w:val="center"/>
                </w:tcPr>
                <w:p w14:paraId="3F040973">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sz w:val="21"/>
                      <w:szCs w:val="21"/>
                    </w:rPr>
                    <w:t>1</w:t>
                  </w:r>
                </w:p>
              </w:tc>
              <w:tc>
                <w:tcPr>
                  <w:tcW w:w="750" w:type="dxa"/>
                  <w:vMerge w:val="restart"/>
                  <w:noWrap w:val="0"/>
                  <w:vAlign w:val="center"/>
                </w:tcPr>
                <w:p w14:paraId="6DD2661F">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default" w:cs="Times New Roman"/>
                      <w:color w:val="auto"/>
                      <w:sz w:val="21"/>
                      <w:szCs w:val="21"/>
                      <w:lang w:val="en-US" w:eastAsia="zh-CN"/>
                    </w:rPr>
                    <w:t>30439</w:t>
                  </w:r>
                </w:p>
              </w:tc>
              <w:tc>
                <w:tcPr>
                  <w:tcW w:w="462" w:type="dxa"/>
                  <w:noWrap w:val="0"/>
                  <w:vAlign w:val="center"/>
                </w:tcPr>
                <w:p w14:paraId="660B783C">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2"/>
                      <w:sz w:val="21"/>
                      <w:szCs w:val="21"/>
                      <w:lang w:val="zh-CN" w:eastAsia="zh-CN" w:bidi="ar-SA"/>
                    </w:rPr>
                  </w:pPr>
                  <w:r>
                    <w:rPr>
                      <w:rFonts w:hint="default" w:ascii="Times New Roman" w:hAnsi="Times New Roman" w:cs="Times New Roman"/>
                      <w:color w:val="auto"/>
                      <w:sz w:val="21"/>
                      <w:szCs w:val="21"/>
                    </w:rPr>
                    <w:t>0</w:t>
                  </w:r>
                </w:p>
              </w:tc>
              <w:tc>
                <w:tcPr>
                  <w:tcW w:w="973" w:type="dxa"/>
                  <w:noWrap w:val="0"/>
                  <w:vAlign w:val="center"/>
                </w:tcPr>
                <w:p w14:paraId="5E5554E6">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default" w:cs="Times New Roman"/>
                      <w:color w:val="auto"/>
                      <w:kern w:val="2"/>
                      <w:sz w:val="21"/>
                      <w:szCs w:val="21"/>
                      <w:lang w:val="en-US" w:eastAsia="zh-CN" w:bidi="ar-SA"/>
                    </w:rPr>
                    <w:t>9.798</w:t>
                  </w:r>
                </w:p>
              </w:tc>
              <w:tc>
                <w:tcPr>
                  <w:tcW w:w="973" w:type="dxa"/>
                  <w:noWrap w:val="0"/>
                  <w:vAlign w:val="center"/>
                </w:tcPr>
                <w:p w14:paraId="1C370277">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default" w:cs="Times New Roman"/>
                      <w:color w:val="auto"/>
                      <w:kern w:val="2"/>
                      <w:sz w:val="21"/>
                      <w:szCs w:val="21"/>
                      <w:lang w:val="en-US" w:eastAsia="zh-CN" w:bidi="ar-SA"/>
                    </w:rPr>
                    <w:t>0.298</w:t>
                  </w:r>
                </w:p>
              </w:tc>
              <w:tc>
                <w:tcPr>
                  <w:tcW w:w="973" w:type="dxa"/>
                  <w:shd w:val="clear" w:color="auto" w:fill="auto"/>
                  <w:noWrap w:val="0"/>
                  <w:vAlign w:val="center"/>
                </w:tcPr>
                <w:p w14:paraId="70BC2ED2">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cs="Times New Roman"/>
                      <w:color w:val="auto"/>
                      <w:kern w:val="2"/>
                      <w:sz w:val="21"/>
                      <w:szCs w:val="21"/>
                      <w:lang w:val="en-US" w:eastAsia="zh-CN" w:bidi="ar-SA"/>
                    </w:rPr>
                    <w:t>0.298</w:t>
                  </w:r>
                </w:p>
              </w:tc>
              <w:tc>
                <w:tcPr>
                  <w:tcW w:w="683" w:type="dxa"/>
                  <w:vMerge w:val="restart"/>
                  <w:noWrap w:val="0"/>
                  <w:vAlign w:val="center"/>
                </w:tcPr>
                <w:p w14:paraId="031B21F1">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sz w:val="21"/>
                      <w:szCs w:val="21"/>
                    </w:rPr>
                    <w:t>1次/a</w:t>
                  </w:r>
                </w:p>
              </w:tc>
            </w:tr>
            <w:tr w14:paraId="2B92895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99" w:hRule="atLeast"/>
                <w:jc w:val="center"/>
              </w:trPr>
              <w:tc>
                <w:tcPr>
                  <w:tcW w:w="733" w:type="dxa"/>
                  <w:vMerge w:val="continue"/>
                  <w:noWrap w:val="0"/>
                  <w:vAlign w:val="center"/>
                </w:tcPr>
                <w:p w14:paraId="76535FC2">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1"/>
                      <w:szCs w:val="21"/>
                    </w:rPr>
                  </w:pPr>
                </w:p>
              </w:tc>
              <w:tc>
                <w:tcPr>
                  <w:tcW w:w="1147" w:type="dxa"/>
                  <w:noWrap w:val="0"/>
                  <w:vAlign w:val="center"/>
                </w:tcPr>
                <w:p w14:paraId="11B36FB2">
                  <w:pPr>
                    <w:keepNext w:val="0"/>
                    <w:keepLines w:val="0"/>
                    <w:widowControl/>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color w:val="auto"/>
                      <w:sz w:val="21"/>
                      <w:szCs w:val="21"/>
                      <w:highlight w:val="none"/>
                      <w:lang w:val="en-US" w:eastAsia="zh-CN"/>
                    </w:rPr>
                    <w:t>二苯基甲烷二异氰酸酯（MDI）</w:t>
                  </w:r>
                </w:p>
              </w:tc>
              <w:tc>
                <w:tcPr>
                  <w:tcW w:w="971" w:type="dxa"/>
                  <w:vMerge w:val="continue"/>
                  <w:noWrap w:val="0"/>
                  <w:vAlign w:val="center"/>
                </w:tcPr>
                <w:p w14:paraId="2C036AD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0" w:lineRule="exact"/>
                    <w:ind w:left="0" w:right="0"/>
                    <w:jc w:val="center"/>
                    <w:textAlignment w:val="auto"/>
                    <w:rPr>
                      <w:rFonts w:hint="default" w:ascii="Times New Roman" w:hAnsi="Times New Roman" w:cs="Times New Roman"/>
                      <w:color w:val="auto"/>
                      <w:sz w:val="21"/>
                      <w:szCs w:val="21"/>
                      <w:lang w:val="en-US" w:eastAsia="zh-CN"/>
                    </w:rPr>
                  </w:pPr>
                </w:p>
              </w:tc>
              <w:tc>
                <w:tcPr>
                  <w:tcW w:w="542" w:type="dxa"/>
                  <w:noWrap w:val="0"/>
                  <w:vAlign w:val="center"/>
                </w:tcPr>
                <w:p w14:paraId="74FD2386">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c>
                <w:tcPr>
                  <w:tcW w:w="750" w:type="dxa"/>
                  <w:vMerge w:val="continue"/>
                  <w:shd w:val="clear" w:color="auto" w:fill="auto"/>
                  <w:noWrap w:val="0"/>
                  <w:vAlign w:val="center"/>
                </w:tcPr>
                <w:p w14:paraId="3C9A1339">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462" w:type="dxa"/>
                  <w:shd w:val="clear" w:color="auto" w:fill="auto"/>
                  <w:noWrap w:val="0"/>
                  <w:vAlign w:val="center"/>
                </w:tcPr>
                <w:p w14:paraId="14068A78">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zh-CN" w:eastAsia="zh-CN" w:bidi="ar-SA"/>
                    </w:rPr>
                  </w:pPr>
                  <w:r>
                    <w:rPr>
                      <w:rFonts w:hint="default" w:ascii="Times New Roman" w:hAnsi="Times New Roman" w:cs="Times New Roman"/>
                      <w:color w:val="auto"/>
                      <w:sz w:val="21"/>
                      <w:szCs w:val="21"/>
                    </w:rPr>
                    <w:t>0</w:t>
                  </w:r>
                </w:p>
              </w:tc>
              <w:tc>
                <w:tcPr>
                  <w:tcW w:w="973" w:type="dxa"/>
                  <w:noWrap w:val="0"/>
                  <w:vAlign w:val="center"/>
                </w:tcPr>
                <w:p w14:paraId="29DC764D">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1"/>
                      <w:szCs w:val="21"/>
                      <w:lang w:val="en-US" w:eastAsia="zh-CN"/>
                    </w:rPr>
                  </w:pPr>
                  <w:r>
                    <w:rPr>
                      <w:rFonts w:hint="default" w:cs="Times New Roman"/>
                      <w:color w:val="auto"/>
                      <w:sz w:val="21"/>
                      <w:szCs w:val="21"/>
                      <w:highlight w:val="none"/>
                      <w:lang w:val="en-US" w:eastAsia="zh-CN"/>
                    </w:rPr>
                    <w:t>2.81</w:t>
                  </w:r>
                  <w:r>
                    <w:rPr>
                      <w:rFonts w:hint="default" w:ascii="Times New Roman" w:hAnsi="Times New Roman" w:eastAsia="宋体" w:cs="Times New Roman"/>
                      <w:color w:val="auto"/>
                      <w:sz w:val="21"/>
                      <w:szCs w:val="21"/>
                      <w:highlight w:val="none"/>
                      <w:lang w:val="en-US" w:eastAsia="zh-CN"/>
                    </w:rPr>
                    <w:t>×10</w:t>
                  </w:r>
                  <w:r>
                    <w:rPr>
                      <w:rFonts w:hint="default" w:ascii="Times New Roman" w:hAnsi="Times New Roman" w:eastAsia="宋体" w:cs="Times New Roman"/>
                      <w:color w:val="auto"/>
                      <w:sz w:val="21"/>
                      <w:szCs w:val="21"/>
                      <w:highlight w:val="none"/>
                      <w:vertAlign w:val="superscript"/>
                      <w:lang w:val="en-US" w:eastAsia="zh-CN"/>
                    </w:rPr>
                    <w:t>-3</w:t>
                  </w:r>
                </w:p>
              </w:tc>
              <w:tc>
                <w:tcPr>
                  <w:tcW w:w="973" w:type="dxa"/>
                  <w:noWrap w:val="0"/>
                  <w:vAlign w:val="center"/>
                </w:tcPr>
                <w:p w14:paraId="71A61868">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color w:val="auto"/>
                      <w:sz w:val="21"/>
                      <w:szCs w:val="21"/>
                      <w:highlight w:val="none"/>
                      <w:lang w:val="en-US" w:eastAsia="zh-CN"/>
                    </w:rPr>
                    <w:t>8.56×10</w:t>
                  </w:r>
                  <w:r>
                    <w:rPr>
                      <w:rFonts w:hint="default" w:ascii="Times New Roman" w:hAnsi="Times New Roman" w:eastAsia="宋体" w:cs="Times New Roman"/>
                      <w:color w:val="auto"/>
                      <w:sz w:val="21"/>
                      <w:szCs w:val="21"/>
                      <w:highlight w:val="none"/>
                      <w:vertAlign w:val="superscript"/>
                      <w:lang w:val="en-US" w:eastAsia="zh-CN"/>
                    </w:rPr>
                    <w:t>-5</w:t>
                  </w:r>
                </w:p>
              </w:tc>
              <w:tc>
                <w:tcPr>
                  <w:tcW w:w="973" w:type="dxa"/>
                  <w:shd w:val="clear" w:color="auto" w:fill="auto"/>
                  <w:noWrap w:val="0"/>
                  <w:vAlign w:val="center"/>
                </w:tcPr>
                <w:p w14:paraId="5E6964E5">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highlight w:val="none"/>
                      <w:lang w:val="en-US" w:eastAsia="zh-CN"/>
                    </w:rPr>
                    <w:t>8.56×10</w:t>
                  </w:r>
                  <w:r>
                    <w:rPr>
                      <w:rFonts w:hint="default" w:ascii="Times New Roman" w:hAnsi="Times New Roman" w:eastAsia="宋体" w:cs="Times New Roman"/>
                      <w:color w:val="auto"/>
                      <w:sz w:val="21"/>
                      <w:szCs w:val="21"/>
                      <w:highlight w:val="none"/>
                      <w:vertAlign w:val="superscript"/>
                      <w:lang w:val="en-US" w:eastAsia="zh-CN"/>
                    </w:rPr>
                    <w:t>-5</w:t>
                  </w:r>
                </w:p>
              </w:tc>
              <w:tc>
                <w:tcPr>
                  <w:tcW w:w="683" w:type="dxa"/>
                  <w:vMerge w:val="continue"/>
                  <w:noWrap w:val="0"/>
                  <w:vAlign w:val="center"/>
                </w:tcPr>
                <w:p w14:paraId="2458C54B">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1"/>
                      <w:szCs w:val="21"/>
                    </w:rPr>
                  </w:pPr>
                </w:p>
              </w:tc>
            </w:tr>
            <w:tr w14:paraId="252C262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99" w:hRule="atLeast"/>
                <w:jc w:val="center"/>
              </w:trPr>
              <w:tc>
                <w:tcPr>
                  <w:tcW w:w="733" w:type="dxa"/>
                  <w:vMerge w:val="continue"/>
                  <w:noWrap w:val="0"/>
                  <w:vAlign w:val="center"/>
                </w:tcPr>
                <w:p w14:paraId="7524BBBE">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1"/>
                      <w:szCs w:val="21"/>
                    </w:rPr>
                  </w:pPr>
                </w:p>
              </w:tc>
              <w:tc>
                <w:tcPr>
                  <w:tcW w:w="1147" w:type="dxa"/>
                  <w:noWrap w:val="0"/>
                  <w:vAlign w:val="center"/>
                </w:tcPr>
                <w:p w14:paraId="4999CFDE">
                  <w:pPr>
                    <w:keepNext w:val="0"/>
                    <w:keepLines w:val="0"/>
                    <w:widowControl/>
                    <w:suppressLineNumbers w:val="0"/>
                    <w:adjustRightInd w:val="0"/>
                    <w:snapToGrid w:val="0"/>
                    <w:spacing w:before="0" w:beforeAutospacing="0" w:after="0" w:afterAutospacing="0" w:line="300" w:lineRule="exact"/>
                    <w:ind w:left="0" w:right="0"/>
                    <w:jc w:val="center"/>
                    <w:rPr>
                      <w:rFonts w:hint="default" w:ascii="Times New Roman" w:hAnsi="Times New Roman" w:eastAsia="宋体" w:cs="Times New Roman"/>
                      <w:color w:val="auto"/>
                      <w:sz w:val="21"/>
                      <w:szCs w:val="21"/>
                      <w:highlight w:val="none"/>
                      <w:lang w:val="en-US" w:eastAsia="zh-CN"/>
                    </w:rPr>
                  </w:pPr>
                  <w:r>
                    <w:rPr>
                      <w:rFonts w:hint="default" w:cs="Times New Roman"/>
                      <w:color w:val="auto"/>
                      <w:sz w:val="21"/>
                      <w:szCs w:val="21"/>
                      <w:highlight w:val="none"/>
                      <w:lang w:val="en-US" w:eastAsia="zh-CN"/>
                    </w:rPr>
                    <w:t>臭气浓度</w:t>
                  </w:r>
                </w:p>
              </w:tc>
              <w:tc>
                <w:tcPr>
                  <w:tcW w:w="971" w:type="dxa"/>
                  <w:vMerge w:val="continue"/>
                  <w:noWrap w:val="0"/>
                  <w:vAlign w:val="center"/>
                </w:tcPr>
                <w:p w14:paraId="7426D4A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0" w:lineRule="exact"/>
                    <w:ind w:left="0" w:right="0"/>
                    <w:jc w:val="center"/>
                    <w:textAlignment w:val="auto"/>
                    <w:rPr>
                      <w:rFonts w:hint="default" w:ascii="Times New Roman" w:hAnsi="Times New Roman" w:cs="Times New Roman"/>
                      <w:color w:val="auto"/>
                      <w:sz w:val="21"/>
                      <w:szCs w:val="21"/>
                      <w:lang w:val="en-US" w:eastAsia="zh-CN"/>
                    </w:rPr>
                  </w:pPr>
                </w:p>
              </w:tc>
              <w:tc>
                <w:tcPr>
                  <w:tcW w:w="542" w:type="dxa"/>
                  <w:noWrap w:val="0"/>
                  <w:vAlign w:val="center"/>
                </w:tcPr>
                <w:p w14:paraId="55768517">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lang w:val="en-US" w:eastAsia="zh-CN"/>
                    </w:rPr>
                  </w:pPr>
                  <w:r>
                    <w:rPr>
                      <w:rFonts w:hint="default" w:cs="Times New Roman"/>
                      <w:color w:val="auto"/>
                      <w:sz w:val="21"/>
                      <w:szCs w:val="21"/>
                      <w:lang w:val="en-US" w:eastAsia="zh-CN"/>
                    </w:rPr>
                    <w:t>1</w:t>
                  </w:r>
                </w:p>
              </w:tc>
              <w:tc>
                <w:tcPr>
                  <w:tcW w:w="750" w:type="dxa"/>
                  <w:vMerge w:val="continue"/>
                  <w:shd w:val="clear" w:color="auto" w:fill="auto"/>
                  <w:noWrap w:val="0"/>
                  <w:vAlign w:val="center"/>
                </w:tcPr>
                <w:p w14:paraId="1FFD85B4">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462" w:type="dxa"/>
                  <w:shd w:val="clear" w:color="auto" w:fill="auto"/>
                  <w:noWrap w:val="0"/>
                  <w:vAlign w:val="center"/>
                </w:tcPr>
                <w:p w14:paraId="34DB0653">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lang w:val="en-US" w:eastAsia="zh-CN"/>
                    </w:rPr>
                  </w:pPr>
                  <w:r>
                    <w:rPr>
                      <w:rFonts w:hint="default" w:cs="Times New Roman"/>
                      <w:color w:val="auto"/>
                      <w:sz w:val="21"/>
                      <w:szCs w:val="21"/>
                      <w:lang w:val="en-US" w:eastAsia="zh-CN"/>
                    </w:rPr>
                    <w:t>0</w:t>
                  </w:r>
                </w:p>
              </w:tc>
              <w:tc>
                <w:tcPr>
                  <w:tcW w:w="973" w:type="dxa"/>
                  <w:shd w:val="clear" w:color="auto" w:fill="auto"/>
                  <w:noWrap w:val="0"/>
                  <w:vAlign w:val="center"/>
                </w:tcPr>
                <w:p w14:paraId="2CB9CADC">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617（无量纲）</w:t>
                  </w:r>
                </w:p>
              </w:tc>
              <w:tc>
                <w:tcPr>
                  <w:tcW w:w="973" w:type="dxa"/>
                  <w:shd w:val="clear" w:color="auto" w:fill="auto"/>
                  <w:noWrap w:val="0"/>
                  <w:vAlign w:val="center"/>
                </w:tcPr>
                <w:p w14:paraId="5AD680A9">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w:t>
                  </w:r>
                </w:p>
              </w:tc>
              <w:tc>
                <w:tcPr>
                  <w:tcW w:w="973" w:type="dxa"/>
                  <w:shd w:val="clear" w:color="auto" w:fill="auto"/>
                  <w:noWrap w:val="0"/>
                  <w:vAlign w:val="center"/>
                </w:tcPr>
                <w:p w14:paraId="3DAEE385">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w:t>
                  </w:r>
                </w:p>
              </w:tc>
              <w:tc>
                <w:tcPr>
                  <w:tcW w:w="683" w:type="dxa"/>
                  <w:vMerge w:val="continue"/>
                  <w:noWrap w:val="0"/>
                  <w:vAlign w:val="center"/>
                </w:tcPr>
                <w:p w14:paraId="29DBB138">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1"/>
                      <w:szCs w:val="21"/>
                    </w:rPr>
                  </w:pPr>
                </w:p>
              </w:tc>
            </w:tr>
            <w:tr w14:paraId="328157F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99" w:hRule="atLeast"/>
                <w:jc w:val="center"/>
              </w:trPr>
              <w:tc>
                <w:tcPr>
                  <w:tcW w:w="733" w:type="dxa"/>
                  <w:vMerge w:val="restart"/>
                  <w:noWrap w:val="0"/>
                  <w:vAlign w:val="center"/>
                </w:tcPr>
                <w:p w14:paraId="140D1F22">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en-US"/>
                    </w:rPr>
                  </w:pPr>
                  <w:r>
                    <w:rPr>
                      <w:rFonts w:hint="default" w:ascii="Times New Roman" w:hAnsi="Times New Roman" w:cs="Times New Roman"/>
                      <w:color w:val="auto"/>
                      <w:sz w:val="21"/>
                      <w:szCs w:val="21"/>
                    </w:rPr>
                    <w:t>DA00</w:t>
                  </w:r>
                  <w:r>
                    <w:rPr>
                      <w:rFonts w:hint="default" w:ascii="Times New Roman" w:hAnsi="Times New Roman" w:cs="Times New Roman"/>
                      <w:color w:val="auto"/>
                      <w:sz w:val="21"/>
                      <w:szCs w:val="21"/>
                      <w:lang w:val="en-US" w:eastAsia="zh-CN"/>
                    </w:rPr>
                    <w:t>2</w:t>
                  </w:r>
                </w:p>
              </w:tc>
              <w:tc>
                <w:tcPr>
                  <w:tcW w:w="1147" w:type="dxa"/>
                  <w:noWrap w:val="0"/>
                  <w:vAlign w:val="center"/>
                </w:tcPr>
                <w:p w14:paraId="1FE025A4">
                  <w:pPr>
                    <w:keepNext w:val="0"/>
                    <w:keepLines w:val="0"/>
                    <w:widowControl/>
                    <w:suppressLineNumbers w:val="0"/>
                    <w:adjustRightInd w:val="0"/>
                    <w:snapToGrid w:val="0"/>
                    <w:spacing w:before="0" w:beforeAutospacing="0" w:after="0" w:afterAutospacing="0" w:line="300" w:lineRule="exact"/>
                    <w:ind w:left="0" w:right="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非甲烷总烃</w:t>
                  </w:r>
                </w:p>
              </w:tc>
              <w:tc>
                <w:tcPr>
                  <w:tcW w:w="971" w:type="dxa"/>
                  <w:vMerge w:val="restart"/>
                  <w:noWrap w:val="0"/>
                  <w:vAlign w:val="center"/>
                </w:tcPr>
                <w:p w14:paraId="4D97582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0" w:lineRule="exact"/>
                    <w:ind w:left="0" w:right="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废气治理设施</w:t>
                  </w:r>
                  <w:r>
                    <w:rPr>
                      <w:rFonts w:hint="default" w:ascii="Times New Roman" w:hAnsi="Times New Roman" w:cs="Times New Roman"/>
                      <w:color w:val="auto"/>
                      <w:sz w:val="21"/>
                      <w:szCs w:val="21"/>
                    </w:rPr>
                    <w:t>故障</w:t>
                  </w:r>
                </w:p>
              </w:tc>
              <w:tc>
                <w:tcPr>
                  <w:tcW w:w="542" w:type="dxa"/>
                  <w:noWrap w:val="0"/>
                  <w:vAlign w:val="center"/>
                </w:tcPr>
                <w:p w14:paraId="0E2AA528">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sz w:val="21"/>
                      <w:szCs w:val="21"/>
                    </w:rPr>
                    <w:t>1</w:t>
                  </w:r>
                </w:p>
              </w:tc>
              <w:tc>
                <w:tcPr>
                  <w:tcW w:w="750" w:type="dxa"/>
                  <w:vMerge w:val="restart"/>
                  <w:noWrap w:val="0"/>
                  <w:vAlign w:val="center"/>
                </w:tcPr>
                <w:p w14:paraId="271FAC77">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default" w:cs="Times New Roman"/>
                      <w:color w:val="auto"/>
                      <w:sz w:val="21"/>
                      <w:szCs w:val="21"/>
                      <w:lang w:val="en-US" w:eastAsia="zh-CN"/>
                    </w:rPr>
                    <w:t>26115</w:t>
                  </w:r>
                </w:p>
              </w:tc>
              <w:tc>
                <w:tcPr>
                  <w:tcW w:w="462" w:type="dxa"/>
                  <w:noWrap w:val="0"/>
                  <w:vAlign w:val="center"/>
                </w:tcPr>
                <w:p w14:paraId="1D365E83">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2"/>
                      <w:sz w:val="21"/>
                      <w:szCs w:val="21"/>
                      <w:lang w:val="zh-CN" w:eastAsia="zh-CN" w:bidi="ar-SA"/>
                    </w:rPr>
                  </w:pPr>
                  <w:r>
                    <w:rPr>
                      <w:rFonts w:hint="default" w:ascii="Times New Roman" w:hAnsi="Times New Roman" w:cs="Times New Roman"/>
                      <w:color w:val="auto"/>
                      <w:sz w:val="21"/>
                      <w:szCs w:val="21"/>
                    </w:rPr>
                    <w:t>0</w:t>
                  </w:r>
                </w:p>
              </w:tc>
              <w:tc>
                <w:tcPr>
                  <w:tcW w:w="973" w:type="dxa"/>
                  <w:noWrap w:val="0"/>
                  <w:vAlign w:val="center"/>
                </w:tcPr>
                <w:p w14:paraId="79B0D1C8">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default" w:cs="Times New Roman"/>
                      <w:color w:val="auto"/>
                      <w:kern w:val="2"/>
                      <w:sz w:val="21"/>
                      <w:szCs w:val="21"/>
                      <w:lang w:val="en-US" w:eastAsia="zh-CN" w:bidi="ar-SA"/>
                    </w:rPr>
                    <w:t>10.538</w:t>
                  </w:r>
                </w:p>
              </w:tc>
              <w:tc>
                <w:tcPr>
                  <w:tcW w:w="973" w:type="dxa"/>
                  <w:noWrap w:val="0"/>
                  <w:vAlign w:val="center"/>
                </w:tcPr>
                <w:p w14:paraId="1A26C26E">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default" w:cs="Times New Roman"/>
                      <w:color w:val="auto"/>
                      <w:kern w:val="2"/>
                      <w:sz w:val="21"/>
                      <w:szCs w:val="21"/>
                      <w:lang w:val="en-US" w:eastAsia="zh-CN" w:bidi="ar-SA"/>
                    </w:rPr>
                    <w:t>0.275</w:t>
                  </w:r>
                </w:p>
              </w:tc>
              <w:tc>
                <w:tcPr>
                  <w:tcW w:w="973" w:type="dxa"/>
                  <w:shd w:val="clear" w:color="auto" w:fill="auto"/>
                  <w:noWrap w:val="0"/>
                  <w:vAlign w:val="center"/>
                </w:tcPr>
                <w:p w14:paraId="7246F8F9">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cs="Times New Roman"/>
                      <w:color w:val="auto"/>
                      <w:kern w:val="2"/>
                      <w:sz w:val="21"/>
                      <w:szCs w:val="21"/>
                      <w:lang w:val="en-US" w:eastAsia="zh-CN" w:bidi="ar-SA"/>
                    </w:rPr>
                    <w:t>0.275</w:t>
                  </w:r>
                </w:p>
              </w:tc>
              <w:tc>
                <w:tcPr>
                  <w:tcW w:w="683" w:type="dxa"/>
                  <w:vMerge w:val="restart"/>
                  <w:noWrap w:val="0"/>
                  <w:vAlign w:val="center"/>
                </w:tcPr>
                <w:p w14:paraId="2F624214">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sz w:val="21"/>
                      <w:szCs w:val="21"/>
                    </w:rPr>
                    <w:t>1次/a</w:t>
                  </w:r>
                </w:p>
              </w:tc>
            </w:tr>
            <w:tr w14:paraId="54DDD35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124" w:hRule="atLeast"/>
                <w:jc w:val="center"/>
              </w:trPr>
              <w:tc>
                <w:tcPr>
                  <w:tcW w:w="733" w:type="dxa"/>
                  <w:vMerge w:val="continue"/>
                  <w:noWrap w:val="0"/>
                  <w:vAlign w:val="center"/>
                </w:tcPr>
                <w:p w14:paraId="68107214">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1"/>
                      <w:szCs w:val="21"/>
                    </w:rPr>
                  </w:pPr>
                </w:p>
              </w:tc>
              <w:tc>
                <w:tcPr>
                  <w:tcW w:w="1147" w:type="dxa"/>
                  <w:noWrap w:val="0"/>
                  <w:vAlign w:val="center"/>
                </w:tcPr>
                <w:p w14:paraId="2038797E">
                  <w:pPr>
                    <w:keepNext w:val="0"/>
                    <w:keepLines w:val="0"/>
                    <w:widowControl/>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二苯基甲烷二异氰酸酯（MDI）</w:t>
                  </w:r>
                </w:p>
              </w:tc>
              <w:tc>
                <w:tcPr>
                  <w:tcW w:w="971" w:type="dxa"/>
                  <w:vMerge w:val="continue"/>
                  <w:noWrap w:val="0"/>
                  <w:vAlign w:val="center"/>
                </w:tcPr>
                <w:p w14:paraId="435F40F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0" w:lineRule="exact"/>
                    <w:ind w:left="0" w:right="0"/>
                    <w:jc w:val="center"/>
                    <w:textAlignment w:val="auto"/>
                    <w:rPr>
                      <w:rFonts w:hint="default" w:ascii="Times New Roman" w:hAnsi="Times New Roman" w:cs="Times New Roman"/>
                      <w:color w:val="auto"/>
                      <w:sz w:val="21"/>
                      <w:szCs w:val="21"/>
                      <w:lang w:val="en-US" w:eastAsia="zh-CN"/>
                    </w:rPr>
                  </w:pPr>
                </w:p>
              </w:tc>
              <w:tc>
                <w:tcPr>
                  <w:tcW w:w="542" w:type="dxa"/>
                  <w:noWrap w:val="0"/>
                  <w:vAlign w:val="center"/>
                </w:tcPr>
                <w:p w14:paraId="60714976">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c>
                <w:tcPr>
                  <w:tcW w:w="750" w:type="dxa"/>
                  <w:vMerge w:val="continue"/>
                  <w:shd w:val="clear" w:color="auto" w:fill="auto"/>
                  <w:noWrap w:val="0"/>
                  <w:vAlign w:val="center"/>
                </w:tcPr>
                <w:p w14:paraId="151BF988">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462" w:type="dxa"/>
                  <w:shd w:val="clear" w:color="auto" w:fill="auto"/>
                  <w:noWrap w:val="0"/>
                  <w:vAlign w:val="center"/>
                </w:tcPr>
                <w:p w14:paraId="0A4ECC97">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zh-CN" w:eastAsia="zh-CN" w:bidi="ar-SA"/>
                    </w:rPr>
                  </w:pPr>
                  <w:r>
                    <w:rPr>
                      <w:rFonts w:hint="default" w:ascii="Times New Roman" w:hAnsi="Times New Roman" w:cs="Times New Roman"/>
                      <w:color w:val="auto"/>
                      <w:sz w:val="21"/>
                      <w:szCs w:val="21"/>
                    </w:rPr>
                    <w:t>0</w:t>
                  </w:r>
                </w:p>
              </w:tc>
              <w:tc>
                <w:tcPr>
                  <w:tcW w:w="973" w:type="dxa"/>
                  <w:shd w:val="clear" w:color="auto" w:fill="auto"/>
                  <w:noWrap w:val="0"/>
                  <w:vAlign w:val="center"/>
                </w:tcPr>
                <w:p w14:paraId="288826D4">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cs="Times New Roman"/>
                      <w:color w:val="auto"/>
                      <w:sz w:val="21"/>
                      <w:szCs w:val="21"/>
                      <w:highlight w:val="none"/>
                      <w:lang w:val="en-US" w:eastAsia="zh-CN"/>
                    </w:rPr>
                    <w:t>1.64</w:t>
                  </w:r>
                  <w:r>
                    <w:rPr>
                      <w:rFonts w:hint="default" w:ascii="Times New Roman" w:hAnsi="Times New Roman" w:eastAsia="宋体" w:cs="Times New Roman"/>
                      <w:color w:val="auto"/>
                      <w:sz w:val="21"/>
                      <w:szCs w:val="21"/>
                      <w:highlight w:val="none"/>
                      <w:lang w:val="en-US" w:eastAsia="zh-CN"/>
                    </w:rPr>
                    <w:t>×10</w:t>
                  </w:r>
                  <w:r>
                    <w:rPr>
                      <w:rFonts w:hint="default" w:ascii="Times New Roman" w:hAnsi="Times New Roman" w:eastAsia="宋体" w:cs="Times New Roman"/>
                      <w:color w:val="auto"/>
                      <w:sz w:val="21"/>
                      <w:szCs w:val="21"/>
                      <w:highlight w:val="none"/>
                      <w:vertAlign w:val="superscript"/>
                      <w:lang w:val="en-US" w:eastAsia="zh-CN"/>
                    </w:rPr>
                    <w:t>-</w:t>
                  </w:r>
                  <w:r>
                    <w:rPr>
                      <w:rFonts w:hint="default" w:cs="Times New Roman"/>
                      <w:color w:val="auto"/>
                      <w:sz w:val="21"/>
                      <w:szCs w:val="21"/>
                      <w:highlight w:val="none"/>
                      <w:vertAlign w:val="superscript"/>
                      <w:lang w:val="en-US" w:eastAsia="zh-CN"/>
                    </w:rPr>
                    <w:t>3</w:t>
                  </w:r>
                </w:p>
              </w:tc>
              <w:tc>
                <w:tcPr>
                  <w:tcW w:w="973" w:type="dxa"/>
                  <w:shd w:val="clear" w:color="auto" w:fill="auto"/>
                  <w:noWrap w:val="0"/>
                  <w:vAlign w:val="center"/>
                </w:tcPr>
                <w:p w14:paraId="1FFEA269">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highlight w:val="none"/>
                      <w:lang w:val="en-US" w:eastAsia="zh-CN"/>
                    </w:rPr>
                    <w:t>4.28×10</w:t>
                  </w:r>
                  <w:r>
                    <w:rPr>
                      <w:rFonts w:hint="default" w:ascii="Times New Roman" w:hAnsi="Times New Roman" w:eastAsia="宋体" w:cs="Times New Roman"/>
                      <w:color w:val="auto"/>
                      <w:sz w:val="21"/>
                      <w:szCs w:val="21"/>
                      <w:highlight w:val="none"/>
                      <w:vertAlign w:val="superscript"/>
                      <w:lang w:val="en-US" w:eastAsia="zh-CN"/>
                    </w:rPr>
                    <w:t>-5</w:t>
                  </w:r>
                </w:p>
              </w:tc>
              <w:tc>
                <w:tcPr>
                  <w:tcW w:w="973" w:type="dxa"/>
                  <w:shd w:val="clear" w:color="auto" w:fill="auto"/>
                  <w:noWrap w:val="0"/>
                  <w:vAlign w:val="center"/>
                </w:tcPr>
                <w:p w14:paraId="43A43C43">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highlight w:val="none"/>
                      <w:lang w:val="en-US" w:eastAsia="zh-CN"/>
                    </w:rPr>
                    <w:t>4.28×10</w:t>
                  </w:r>
                  <w:r>
                    <w:rPr>
                      <w:rFonts w:hint="default" w:ascii="Times New Roman" w:hAnsi="Times New Roman" w:eastAsia="宋体" w:cs="Times New Roman"/>
                      <w:color w:val="auto"/>
                      <w:sz w:val="21"/>
                      <w:szCs w:val="21"/>
                      <w:highlight w:val="none"/>
                      <w:vertAlign w:val="superscript"/>
                      <w:lang w:val="en-US" w:eastAsia="zh-CN"/>
                    </w:rPr>
                    <w:t>-5</w:t>
                  </w:r>
                </w:p>
              </w:tc>
              <w:tc>
                <w:tcPr>
                  <w:tcW w:w="683" w:type="dxa"/>
                  <w:vMerge w:val="continue"/>
                  <w:noWrap w:val="0"/>
                  <w:vAlign w:val="center"/>
                </w:tcPr>
                <w:p w14:paraId="5FE1D0C3">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1"/>
                      <w:szCs w:val="21"/>
                    </w:rPr>
                  </w:pPr>
                </w:p>
              </w:tc>
            </w:tr>
            <w:tr w14:paraId="4A509BA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85" w:hRule="atLeast"/>
                <w:jc w:val="center"/>
              </w:trPr>
              <w:tc>
                <w:tcPr>
                  <w:tcW w:w="733" w:type="dxa"/>
                  <w:vMerge w:val="continue"/>
                  <w:noWrap w:val="0"/>
                  <w:vAlign w:val="center"/>
                </w:tcPr>
                <w:p w14:paraId="73AD6555">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1"/>
                      <w:szCs w:val="21"/>
                    </w:rPr>
                  </w:pPr>
                </w:p>
              </w:tc>
              <w:tc>
                <w:tcPr>
                  <w:tcW w:w="1147" w:type="dxa"/>
                  <w:shd w:val="clear" w:color="auto" w:fill="auto"/>
                  <w:noWrap w:val="0"/>
                  <w:vAlign w:val="center"/>
                </w:tcPr>
                <w:p w14:paraId="7E766912">
                  <w:pPr>
                    <w:keepNext w:val="0"/>
                    <w:keepLines w:val="0"/>
                    <w:widowControl/>
                    <w:suppressLineNumbers w:val="0"/>
                    <w:adjustRightInd w:val="0"/>
                    <w:snapToGrid w:val="0"/>
                    <w:spacing w:before="0" w:beforeAutospacing="0" w:after="0" w:afterAutospacing="0" w:line="300" w:lineRule="exact"/>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cs="Times New Roman"/>
                      <w:color w:val="auto"/>
                      <w:sz w:val="21"/>
                      <w:szCs w:val="21"/>
                      <w:highlight w:val="none"/>
                      <w:lang w:val="en-US" w:eastAsia="zh-CN"/>
                    </w:rPr>
                    <w:t>臭气浓度</w:t>
                  </w:r>
                </w:p>
              </w:tc>
              <w:tc>
                <w:tcPr>
                  <w:tcW w:w="971" w:type="dxa"/>
                  <w:vMerge w:val="continue"/>
                  <w:shd w:val="clear" w:color="auto" w:fill="auto"/>
                  <w:noWrap w:val="0"/>
                  <w:vAlign w:val="center"/>
                </w:tcPr>
                <w:p w14:paraId="4D87C83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0" w:lineRule="exact"/>
                    <w:ind w:left="0" w:leftChars="0" w:right="0" w:rightChars="0"/>
                    <w:jc w:val="center"/>
                    <w:textAlignment w:val="auto"/>
                    <w:rPr>
                      <w:rFonts w:hint="default" w:ascii="Times New Roman" w:hAnsi="Times New Roman" w:eastAsia="宋体" w:cs="Times New Roman"/>
                      <w:color w:val="auto"/>
                      <w:kern w:val="2"/>
                      <w:sz w:val="21"/>
                      <w:szCs w:val="21"/>
                      <w:lang w:val="en-US" w:eastAsia="zh-CN" w:bidi="ar-SA"/>
                    </w:rPr>
                  </w:pPr>
                </w:p>
              </w:tc>
              <w:tc>
                <w:tcPr>
                  <w:tcW w:w="542" w:type="dxa"/>
                  <w:shd w:val="clear" w:color="auto" w:fill="auto"/>
                  <w:noWrap w:val="0"/>
                  <w:vAlign w:val="center"/>
                </w:tcPr>
                <w:p w14:paraId="1193F6CC">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cs="Times New Roman"/>
                      <w:color w:val="auto"/>
                      <w:sz w:val="21"/>
                      <w:szCs w:val="21"/>
                      <w:lang w:val="en-US" w:eastAsia="zh-CN"/>
                    </w:rPr>
                    <w:t>1</w:t>
                  </w:r>
                </w:p>
              </w:tc>
              <w:tc>
                <w:tcPr>
                  <w:tcW w:w="750" w:type="dxa"/>
                  <w:vMerge w:val="continue"/>
                  <w:shd w:val="clear" w:color="auto" w:fill="auto"/>
                  <w:noWrap w:val="0"/>
                  <w:vAlign w:val="center"/>
                </w:tcPr>
                <w:p w14:paraId="27824598">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462" w:type="dxa"/>
                  <w:shd w:val="clear" w:color="auto" w:fill="auto"/>
                  <w:noWrap w:val="0"/>
                  <w:vAlign w:val="center"/>
                </w:tcPr>
                <w:p w14:paraId="0A3422C4">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cs="Times New Roman"/>
                      <w:color w:val="auto"/>
                      <w:sz w:val="21"/>
                      <w:szCs w:val="21"/>
                      <w:lang w:val="en-US" w:eastAsia="zh-CN"/>
                    </w:rPr>
                    <w:t>0</w:t>
                  </w:r>
                </w:p>
              </w:tc>
              <w:tc>
                <w:tcPr>
                  <w:tcW w:w="973" w:type="dxa"/>
                  <w:shd w:val="clear" w:color="auto" w:fill="auto"/>
                  <w:noWrap w:val="0"/>
                  <w:vAlign w:val="center"/>
                </w:tcPr>
                <w:p w14:paraId="71EDAEB5">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617（无量纲）</w:t>
                  </w:r>
                </w:p>
              </w:tc>
              <w:tc>
                <w:tcPr>
                  <w:tcW w:w="973" w:type="dxa"/>
                  <w:shd w:val="clear" w:color="auto" w:fill="auto"/>
                  <w:noWrap w:val="0"/>
                  <w:vAlign w:val="center"/>
                </w:tcPr>
                <w:p w14:paraId="7557F1AA">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w:t>
                  </w:r>
                </w:p>
              </w:tc>
              <w:tc>
                <w:tcPr>
                  <w:tcW w:w="973" w:type="dxa"/>
                  <w:shd w:val="clear" w:color="auto" w:fill="auto"/>
                  <w:noWrap w:val="0"/>
                  <w:vAlign w:val="center"/>
                </w:tcPr>
                <w:p w14:paraId="01415FDB">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w:t>
                  </w:r>
                </w:p>
              </w:tc>
              <w:tc>
                <w:tcPr>
                  <w:tcW w:w="683" w:type="dxa"/>
                  <w:vMerge w:val="continue"/>
                  <w:noWrap w:val="0"/>
                  <w:vAlign w:val="center"/>
                </w:tcPr>
                <w:p w14:paraId="3646DE01">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1"/>
                      <w:szCs w:val="21"/>
                    </w:rPr>
                  </w:pPr>
                </w:p>
              </w:tc>
            </w:tr>
            <w:tr w14:paraId="543B2E6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99" w:hRule="atLeast"/>
                <w:jc w:val="center"/>
              </w:trPr>
              <w:tc>
                <w:tcPr>
                  <w:tcW w:w="733" w:type="dxa"/>
                  <w:vMerge w:val="restart"/>
                  <w:noWrap w:val="0"/>
                  <w:vAlign w:val="center"/>
                </w:tcPr>
                <w:p w14:paraId="75D39EB0">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en-US"/>
                    </w:rPr>
                  </w:pPr>
                  <w:r>
                    <w:rPr>
                      <w:rFonts w:hint="default" w:ascii="Times New Roman" w:hAnsi="Times New Roman" w:cs="Times New Roman"/>
                      <w:color w:val="auto"/>
                      <w:sz w:val="21"/>
                      <w:szCs w:val="21"/>
                    </w:rPr>
                    <w:t>DA00</w:t>
                  </w:r>
                  <w:r>
                    <w:rPr>
                      <w:rFonts w:hint="default" w:ascii="Times New Roman" w:hAnsi="Times New Roman" w:cs="Times New Roman"/>
                      <w:color w:val="auto"/>
                      <w:sz w:val="21"/>
                      <w:szCs w:val="21"/>
                      <w:lang w:val="en-US" w:eastAsia="zh-CN"/>
                    </w:rPr>
                    <w:t>3</w:t>
                  </w:r>
                </w:p>
              </w:tc>
              <w:tc>
                <w:tcPr>
                  <w:tcW w:w="1147" w:type="dxa"/>
                  <w:noWrap w:val="0"/>
                  <w:vAlign w:val="center"/>
                </w:tcPr>
                <w:p w14:paraId="3C9B9139">
                  <w:pPr>
                    <w:keepNext w:val="0"/>
                    <w:keepLines w:val="0"/>
                    <w:widowControl/>
                    <w:suppressLineNumbers w:val="0"/>
                    <w:adjustRightInd w:val="0"/>
                    <w:snapToGrid w:val="0"/>
                    <w:spacing w:before="0" w:beforeAutospacing="0" w:after="0" w:afterAutospacing="0" w:line="300" w:lineRule="exact"/>
                    <w:ind w:left="0" w:right="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非甲烷总烃</w:t>
                  </w:r>
                </w:p>
              </w:tc>
              <w:tc>
                <w:tcPr>
                  <w:tcW w:w="971" w:type="dxa"/>
                  <w:vMerge w:val="restart"/>
                  <w:noWrap w:val="0"/>
                  <w:vAlign w:val="center"/>
                </w:tcPr>
                <w:p w14:paraId="7C0EF8C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0" w:lineRule="exact"/>
                    <w:ind w:left="0" w:right="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废气治理设施</w:t>
                  </w:r>
                  <w:r>
                    <w:rPr>
                      <w:rFonts w:hint="default" w:ascii="Times New Roman" w:hAnsi="Times New Roman" w:cs="Times New Roman"/>
                      <w:color w:val="auto"/>
                      <w:sz w:val="21"/>
                      <w:szCs w:val="21"/>
                    </w:rPr>
                    <w:t>故障</w:t>
                  </w:r>
                </w:p>
              </w:tc>
              <w:tc>
                <w:tcPr>
                  <w:tcW w:w="542" w:type="dxa"/>
                  <w:noWrap w:val="0"/>
                  <w:vAlign w:val="center"/>
                </w:tcPr>
                <w:p w14:paraId="2CE0DF31">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sz w:val="21"/>
                      <w:szCs w:val="21"/>
                    </w:rPr>
                    <w:t>1</w:t>
                  </w:r>
                </w:p>
              </w:tc>
              <w:tc>
                <w:tcPr>
                  <w:tcW w:w="750" w:type="dxa"/>
                  <w:vMerge w:val="restart"/>
                  <w:noWrap w:val="0"/>
                  <w:vAlign w:val="center"/>
                </w:tcPr>
                <w:p w14:paraId="370E3E9F">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9000</w:t>
                  </w:r>
                </w:p>
              </w:tc>
              <w:tc>
                <w:tcPr>
                  <w:tcW w:w="462" w:type="dxa"/>
                  <w:noWrap w:val="0"/>
                  <w:vAlign w:val="center"/>
                </w:tcPr>
                <w:p w14:paraId="4577BB74">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2"/>
                      <w:sz w:val="21"/>
                      <w:szCs w:val="21"/>
                      <w:lang w:val="zh-CN" w:eastAsia="zh-CN" w:bidi="ar-SA"/>
                    </w:rPr>
                  </w:pPr>
                  <w:r>
                    <w:rPr>
                      <w:rFonts w:hint="default" w:ascii="Times New Roman" w:hAnsi="Times New Roman" w:cs="Times New Roman"/>
                      <w:color w:val="auto"/>
                      <w:sz w:val="21"/>
                      <w:szCs w:val="21"/>
                    </w:rPr>
                    <w:t>0</w:t>
                  </w:r>
                </w:p>
              </w:tc>
              <w:tc>
                <w:tcPr>
                  <w:tcW w:w="973" w:type="dxa"/>
                  <w:noWrap w:val="0"/>
                  <w:vAlign w:val="center"/>
                </w:tcPr>
                <w:p w14:paraId="0D160026">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default" w:cs="Times New Roman"/>
                      <w:color w:val="auto"/>
                      <w:kern w:val="2"/>
                      <w:sz w:val="21"/>
                      <w:szCs w:val="21"/>
                      <w:lang w:val="en-US" w:eastAsia="zh-CN" w:bidi="ar-SA"/>
                    </w:rPr>
                    <w:t>14.097</w:t>
                  </w:r>
                </w:p>
              </w:tc>
              <w:tc>
                <w:tcPr>
                  <w:tcW w:w="973" w:type="dxa"/>
                  <w:noWrap w:val="0"/>
                  <w:vAlign w:val="center"/>
                </w:tcPr>
                <w:p w14:paraId="4ED310EB">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default" w:cs="Times New Roman"/>
                      <w:color w:val="auto"/>
                      <w:kern w:val="2"/>
                      <w:sz w:val="21"/>
                      <w:szCs w:val="21"/>
                      <w:lang w:val="en-US" w:eastAsia="zh-CN" w:bidi="ar-SA"/>
                    </w:rPr>
                    <w:t>0.127</w:t>
                  </w:r>
                </w:p>
              </w:tc>
              <w:tc>
                <w:tcPr>
                  <w:tcW w:w="973" w:type="dxa"/>
                  <w:shd w:val="clear" w:color="auto" w:fill="auto"/>
                  <w:noWrap w:val="0"/>
                  <w:vAlign w:val="center"/>
                </w:tcPr>
                <w:p w14:paraId="37BBB149">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cs="Times New Roman"/>
                      <w:color w:val="auto"/>
                      <w:kern w:val="2"/>
                      <w:sz w:val="21"/>
                      <w:szCs w:val="21"/>
                      <w:lang w:val="en-US" w:eastAsia="zh-CN" w:bidi="ar-SA"/>
                    </w:rPr>
                    <w:t>0.127</w:t>
                  </w:r>
                </w:p>
              </w:tc>
              <w:tc>
                <w:tcPr>
                  <w:tcW w:w="683" w:type="dxa"/>
                  <w:vMerge w:val="restart"/>
                  <w:noWrap w:val="0"/>
                  <w:vAlign w:val="center"/>
                </w:tcPr>
                <w:p w14:paraId="339FA660">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sz w:val="21"/>
                      <w:szCs w:val="21"/>
                    </w:rPr>
                    <w:t>1次/a</w:t>
                  </w:r>
                </w:p>
              </w:tc>
            </w:tr>
            <w:tr w14:paraId="3EE117D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124" w:hRule="atLeast"/>
                <w:jc w:val="center"/>
              </w:trPr>
              <w:tc>
                <w:tcPr>
                  <w:tcW w:w="733" w:type="dxa"/>
                  <w:vMerge w:val="continue"/>
                  <w:noWrap w:val="0"/>
                  <w:vAlign w:val="center"/>
                </w:tcPr>
                <w:p w14:paraId="0DC9DEF0">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1"/>
                      <w:szCs w:val="21"/>
                    </w:rPr>
                  </w:pPr>
                </w:p>
              </w:tc>
              <w:tc>
                <w:tcPr>
                  <w:tcW w:w="1147" w:type="dxa"/>
                  <w:noWrap w:val="0"/>
                  <w:vAlign w:val="center"/>
                </w:tcPr>
                <w:p w14:paraId="3E5914B4">
                  <w:pPr>
                    <w:keepNext w:val="0"/>
                    <w:keepLines w:val="0"/>
                    <w:widowControl/>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color w:val="auto"/>
                      <w:sz w:val="21"/>
                      <w:szCs w:val="21"/>
                      <w:highlight w:val="none"/>
                      <w:lang w:val="en-US" w:eastAsia="zh-CN"/>
                    </w:rPr>
                    <w:t>二苯基甲烷二异氰酸酯（MDI）</w:t>
                  </w:r>
                </w:p>
              </w:tc>
              <w:tc>
                <w:tcPr>
                  <w:tcW w:w="971" w:type="dxa"/>
                  <w:vMerge w:val="continue"/>
                  <w:noWrap w:val="0"/>
                  <w:vAlign w:val="center"/>
                </w:tcPr>
                <w:p w14:paraId="64E2A89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0" w:lineRule="exact"/>
                    <w:ind w:left="0" w:right="0"/>
                    <w:jc w:val="center"/>
                    <w:textAlignment w:val="auto"/>
                    <w:rPr>
                      <w:rFonts w:hint="default" w:ascii="Times New Roman" w:hAnsi="Times New Roman" w:cs="Times New Roman"/>
                      <w:color w:val="auto"/>
                      <w:sz w:val="21"/>
                      <w:szCs w:val="21"/>
                      <w:lang w:val="en-US" w:eastAsia="zh-CN"/>
                    </w:rPr>
                  </w:pPr>
                </w:p>
              </w:tc>
              <w:tc>
                <w:tcPr>
                  <w:tcW w:w="542" w:type="dxa"/>
                  <w:noWrap w:val="0"/>
                  <w:vAlign w:val="center"/>
                </w:tcPr>
                <w:p w14:paraId="1723244B">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c>
                <w:tcPr>
                  <w:tcW w:w="750" w:type="dxa"/>
                  <w:vMerge w:val="continue"/>
                  <w:shd w:val="clear" w:color="auto" w:fill="auto"/>
                  <w:noWrap w:val="0"/>
                  <w:vAlign w:val="center"/>
                </w:tcPr>
                <w:p w14:paraId="73DDE712">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462" w:type="dxa"/>
                  <w:shd w:val="clear" w:color="auto" w:fill="auto"/>
                  <w:noWrap w:val="0"/>
                  <w:vAlign w:val="center"/>
                </w:tcPr>
                <w:p w14:paraId="325FD822">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zh-CN" w:eastAsia="zh-CN" w:bidi="ar-SA"/>
                    </w:rPr>
                  </w:pPr>
                  <w:r>
                    <w:rPr>
                      <w:rFonts w:hint="default" w:ascii="Times New Roman" w:hAnsi="Times New Roman" w:cs="Times New Roman"/>
                      <w:color w:val="auto"/>
                      <w:sz w:val="21"/>
                      <w:szCs w:val="21"/>
                    </w:rPr>
                    <w:t>0</w:t>
                  </w:r>
                </w:p>
              </w:tc>
              <w:tc>
                <w:tcPr>
                  <w:tcW w:w="973" w:type="dxa"/>
                  <w:shd w:val="clear" w:color="auto" w:fill="auto"/>
                  <w:noWrap w:val="0"/>
                  <w:vAlign w:val="center"/>
                </w:tcPr>
                <w:p w14:paraId="570F6EC9">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highlight w:val="none"/>
                      <w:lang w:val="en-US" w:eastAsia="zh-CN"/>
                    </w:rPr>
                    <w:t>4.48×10</w:t>
                  </w:r>
                  <w:r>
                    <w:rPr>
                      <w:rFonts w:hint="default" w:ascii="Times New Roman" w:hAnsi="Times New Roman" w:eastAsia="宋体" w:cs="Times New Roman"/>
                      <w:color w:val="auto"/>
                      <w:sz w:val="21"/>
                      <w:szCs w:val="21"/>
                      <w:highlight w:val="none"/>
                      <w:vertAlign w:val="superscript"/>
                      <w:lang w:val="en-US" w:eastAsia="zh-CN"/>
                    </w:rPr>
                    <w:t>-3</w:t>
                  </w:r>
                </w:p>
              </w:tc>
              <w:tc>
                <w:tcPr>
                  <w:tcW w:w="973" w:type="dxa"/>
                  <w:shd w:val="clear" w:color="auto" w:fill="auto"/>
                  <w:noWrap w:val="0"/>
                  <w:vAlign w:val="center"/>
                </w:tcPr>
                <w:p w14:paraId="4E00AB4C">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highlight w:val="none"/>
                      <w:lang w:val="en-US" w:eastAsia="zh-CN"/>
                    </w:rPr>
                    <w:t>4.04×10</w:t>
                  </w:r>
                  <w:r>
                    <w:rPr>
                      <w:rFonts w:hint="default" w:ascii="Times New Roman" w:hAnsi="Times New Roman" w:eastAsia="宋体" w:cs="Times New Roman"/>
                      <w:color w:val="auto"/>
                      <w:sz w:val="21"/>
                      <w:szCs w:val="21"/>
                      <w:highlight w:val="none"/>
                      <w:vertAlign w:val="superscript"/>
                      <w:lang w:val="en-US" w:eastAsia="zh-CN"/>
                    </w:rPr>
                    <w:t>-5</w:t>
                  </w:r>
                </w:p>
              </w:tc>
              <w:tc>
                <w:tcPr>
                  <w:tcW w:w="973" w:type="dxa"/>
                  <w:shd w:val="clear" w:color="auto" w:fill="auto"/>
                  <w:noWrap w:val="0"/>
                  <w:vAlign w:val="center"/>
                </w:tcPr>
                <w:p w14:paraId="2536B6A4">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highlight w:val="none"/>
                      <w:lang w:val="en-US" w:eastAsia="zh-CN"/>
                    </w:rPr>
                    <w:t>4.04×10</w:t>
                  </w:r>
                  <w:r>
                    <w:rPr>
                      <w:rFonts w:hint="default" w:ascii="Times New Roman" w:hAnsi="Times New Roman" w:eastAsia="宋体" w:cs="Times New Roman"/>
                      <w:color w:val="auto"/>
                      <w:sz w:val="21"/>
                      <w:szCs w:val="21"/>
                      <w:highlight w:val="none"/>
                      <w:vertAlign w:val="superscript"/>
                      <w:lang w:val="en-US" w:eastAsia="zh-CN"/>
                    </w:rPr>
                    <w:t>-5</w:t>
                  </w:r>
                </w:p>
              </w:tc>
              <w:tc>
                <w:tcPr>
                  <w:tcW w:w="683" w:type="dxa"/>
                  <w:vMerge w:val="continue"/>
                  <w:noWrap w:val="0"/>
                  <w:vAlign w:val="center"/>
                </w:tcPr>
                <w:p w14:paraId="470EE09F">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1"/>
                      <w:szCs w:val="21"/>
                    </w:rPr>
                  </w:pPr>
                </w:p>
              </w:tc>
            </w:tr>
            <w:tr w14:paraId="6D6A044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617" w:hRule="atLeast"/>
                <w:jc w:val="center"/>
              </w:trPr>
              <w:tc>
                <w:tcPr>
                  <w:tcW w:w="733" w:type="dxa"/>
                  <w:vMerge w:val="continue"/>
                  <w:noWrap w:val="0"/>
                  <w:vAlign w:val="center"/>
                </w:tcPr>
                <w:p w14:paraId="137025D8">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1"/>
                      <w:szCs w:val="21"/>
                    </w:rPr>
                  </w:pPr>
                </w:p>
              </w:tc>
              <w:tc>
                <w:tcPr>
                  <w:tcW w:w="1147" w:type="dxa"/>
                  <w:shd w:val="clear" w:color="auto" w:fill="auto"/>
                  <w:noWrap w:val="0"/>
                  <w:vAlign w:val="center"/>
                </w:tcPr>
                <w:p w14:paraId="15529B1F">
                  <w:pPr>
                    <w:keepNext w:val="0"/>
                    <w:keepLines w:val="0"/>
                    <w:widowControl/>
                    <w:suppressLineNumbers w:val="0"/>
                    <w:adjustRightInd w:val="0"/>
                    <w:snapToGrid w:val="0"/>
                    <w:spacing w:before="0" w:beforeAutospacing="0" w:after="0" w:afterAutospacing="0" w:line="300" w:lineRule="exact"/>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cs="Times New Roman"/>
                      <w:color w:val="auto"/>
                      <w:sz w:val="21"/>
                      <w:szCs w:val="21"/>
                      <w:highlight w:val="none"/>
                      <w:lang w:val="en-US" w:eastAsia="zh-CN"/>
                    </w:rPr>
                    <w:t>臭气浓度</w:t>
                  </w:r>
                </w:p>
              </w:tc>
              <w:tc>
                <w:tcPr>
                  <w:tcW w:w="971" w:type="dxa"/>
                  <w:vMerge w:val="continue"/>
                  <w:shd w:val="clear" w:color="auto" w:fill="auto"/>
                  <w:noWrap w:val="0"/>
                  <w:vAlign w:val="center"/>
                </w:tcPr>
                <w:p w14:paraId="03F04B1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0" w:lineRule="exact"/>
                    <w:ind w:left="0" w:leftChars="0" w:right="0" w:rightChars="0"/>
                    <w:jc w:val="center"/>
                    <w:textAlignment w:val="auto"/>
                    <w:rPr>
                      <w:rFonts w:hint="default" w:ascii="Times New Roman" w:hAnsi="Times New Roman" w:eastAsia="宋体" w:cs="Times New Roman"/>
                      <w:color w:val="auto"/>
                      <w:kern w:val="2"/>
                      <w:sz w:val="21"/>
                      <w:szCs w:val="21"/>
                      <w:lang w:val="en-US" w:eastAsia="zh-CN" w:bidi="ar-SA"/>
                    </w:rPr>
                  </w:pPr>
                </w:p>
              </w:tc>
              <w:tc>
                <w:tcPr>
                  <w:tcW w:w="542" w:type="dxa"/>
                  <w:shd w:val="clear" w:color="auto" w:fill="auto"/>
                  <w:noWrap w:val="0"/>
                  <w:vAlign w:val="center"/>
                </w:tcPr>
                <w:p w14:paraId="0A9A442E">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cs="Times New Roman"/>
                      <w:color w:val="auto"/>
                      <w:sz w:val="21"/>
                      <w:szCs w:val="21"/>
                      <w:lang w:val="en-US" w:eastAsia="zh-CN"/>
                    </w:rPr>
                    <w:t>1</w:t>
                  </w:r>
                </w:p>
              </w:tc>
              <w:tc>
                <w:tcPr>
                  <w:tcW w:w="750" w:type="dxa"/>
                  <w:vMerge w:val="continue"/>
                  <w:shd w:val="clear" w:color="auto" w:fill="auto"/>
                  <w:noWrap w:val="0"/>
                  <w:vAlign w:val="center"/>
                </w:tcPr>
                <w:p w14:paraId="538E71C0">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462" w:type="dxa"/>
                  <w:shd w:val="clear" w:color="auto" w:fill="auto"/>
                  <w:noWrap w:val="0"/>
                  <w:vAlign w:val="center"/>
                </w:tcPr>
                <w:p w14:paraId="4EB00970">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cs="Times New Roman"/>
                      <w:color w:val="auto"/>
                      <w:sz w:val="21"/>
                      <w:szCs w:val="21"/>
                      <w:lang w:val="en-US" w:eastAsia="zh-CN"/>
                    </w:rPr>
                    <w:t>0</w:t>
                  </w:r>
                </w:p>
              </w:tc>
              <w:tc>
                <w:tcPr>
                  <w:tcW w:w="973" w:type="dxa"/>
                  <w:shd w:val="clear" w:color="auto" w:fill="auto"/>
                  <w:noWrap w:val="0"/>
                  <w:vAlign w:val="center"/>
                </w:tcPr>
                <w:p w14:paraId="705EF611">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617（无量纲）</w:t>
                  </w:r>
                </w:p>
              </w:tc>
              <w:tc>
                <w:tcPr>
                  <w:tcW w:w="973" w:type="dxa"/>
                  <w:shd w:val="clear" w:color="auto" w:fill="auto"/>
                  <w:noWrap w:val="0"/>
                  <w:vAlign w:val="center"/>
                </w:tcPr>
                <w:p w14:paraId="697A50FE">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w:t>
                  </w:r>
                </w:p>
              </w:tc>
              <w:tc>
                <w:tcPr>
                  <w:tcW w:w="973" w:type="dxa"/>
                  <w:shd w:val="clear" w:color="auto" w:fill="auto"/>
                  <w:noWrap w:val="0"/>
                  <w:vAlign w:val="center"/>
                </w:tcPr>
                <w:p w14:paraId="22472259">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w:t>
                  </w:r>
                </w:p>
              </w:tc>
              <w:tc>
                <w:tcPr>
                  <w:tcW w:w="683" w:type="dxa"/>
                  <w:vMerge w:val="continue"/>
                  <w:noWrap w:val="0"/>
                  <w:vAlign w:val="center"/>
                </w:tcPr>
                <w:p w14:paraId="58D0FF36">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1"/>
                      <w:szCs w:val="21"/>
                    </w:rPr>
                  </w:pPr>
                </w:p>
              </w:tc>
            </w:tr>
          </w:tbl>
          <w:p w14:paraId="766CF7EC">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firstLine="480" w:firstLineChars="200"/>
              <w:textAlignment w:val="auto"/>
              <w:rPr>
                <w:rFonts w:hint="default" w:ascii="Times New Roman" w:hAnsi="Times New Roman" w:cs="Times New Roman"/>
                <w:sz w:val="24"/>
              </w:rPr>
            </w:pPr>
            <w:r>
              <w:rPr>
                <w:rFonts w:hint="default" w:ascii="Times New Roman" w:hAnsi="Times New Roman" w:cs="Times New Roman"/>
                <w:sz w:val="24"/>
              </w:rPr>
              <w:t>本评价要求建设单位应采取以下措施，严格控制废气非正常排放。</w:t>
            </w:r>
          </w:p>
          <w:p w14:paraId="60A6A17A">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sz w:val="24"/>
              </w:rPr>
            </w:pPr>
            <w:r>
              <w:rPr>
                <w:rFonts w:hint="default" w:ascii="Times New Roman" w:hAnsi="Times New Roman" w:cs="Times New Roman"/>
                <w:sz w:val="24"/>
              </w:rPr>
              <w:t>①制定环保设备例行检查制度，加强定期维护保养，发现风机故障、损坏或排风管道破损时，应立即停止生产活动，对设备或管道进行维修，待恢复正常后方正常运行。</w:t>
            </w:r>
          </w:p>
          <w:p w14:paraId="7D44D883">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sz w:val="24"/>
              </w:rPr>
            </w:pPr>
            <w:r>
              <w:rPr>
                <w:rFonts w:hint="default" w:ascii="Times New Roman" w:hAnsi="Times New Roman" w:cs="Times New Roman"/>
                <w:sz w:val="24"/>
              </w:rPr>
              <w:t>②定期检修</w:t>
            </w:r>
            <w:r>
              <w:rPr>
                <w:rFonts w:hint="default" w:ascii="Times New Roman" w:hAnsi="Times New Roman" w:cs="Times New Roman"/>
                <w:bCs/>
                <w:sz w:val="24"/>
                <w:lang w:eastAsia="zh-CN"/>
              </w:rPr>
              <w:t>有机废气治理设施</w:t>
            </w:r>
            <w:r>
              <w:rPr>
                <w:rFonts w:hint="default" w:ascii="Times New Roman" w:hAnsi="Times New Roman" w:cs="Times New Roman"/>
                <w:sz w:val="24"/>
              </w:rPr>
              <w:t>，确保净化效率符合要求；检修时应停止生产活动，杜绝废气未经处理直接排放。</w:t>
            </w:r>
          </w:p>
          <w:p w14:paraId="72630071">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sz w:val="24"/>
              </w:rPr>
            </w:pPr>
            <w:r>
              <w:rPr>
                <w:rFonts w:hint="default" w:ascii="Times New Roman" w:hAnsi="Times New Roman" w:cs="Times New Roman"/>
                <w:sz w:val="24"/>
              </w:rPr>
              <w:t>③设环保管理专员，对环保管理人员及技术人员进行岗位培训，委托具有专业资质的环境检测单位对项目排放的废气污染物进行定期监测。</w:t>
            </w:r>
          </w:p>
          <w:p w14:paraId="2F7C4E56">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000000"/>
                <w:kern w:val="0"/>
                <w:sz w:val="24"/>
              </w:rPr>
            </w:pPr>
            <w:r>
              <w:rPr>
                <w:rFonts w:hint="default" w:ascii="Times New Roman" w:hAnsi="Times New Roman" w:cs="Times New Roman"/>
                <w:color w:val="000000"/>
                <w:kern w:val="0"/>
                <w:sz w:val="24"/>
              </w:rPr>
              <w:t>（5）大气环境影响分析</w:t>
            </w:r>
          </w:p>
          <w:p w14:paraId="69842BB6">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000000"/>
                <w:kern w:val="0"/>
                <w:sz w:val="24"/>
              </w:rPr>
            </w:pPr>
            <w:r>
              <w:rPr>
                <w:rFonts w:hint="default" w:ascii="Times New Roman" w:hAnsi="Times New Roman" w:cs="Times New Roman"/>
                <w:color w:val="000000"/>
                <w:kern w:val="0"/>
                <w:sz w:val="24"/>
              </w:rPr>
              <w:t>本项目所在区域为环境空气质量不达标区，不达标因子为</w:t>
            </w:r>
            <w:r>
              <w:rPr>
                <w:rFonts w:hint="eastAsia" w:ascii="Times New Roman" w:hAnsi="Times New Roman" w:eastAsia="宋体" w:cs="Times New Roman"/>
                <w:snapToGrid w:val="0"/>
                <w:color w:val="auto"/>
                <w:sz w:val="24"/>
                <w:szCs w:val="24"/>
              </w:rPr>
              <w:t>PM</w:t>
            </w:r>
            <w:r>
              <w:rPr>
                <w:rFonts w:hint="eastAsia" w:ascii="Times New Roman" w:hAnsi="Times New Roman" w:eastAsia="宋体" w:cs="Times New Roman"/>
                <w:snapToGrid w:val="0"/>
                <w:color w:val="auto"/>
                <w:sz w:val="24"/>
                <w:szCs w:val="24"/>
                <w:vertAlign w:val="subscript"/>
              </w:rPr>
              <w:t>10</w:t>
            </w:r>
            <w:r>
              <w:rPr>
                <w:rFonts w:hint="eastAsia" w:ascii="Times New Roman" w:hAnsi="Times New Roman" w:eastAsia="宋体" w:cs="Times New Roman"/>
                <w:snapToGrid w:val="0"/>
                <w:color w:val="auto"/>
                <w:sz w:val="24"/>
                <w:szCs w:val="24"/>
              </w:rPr>
              <w:t>、</w:t>
            </w:r>
            <w:r>
              <w:rPr>
                <w:rFonts w:hint="default" w:ascii="Times New Roman" w:hAnsi="Times New Roman" w:cs="Times New Roman"/>
                <w:color w:val="000000"/>
                <w:kern w:val="0"/>
                <w:sz w:val="24"/>
              </w:rPr>
              <w:t>PM</w:t>
            </w:r>
            <w:r>
              <w:rPr>
                <w:rFonts w:hint="default" w:ascii="Times New Roman" w:hAnsi="Times New Roman" w:cs="Times New Roman"/>
                <w:color w:val="000000"/>
                <w:kern w:val="0"/>
                <w:sz w:val="24"/>
                <w:vertAlign w:val="subscript"/>
              </w:rPr>
              <w:t>2.5</w:t>
            </w:r>
            <w:r>
              <w:rPr>
                <w:rFonts w:hint="default" w:ascii="Times New Roman" w:hAnsi="Times New Roman" w:cs="Times New Roman"/>
                <w:color w:val="000000"/>
                <w:kern w:val="0"/>
                <w:sz w:val="24"/>
              </w:rPr>
              <w:t>、O</w:t>
            </w:r>
            <w:r>
              <w:rPr>
                <w:rFonts w:hint="default" w:ascii="Times New Roman" w:hAnsi="Times New Roman" w:cs="Times New Roman"/>
                <w:color w:val="000000"/>
                <w:kern w:val="0"/>
                <w:sz w:val="24"/>
                <w:vertAlign w:val="subscript"/>
              </w:rPr>
              <w:t>3</w:t>
            </w:r>
            <w:r>
              <w:rPr>
                <w:rFonts w:hint="default" w:ascii="Times New Roman" w:hAnsi="Times New Roman" w:cs="Times New Roman"/>
                <w:color w:val="000000"/>
                <w:kern w:val="0"/>
                <w:sz w:val="24"/>
              </w:rPr>
              <w:t>，</w:t>
            </w:r>
            <w:r>
              <w:rPr>
                <w:rFonts w:hint="default" w:ascii="Times New Roman" w:hAnsi="Times New Roman" w:cs="Times New Roman"/>
                <w:sz w:val="24"/>
                <w:szCs w:val="21"/>
              </w:rPr>
              <w:t>其他基本因子可满足《环境空气质量标准》（GB3095-20</w:t>
            </w:r>
            <w:r>
              <w:rPr>
                <w:rFonts w:hint="eastAsia" w:cs="Times New Roman"/>
                <w:sz w:val="24"/>
                <w:szCs w:val="21"/>
                <w:lang w:val="en-US" w:eastAsia="zh-CN"/>
              </w:rPr>
              <w:t>26</w:t>
            </w:r>
            <w:r>
              <w:rPr>
                <w:rFonts w:hint="default" w:ascii="Times New Roman" w:hAnsi="Times New Roman" w:cs="Times New Roman"/>
                <w:sz w:val="24"/>
                <w:szCs w:val="21"/>
              </w:rPr>
              <w:t>）二级标准。经检测，</w:t>
            </w:r>
            <w:r>
              <w:rPr>
                <w:rFonts w:hint="default" w:ascii="Times New Roman" w:hAnsi="Times New Roman" w:cs="Times New Roman"/>
                <w:sz w:val="24"/>
                <w:szCs w:val="21"/>
                <w:lang w:val="en-US" w:eastAsia="zh-CN"/>
              </w:rPr>
              <w:t>非甲烷总烃</w:t>
            </w:r>
            <w:r>
              <w:rPr>
                <w:rFonts w:hint="default" w:ascii="Times New Roman" w:hAnsi="Times New Roman" w:cs="Times New Roman"/>
                <w:sz w:val="24"/>
                <w:szCs w:val="21"/>
              </w:rPr>
              <w:t>1小时平均浓度均满足</w:t>
            </w:r>
            <w:r>
              <w:rPr>
                <w:rFonts w:hint="default" w:ascii="Times New Roman" w:hAnsi="Times New Roman" w:eastAsia="宋体" w:cs="Times New Roman"/>
                <w:sz w:val="24"/>
                <w:szCs w:val="24"/>
                <w:lang w:val="en-US" w:eastAsia="zh-CN"/>
              </w:rPr>
              <w:t>《环境空气质量 非甲烷总烃限值》(DB13/1577-2012)中限值要求</w:t>
            </w:r>
            <w:r>
              <w:rPr>
                <w:rFonts w:hint="default" w:ascii="Times New Roman" w:hAnsi="Times New Roman" w:cs="Times New Roman"/>
                <w:sz w:val="24"/>
                <w:szCs w:val="21"/>
              </w:rPr>
              <w:t>。</w:t>
            </w:r>
          </w:p>
          <w:p w14:paraId="1E91890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sz w:val="24"/>
                <w:szCs w:val="22"/>
              </w:rPr>
            </w:pPr>
            <w:r>
              <w:rPr>
                <w:rFonts w:hint="default" w:ascii="Times New Roman" w:hAnsi="Times New Roman" w:cs="Times New Roman"/>
                <w:bCs/>
                <w:sz w:val="24"/>
              </w:rPr>
              <w:t>本项目</w:t>
            </w:r>
            <w:r>
              <w:rPr>
                <w:rFonts w:hint="default" w:ascii="Times New Roman" w:hAnsi="Times New Roman" w:eastAsia="宋体" w:cs="Times New Roman"/>
                <w:snapToGrid w:val="0"/>
                <w:color w:val="auto"/>
                <w:sz w:val="24"/>
                <w:lang w:val="en-US" w:eastAsia="zh-CN"/>
              </w:rPr>
              <w:t>非洁净车间吹膜、印刷、复合工序废气经集气装置收集后，由一套二级活性炭吸附装置处理，</w:t>
            </w:r>
            <w:r>
              <w:rPr>
                <w:rFonts w:hint="default" w:ascii="Times New Roman" w:hAnsi="Times New Roman" w:cs="Times New Roman"/>
                <w:snapToGrid w:val="0"/>
                <w:color w:val="auto"/>
                <w:sz w:val="24"/>
              </w:rPr>
              <w:t>经</w:t>
            </w:r>
            <w:r>
              <w:rPr>
                <w:rFonts w:hint="default" w:ascii="Times New Roman" w:hAnsi="Times New Roman" w:cs="Times New Roman"/>
                <w:snapToGrid w:val="0"/>
                <w:color w:val="auto"/>
                <w:sz w:val="24"/>
                <w:lang w:val="en-US" w:eastAsia="zh-CN"/>
              </w:rPr>
              <w:t>1根</w:t>
            </w:r>
            <w:r>
              <w:rPr>
                <w:rFonts w:hint="default" w:ascii="Times New Roman" w:hAnsi="Times New Roman" w:cs="Times New Roman"/>
                <w:snapToGrid w:val="0"/>
                <w:color w:val="auto"/>
                <w:sz w:val="24"/>
              </w:rPr>
              <w:t>15</w:t>
            </w:r>
            <w:r>
              <w:rPr>
                <w:rFonts w:hint="default" w:ascii="Times New Roman" w:hAnsi="Times New Roman" w:cs="Times New Roman"/>
                <w:snapToGrid w:val="0"/>
                <w:color w:val="auto"/>
                <w:sz w:val="24"/>
                <w:lang w:val="en-US" w:eastAsia="zh-CN"/>
              </w:rPr>
              <w:t>m</w:t>
            </w:r>
            <w:r>
              <w:rPr>
                <w:rFonts w:hint="default" w:ascii="Times New Roman" w:hAnsi="Times New Roman" w:cs="Times New Roman"/>
                <w:snapToGrid w:val="0"/>
                <w:color w:val="auto"/>
                <w:sz w:val="24"/>
              </w:rPr>
              <w:t>排气筒</w:t>
            </w:r>
            <w:r>
              <w:rPr>
                <w:rFonts w:hint="default" w:ascii="Times New Roman" w:hAnsi="Times New Roman" w:cs="Times New Roman"/>
                <w:snapToGrid w:val="0"/>
                <w:color w:val="auto"/>
                <w:sz w:val="24"/>
                <w:lang w:eastAsia="zh-CN"/>
              </w:rPr>
              <w:t>（</w:t>
            </w:r>
            <w:r>
              <w:rPr>
                <w:rFonts w:hint="default" w:ascii="Times New Roman" w:hAnsi="Times New Roman" w:cs="Times New Roman"/>
                <w:snapToGrid w:val="0"/>
                <w:color w:val="auto"/>
                <w:sz w:val="24"/>
                <w:lang w:val="en-US" w:eastAsia="zh-CN"/>
              </w:rPr>
              <w:t>DA001</w:t>
            </w:r>
            <w:r>
              <w:rPr>
                <w:rFonts w:hint="default" w:cs="Times New Roman"/>
                <w:snapToGrid w:val="0"/>
                <w:color w:val="auto"/>
                <w:sz w:val="24"/>
                <w:lang w:val="en-US" w:eastAsia="zh-CN"/>
              </w:rPr>
              <w:t>依托</w:t>
            </w:r>
            <w:r>
              <w:rPr>
                <w:rFonts w:hint="default" w:ascii="Times New Roman" w:hAnsi="Times New Roman" w:cs="Times New Roman"/>
                <w:snapToGrid w:val="0"/>
                <w:color w:val="auto"/>
                <w:sz w:val="24"/>
                <w:lang w:eastAsia="zh-CN"/>
              </w:rPr>
              <w:t>）</w:t>
            </w:r>
            <w:r>
              <w:rPr>
                <w:rFonts w:hint="default" w:ascii="Times New Roman" w:hAnsi="Times New Roman" w:cs="Times New Roman"/>
                <w:snapToGrid w:val="0"/>
                <w:color w:val="auto"/>
                <w:sz w:val="24"/>
              </w:rPr>
              <w:t>排放</w:t>
            </w:r>
            <w:r>
              <w:rPr>
                <w:rFonts w:hint="default" w:ascii="Times New Roman" w:hAnsi="Times New Roman" w:cs="Times New Roman"/>
                <w:snapToGrid w:val="0"/>
                <w:color w:val="auto"/>
                <w:sz w:val="24"/>
                <w:lang w:eastAsia="zh-CN"/>
              </w:rPr>
              <w:t>；非洁净车间印刷、复合、固化工序</w:t>
            </w:r>
            <w:r>
              <w:rPr>
                <w:rFonts w:hint="default" w:cs="Times New Roman"/>
                <w:snapToGrid w:val="0"/>
                <w:color w:val="auto"/>
                <w:sz w:val="24"/>
                <w:lang w:eastAsia="zh-CN"/>
              </w:rPr>
              <w:t>与洁净车间水性油墨配制</w:t>
            </w:r>
            <w:r>
              <w:rPr>
                <w:rFonts w:hint="eastAsia" w:cs="Times New Roman"/>
                <w:snapToGrid w:val="0"/>
                <w:color w:val="auto"/>
                <w:sz w:val="24"/>
                <w:lang w:eastAsia="zh-CN"/>
              </w:rPr>
              <w:t>、擦拭</w:t>
            </w:r>
            <w:r>
              <w:rPr>
                <w:rFonts w:hint="default" w:ascii="Times New Roman" w:hAnsi="Times New Roman" w:eastAsia="宋体" w:cs="Times New Roman"/>
                <w:snapToGrid w:val="0"/>
                <w:color w:val="auto"/>
                <w:sz w:val="24"/>
                <w:lang w:val="en-US" w:eastAsia="zh-CN"/>
              </w:rPr>
              <w:t>废气经集气装置收集后，由一套二级活性炭吸附装置处理，</w:t>
            </w:r>
            <w:r>
              <w:rPr>
                <w:rFonts w:hint="default" w:ascii="Times New Roman" w:hAnsi="Times New Roman" w:cs="Times New Roman"/>
                <w:snapToGrid w:val="0"/>
                <w:color w:val="auto"/>
                <w:sz w:val="24"/>
              </w:rPr>
              <w:t>经</w:t>
            </w:r>
            <w:r>
              <w:rPr>
                <w:rFonts w:hint="default" w:ascii="Times New Roman" w:hAnsi="Times New Roman" w:cs="Times New Roman"/>
                <w:snapToGrid w:val="0"/>
                <w:color w:val="auto"/>
                <w:sz w:val="24"/>
                <w:lang w:val="en-US" w:eastAsia="zh-CN"/>
              </w:rPr>
              <w:t>1根</w:t>
            </w:r>
            <w:r>
              <w:rPr>
                <w:rFonts w:hint="default" w:ascii="Times New Roman" w:hAnsi="Times New Roman" w:cs="Times New Roman"/>
                <w:snapToGrid w:val="0"/>
                <w:color w:val="auto"/>
                <w:sz w:val="24"/>
              </w:rPr>
              <w:t>15</w:t>
            </w:r>
            <w:r>
              <w:rPr>
                <w:rFonts w:hint="default" w:ascii="Times New Roman" w:hAnsi="Times New Roman" w:cs="Times New Roman"/>
                <w:snapToGrid w:val="0"/>
                <w:color w:val="auto"/>
                <w:sz w:val="24"/>
                <w:lang w:val="en-US" w:eastAsia="zh-CN"/>
              </w:rPr>
              <w:t>m</w:t>
            </w:r>
            <w:r>
              <w:rPr>
                <w:rFonts w:hint="default" w:ascii="Times New Roman" w:hAnsi="Times New Roman" w:cs="Times New Roman"/>
                <w:snapToGrid w:val="0"/>
                <w:color w:val="auto"/>
                <w:sz w:val="24"/>
              </w:rPr>
              <w:t>排气筒</w:t>
            </w:r>
            <w:r>
              <w:rPr>
                <w:rFonts w:hint="default" w:ascii="Times New Roman" w:hAnsi="Times New Roman" w:cs="Times New Roman"/>
                <w:snapToGrid w:val="0"/>
                <w:color w:val="auto"/>
                <w:sz w:val="24"/>
                <w:lang w:eastAsia="zh-CN"/>
              </w:rPr>
              <w:t>（</w:t>
            </w:r>
            <w:r>
              <w:rPr>
                <w:rFonts w:hint="default" w:ascii="Times New Roman" w:hAnsi="Times New Roman" w:cs="Times New Roman"/>
                <w:snapToGrid w:val="0"/>
                <w:color w:val="auto"/>
                <w:sz w:val="24"/>
                <w:lang w:val="en-US" w:eastAsia="zh-CN"/>
              </w:rPr>
              <w:t>DA002</w:t>
            </w:r>
            <w:r>
              <w:rPr>
                <w:rFonts w:hint="default" w:cs="Times New Roman"/>
                <w:snapToGrid w:val="0"/>
                <w:color w:val="auto"/>
                <w:sz w:val="24"/>
                <w:lang w:val="en-US" w:eastAsia="zh-CN"/>
              </w:rPr>
              <w:t>依托</w:t>
            </w:r>
            <w:r>
              <w:rPr>
                <w:rFonts w:hint="default" w:ascii="Times New Roman" w:hAnsi="Times New Roman" w:cs="Times New Roman"/>
                <w:snapToGrid w:val="0"/>
                <w:color w:val="auto"/>
                <w:sz w:val="24"/>
                <w:lang w:eastAsia="zh-CN"/>
              </w:rPr>
              <w:t>）</w:t>
            </w:r>
            <w:r>
              <w:rPr>
                <w:rFonts w:hint="default" w:ascii="Times New Roman" w:hAnsi="Times New Roman" w:cs="Times New Roman"/>
                <w:snapToGrid w:val="0"/>
                <w:color w:val="auto"/>
                <w:sz w:val="24"/>
              </w:rPr>
              <w:t>排放</w:t>
            </w:r>
            <w:r>
              <w:rPr>
                <w:rFonts w:hint="default" w:ascii="Times New Roman" w:hAnsi="Times New Roman" w:cs="Times New Roman"/>
                <w:snapToGrid w:val="0"/>
                <w:color w:val="auto"/>
                <w:sz w:val="24"/>
                <w:lang w:eastAsia="zh-CN"/>
              </w:rPr>
              <w:t>；洁净车间印刷、复合、固化工序</w:t>
            </w:r>
            <w:r>
              <w:rPr>
                <w:rFonts w:hint="default" w:ascii="Times New Roman" w:hAnsi="Times New Roman" w:eastAsia="宋体" w:cs="Times New Roman"/>
                <w:snapToGrid w:val="0"/>
                <w:color w:val="auto"/>
                <w:sz w:val="24"/>
                <w:lang w:val="en-US" w:eastAsia="zh-CN"/>
              </w:rPr>
              <w:t>废气经集气装置收集后，由一套二级活性炭吸附装置处理，</w:t>
            </w:r>
            <w:r>
              <w:rPr>
                <w:rFonts w:hint="default" w:ascii="Times New Roman" w:hAnsi="Times New Roman" w:cs="Times New Roman"/>
                <w:snapToGrid w:val="0"/>
                <w:color w:val="auto"/>
                <w:sz w:val="24"/>
              </w:rPr>
              <w:t>经</w:t>
            </w:r>
            <w:r>
              <w:rPr>
                <w:rFonts w:hint="default" w:ascii="Times New Roman" w:hAnsi="Times New Roman" w:cs="Times New Roman"/>
                <w:snapToGrid w:val="0"/>
                <w:color w:val="auto"/>
                <w:sz w:val="24"/>
                <w:lang w:val="en-US" w:eastAsia="zh-CN"/>
              </w:rPr>
              <w:t>1根</w:t>
            </w:r>
            <w:r>
              <w:rPr>
                <w:rFonts w:hint="default" w:ascii="Times New Roman" w:hAnsi="Times New Roman" w:cs="Times New Roman"/>
                <w:snapToGrid w:val="0"/>
                <w:color w:val="auto"/>
                <w:sz w:val="24"/>
              </w:rPr>
              <w:t>15</w:t>
            </w:r>
            <w:r>
              <w:rPr>
                <w:rFonts w:hint="default" w:ascii="Times New Roman" w:hAnsi="Times New Roman" w:cs="Times New Roman"/>
                <w:snapToGrid w:val="0"/>
                <w:color w:val="auto"/>
                <w:sz w:val="24"/>
                <w:lang w:val="en-US" w:eastAsia="zh-CN"/>
              </w:rPr>
              <w:t>m</w:t>
            </w:r>
            <w:r>
              <w:rPr>
                <w:rFonts w:hint="default" w:ascii="Times New Roman" w:hAnsi="Times New Roman" w:cs="Times New Roman"/>
                <w:snapToGrid w:val="0"/>
                <w:color w:val="auto"/>
                <w:sz w:val="24"/>
              </w:rPr>
              <w:t>排气筒</w:t>
            </w:r>
            <w:r>
              <w:rPr>
                <w:rFonts w:hint="default" w:ascii="Times New Roman" w:hAnsi="Times New Roman" w:cs="Times New Roman"/>
                <w:snapToGrid w:val="0"/>
                <w:color w:val="auto"/>
                <w:sz w:val="24"/>
                <w:lang w:eastAsia="zh-CN"/>
              </w:rPr>
              <w:t>（</w:t>
            </w:r>
            <w:r>
              <w:rPr>
                <w:rFonts w:hint="default" w:ascii="Times New Roman" w:hAnsi="Times New Roman" w:cs="Times New Roman"/>
                <w:snapToGrid w:val="0"/>
                <w:color w:val="auto"/>
                <w:sz w:val="24"/>
                <w:lang w:val="en-US" w:eastAsia="zh-CN"/>
              </w:rPr>
              <w:t>DA003</w:t>
            </w:r>
            <w:r>
              <w:rPr>
                <w:rFonts w:hint="default" w:cs="Times New Roman"/>
                <w:snapToGrid w:val="0"/>
                <w:color w:val="auto"/>
                <w:sz w:val="24"/>
                <w:lang w:val="en-US" w:eastAsia="zh-CN"/>
              </w:rPr>
              <w:t>新增</w:t>
            </w:r>
            <w:r>
              <w:rPr>
                <w:rFonts w:hint="default" w:ascii="Times New Roman" w:hAnsi="Times New Roman" w:cs="Times New Roman"/>
                <w:snapToGrid w:val="0"/>
                <w:color w:val="auto"/>
                <w:sz w:val="24"/>
                <w:lang w:eastAsia="zh-CN"/>
              </w:rPr>
              <w:t>）</w:t>
            </w:r>
            <w:r>
              <w:rPr>
                <w:rFonts w:hint="default" w:ascii="Times New Roman" w:hAnsi="Times New Roman" w:cs="Times New Roman"/>
                <w:snapToGrid w:val="0"/>
                <w:color w:val="auto"/>
                <w:sz w:val="24"/>
              </w:rPr>
              <w:t>排放</w:t>
            </w:r>
            <w:r>
              <w:rPr>
                <w:rFonts w:hint="default" w:ascii="Times New Roman" w:hAnsi="Times New Roman" w:cs="Times New Roman"/>
                <w:snapToGrid w:val="0"/>
                <w:color w:val="auto"/>
                <w:sz w:val="24"/>
                <w:lang w:eastAsia="zh-CN"/>
              </w:rPr>
              <w:t>。</w:t>
            </w:r>
            <w:r>
              <w:rPr>
                <w:rFonts w:hint="default" w:ascii="Times New Roman" w:hAnsi="Times New Roman" w:cs="Times New Roman"/>
                <w:sz w:val="24"/>
                <w:lang w:val="en-US" w:eastAsia="zh-CN"/>
              </w:rPr>
              <w:t>项目</w:t>
            </w:r>
            <w:r>
              <w:rPr>
                <w:rFonts w:hint="default" w:ascii="Times New Roman" w:hAnsi="Times New Roman" w:cs="Times New Roman"/>
                <w:sz w:val="24"/>
              </w:rPr>
              <w:t>废气治理措施属于可行技术，废气污染物经处理后均可达标排放，废气污染物的排放量较小</w:t>
            </w:r>
            <w:r>
              <w:rPr>
                <w:rFonts w:hint="default" w:ascii="Times New Roman" w:hAnsi="Times New Roman" w:cs="Times New Roman"/>
                <w:kern w:val="0"/>
                <w:sz w:val="24"/>
                <w:szCs w:val="20"/>
              </w:rPr>
              <w:t>，不会改变所在地大气环境质量等级，</w:t>
            </w:r>
            <w:r>
              <w:rPr>
                <w:rFonts w:hint="default" w:ascii="Times New Roman" w:hAnsi="Times New Roman" w:cs="Times New Roman"/>
                <w:color w:val="000000"/>
                <w:sz w:val="24"/>
                <w:highlight w:val="none"/>
                <w:lang w:val="en-US" w:eastAsia="zh-CN"/>
              </w:rPr>
              <w:t>排放方式为有组织</w:t>
            </w:r>
            <w:r>
              <w:rPr>
                <w:rFonts w:hint="default" w:ascii="Times New Roman" w:hAnsi="Times New Roman" w:cs="Times New Roman"/>
                <w:color w:val="000000"/>
                <w:sz w:val="24"/>
                <w:lang w:eastAsia="zh-CN"/>
              </w:rPr>
              <w:t>，且</w:t>
            </w:r>
            <w:r>
              <w:rPr>
                <w:rFonts w:hint="default" w:ascii="Times New Roman" w:hAnsi="Times New Roman" w:cs="Times New Roman"/>
                <w:color w:val="auto"/>
                <w:sz w:val="24"/>
              </w:rPr>
              <w:t>项目</w:t>
            </w:r>
            <w:r>
              <w:rPr>
                <w:rFonts w:hint="default" w:ascii="Times New Roman" w:hAnsi="Times New Roman" w:cs="Times New Roman"/>
                <w:color w:val="auto"/>
                <w:sz w:val="24"/>
                <w:lang w:eastAsia="zh-CN"/>
              </w:rPr>
              <w:t>周边</w:t>
            </w:r>
            <w:r>
              <w:rPr>
                <w:rFonts w:hint="default" w:ascii="Times New Roman" w:hAnsi="Times New Roman" w:cs="Times New Roman"/>
                <w:color w:val="auto"/>
                <w:sz w:val="24"/>
                <w:lang w:val="en-US" w:eastAsia="zh-CN"/>
              </w:rPr>
              <w:t>500m范围内无敏感保护目标</w:t>
            </w:r>
            <w:r>
              <w:rPr>
                <w:rFonts w:hint="default" w:ascii="Times New Roman" w:hAnsi="Times New Roman" w:cs="Times New Roman"/>
                <w:color w:val="000000"/>
                <w:sz w:val="24"/>
              </w:rPr>
              <w:t>，</w:t>
            </w:r>
            <w:r>
              <w:rPr>
                <w:rFonts w:hint="default" w:ascii="Times New Roman" w:hAnsi="Times New Roman" w:cs="Times New Roman"/>
                <w:kern w:val="0"/>
                <w:sz w:val="24"/>
                <w:szCs w:val="20"/>
              </w:rPr>
              <w:t>对</w:t>
            </w:r>
            <w:r>
              <w:rPr>
                <w:rFonts w:hint="default" w:ascii="Times New Roman" w:hAnsi="Times New Roman" w:cs="Times New Roman"/>
                <w:kern w:val="0"/>
                <w:sz w:val="24"/>
                <w:szCs w:val="20"/>
                <w:lang w:val="en-US" w:eastAsia="zh-CN"/>
              </w:rPr>
              <w:t>大气</w:t>
            </w:r>
            <w:r>
              <w:rPr>
                <w:rFonts w:hint="default" w:ascii="Times New Roman" w:hAnsi="Times New Roman" w:cs="Times New Roman"/>
                <w:kern w:val="0"/>
                <w:sz w:val="24"/>
                <w:szCs w:val="20"/>
              </w:rPr>
              <w:t>环境的影响较小。</w:t>
            </w:r>
          </w:p>
          <w:p w14:paraId="5D84EC7F">
            <w:pPr>
              <w:pStyle w:val="228"/>
              <w:keepNext w:val="0"/>
              <w:keepLines w:val="0"/>
              <w:suppressLineNumbers w:val="0"/>
              <w:spacing w:before="0" w:beforeAutospacing="0" w:after="0" w:afterAutospacing="0" w:line="360" w:lineRule="auto"/>
              <w:ind w:left="0" w:right="0" w:firstLine="480"/>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kern w:val="2"/>
                <w:sz w:val="24"/>
                <w:szCs w:val="24"/>
                <w:lang w:val="en-US" w:eastAsia="zh-CN" w:bidi="ar-SA"/>
              </w:rPr>
              <w:t>（6）监测要求</w:t>
            </w:r>
          </w:p>
          <w:p w14:paraId="6C02CBD8">
            <w:pPr>
              <w:keepNext/>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cs="Times New Roman"/>
                <w:sz w:val="24"/>
                <w:szCs w:val="22"/>
              </w:rPr>
            </w:pPr>
            <w:r>
              <w:rPr>
                <w:rFonts w:hint="default" w:ascii="Times New Roman" w:hAnsi="Times New Roman" w:cs="Times New Roman"/>
                <w:sz w:val="24"/>
                <w:lang w:eastAsia="zh-CN"/>
              </w:rPr>
              <w:t>根据</w:t>
            </w:r>
            <w:r>
              <w:rPr>
                <w:rFonts w:hint="default" w:ascii="Times New Roman" w:hAnsi="Times New Roman" w:cs="Times New Roman"/>
                <w:sz w:val="24"/>
              </w:rPr>
              <w:t>《排污单位自行监测技术指南 总则》（HJ 819-2017）</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 xml:space="preserve">《排污单位自行监测技术指南 </w:t>
            </w:r>
            <w:r>
              <w:rPr>
                <w:rFonts w:hint="default" w:ascii="Times New Roman" w:hAnsi="Times New Roman" w:eastAsia="宋体" w:cs="Times New Roman"/>
                <w:sz w:val="24"/>
                <w:lang w:eastAsia="zh-CN"/>
              </w:rPr>
              <w:t>印刷</w:t>
            </w:r>
            <w:r>
              <w:rPr>
                <w:rFonts w:hint="default" w:ascii="Times New Roman" w:hAnsi="Times New Roman" w:eastAsia="宋体" w:cs="Times New Roman"/>
                <w:sz w:val="24"/>
              </w:rPr>
              <w:t>工业》（HJ1246-2022）</w:t>
            </w:r>
            <w:r>
              <w:rPr>
                <w:rFonts w:hint="default" w:ascii="Times New Roman" w:hAnsi="Times New Roman" w:eastAsia="宋体" w:cs="Times New Roman"/>
                <w:sz w:val="24"/>
                <w:lang w:eastAsia="zh-CN"/>
              </w:rPr>
              <w:t>和</w:t>
            </w:r>
            <w:r>
              <w:rPr>
                <w:rFonts w:hint="default" w:ascii="Times New Roman" w:hAnsi="Times New Roman" w:eastAsia="宋体" w:cs="Times New Roman"/>
                <w:sz w:val="24"/>
              </w:rPr>
              <w:t>《排污单位自行监测技</w:t>
            </w:r>
            <w:r>
              <w:rPr>
                <w:rFonts w:hint="default" w:ascii="Times New Roman" w:hAnsi="Times New Roman" w:cs="Times New Roman"/>
                <w:sz w:val="24"/>
              </w:rPr>
              <w:t>术指南 橡胶和塑料制品》（HJ1207-2021）文件中的相关规定</w:t>
            </w:r>
            <w:r>
              <w:rPr>
                <w:rFonts w:hint="default" w:ascii="Times New Roman" w:hAnsi="Times New Roman" w:cs="Times New Roman"/>
                <w:bCs/>
                <w:color w:val="auto"/>
                <w:kern w:val="21"/>
                <w:sz w:val="24"/>
              </w:rPr>
              <w:t>及本项目特点和主要污染源及污染物排放情况，</w:t>
            </w:r>
            <w:r>
              <w:rPr>
                <w:rFonts w:hint="default" w:ascii="Times New Roman" w:hAnsi="Times New Roman" w:cs="Times New Roman"/>
                <w:sz w:val="24"/>
                <w:szCs w:val="22"/>
              </w:rPr>
              <w:t>对本项目废气的日常监测要求详见下表。</w:t>
            </w:r>
          </w:p>
          <w:p w14:paraId="3FFA293F">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Autospacing="0" w:line="240" w:lineRule="auto"/>
              <w:ind w:left="0" w:right="0" w:firstLine="422" w:firstLineChars="200"/>
              <w:jc w:val="center"/>
              <w:textAlignment w:val="auto"/>
              <w:rPr>
                <w:rFonts w:hint="default" w:ascii="Times New Roman" w:hAnsi="Times New Roman" w:eastAsia="宋体" w:cs="Times New Roman"/>
                <w:b/>
                <w:bCs/>
                <w:color w:val="000000"/>
                <w:kern w:val="0"/>
                <w:sz w:val="21"/>
                <w:szCs w:val="21"/>
                <w:lang w:val="en-US" w:eastAsia="zh-CN" w:bidi="ar-SA"/>
              </w:rPr>
            </w:pPr>
            <w:r>
              <w:rPr>
                <w:rFonts w:hint="default" w:ascii="Times New Roman" w:hAnsi="Times New Roman" w:eastAsia="宋体" w:cs="Times New Roman"/>
                <w:b/>
                <w:bCs/>
                <w:color w:val="000000"/>
                <w:kern w:val="0"/>
                <w:sz w:val="21"/>
                <w:szCs w:val="21"/>
                <w:lang w:val="en-US" w:eastAsia="zh-CN" w:bidi="ar-SA"/>
              </w:rPr>
              <w:t>项目废气监测计划一览表</w:t>
            </w:r>
          </w:p>
          <w:tbl>
            <w:tblPr>
              <w:tblStyle w:val="3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1412"/>
              <w:gridCol w:w="1124"/>
              <w:gridCol w:w="1065"/>
              <w:gridCol w:w="3911"/>
            </w:tblGrid>
            <w:tr w14:paraId="5DCDF6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4" w:type="dxa"/>
                  <w:noWrap w:val="0"/>
                  <w:vAlign w:val="center"/>
                </w:tcPr>
                <w:p w14:paraId="6FE9EA32">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snapToGrid w:val="0"/>
                      <w:color w:val="auto"/>
                      <w:kern w:val="2"/>
                      <w:sz w:val="21"/>
                      <w:szCs w:val="21"/>
                      <w:lang w:eastAsia="zh-CN" w:bidi="ar-SA"/>
                    </w:rPr>
                  </w:pPr>
                  <w:r>
                    <w:rPr>
                      <w:rFonts w:hint="default" w:ascii="Times New Roman" w:hAnsi="Times New Roman" w:eastAsia="宋体" w:cs="Times New Roman"/>
                      <w:snapToGrid w:val="0"/>
                      <w:color w:val="auto"/>
                      <w:kern w:val="2"/>
                      <w:sz w:val="21"/>
                      <w:szCs w:val="21"/>
                      <w:lang w:eastAsia="zh-CN" w:bidi="ar-SA"/>
                    </w:rPr>
                    <w:t>污染类型</w:t>
                  </w:r>
                </w:p>
              </w:tc>
              <w:tc>
                <w:tcPr>
                  <w:tcW w:w="1412" w:type="dxa"/>
                  <w:noWrap w:val="0"/>
                  <w:vAlign w:val="center"/>
                </w:tcPr>
                <w:p w14:paraId="51134AE8">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snapToGrid w:val="0"/>
                      <w:color w:val="auto"/>
                      <w:kern w:val="2"/>
                      <w:sz w:val="21"/>
                      <w:szCs w:val="21"/>
                      <w:lang w:eastAsia="zh-CN" w:bidi="ar-SA"/>
                    </w:rPr>
                  </w:pPr>
                  <w:r>
                    <w:rPr>
                      <w:rFonts w:hint="default" w:ascii="Times New Roman" w:hAnsi="Times New Roman" w:eastAsia="宋体" w:cs="Times New Roman"/>
                      <w:snapToGrid w:val="0"/>
                      <w:color w:val="auto"/>
                      <w:kern w:val="2"/>
                      <w:sz w:val="21"/>
                      <w:szCs w:val="21"/>
                      <w:lang w:eastAsia="zh-CN" w:bidi="ar-SA"/>
                    </w:rPr>
                    <w:t>监测点位</w:t>
                  </w:r>
                </w:p>
              </w:tc>
              <w:tc>
                <w:tcPr>
                  <w:tcW w:w="1124" w:type="dxa"/>
                  <w:noWrap w:val="0"/>
                  <w:vAlign w:val="center"/>
                </w:tcPr>
                <w:p w14:paraId="6E3069F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snapToGrid w:val="0"/>
                      <w:color w:val="auto"/>
                      <w:kern w:val="2"/>
                      <w:sz w:val="21"/>
                      <w:szCs w:val="21"/>
                      <w:lang w:eastAsia="zh-CN" w:bidi="ar-SA"/>
                    </w:rPr>
                  </w:pPr>
                  <w:r>
                    <w:rPr>
                      <w:rFonts w:hint="default" w:ascii="Times New Roman" w:hAnsi="Times New Roman" w:eastAsia="宋体" w:cs="Times New Roman"/>
                      <w:snapToGrid w:val="0"/>
                      <w:color w:val="auto"/>
                      <w:kern w:val="2"/>
                      <w:sz w:val="21"/>
                      <w:szCs w:val="21"/>
                      <w:lang w:eastAsia="zh-CN" w:bidi="ar-SA"/>
                    </w:rPr>
                    <w:t>监测项目</w:t>
                  </w:r>
                </w:p>
              </w:tc>
              <w:tc>
                <w:tcPr>
                  <w:tcW w:w="1065" w:type="dxa"/>
                  <w:noWrap w:val="0"/>
                  <w:vAlign w:val="center"/>
                </w:tcPr>
                <w:p w14:paraId="6F1E17BF">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snapToGrid w:val="0"/>
                      <w:color w:val="auto"/>
                      <w:kern w:val="2"/>
                      <w:sz w:val="21"/>
                      <w:szCs w:val="21"/>
                      <w:lang w:eastAsia="zh-CN" w:bidi="ar-SA"/>
                    </w:rPr>
                  </w:pPr>
                  <w:r>
                    <w:rPr>
                      <w:rFonts w:hint="default" w:ascii="Times New Roman" w:hAnsi="Times New Roman" w:eastAsia="宋体" w:cs="Times New Roman"/>
                      <w:snapToGrid w:val="0"/>
                      <w:color w:val="auto"/>
                      <w:kern w:val="2"/>
                      <w:sz w:val="21"/>
                      <w:szCs w:val="21"/>
                      <w:lang w:eastAsia="zh-CN" w:bidi="ar-SA"/>
                    </w:rPr>
                    <w:t>监测频次</w:t>
                  </w:r>
                </w:p>
              </w:tc>
              <w:tc>
                <w:tcPr>
                  <w:tcW w:w="3911" w:type="dxa"/>
                  <w:noWrap w:val="0"/>
                  <w:vAlign w:val="center"/>
                </w:tcPr>
                <w:p w14:paraId="519FF917">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snapToGrid w:val="0"/>
                      <w:color w:val="auto"/>
                      <w:kern w:val="2"/>
                      <w:sz w:val="21"/>
                      <w:szCs w:val="21"/>
                      <w:lang w:eastAsia="zh-CN" w:bidi="ar-SA"/>
                    </w:rPr>
                  </w:pPr>
                  <w:r>
                    <w:rPr>
                      <w:rFonts w:hint="default" w:ascii="Times New Roman" w:hAnsi="Times New Roman" w:eastAsia="宋体" w:cs="Times New Roman"/>
                      <w:snapToGrid w:val="0"/>
                      <w:color w:val="auto"/>
                      <w:kern w:val="2"/>
                      <w:sz w:val="21"/>
                      <w:szCs w:val="21"/>
                      <w:lang w:eastAsia="zh-CN" w:bidi="ar-SA"/>
                    </w:rPr>
                    <w:t>执行标准</w:t>
                  </w:r>
                </w:p>
              </w:tc>
            </w:tr>
            <w:tr w14:paraId="178038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704" w:type="dxa"/>
                  <w:vMerge w:val="restart"/>
                  <w:noWrap w:val="0"/>
                  <w:vAlign w:val="center"/>
                </w:tcPr>
                <w:p w14:paraId="39AAD9A4">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0"/>
                      <w:sz w:val="21"/>
                      <w:szCs w:val="21"/>
                      <w:lang w:eastAsia="zh-CN" w:bidi="en-US"/>
                    </w:rPr>
                  </w:pPr>
                  <w:r>
                    <w:rPr>
                      <w:rFonts w:hint="default" w:ascii="Times New Roman" w:hAnsi="Times New Roman" w:eastAsia="宋体" w:cs="Times New Roman"/>
                      <w:color w:val="auto"/>
                      <w:kern w:val="0"/>
                      <w:sz w:val="21"/>
                      <w:szCs w:val="21"/>
                      <w:lang w:eastAsia="zh-CN" w:bidi="en-US"/>
                    </w:rPr>
                    <w:t>废气</w:t>
                  </w:r>
                </w:p>
              </w:tc>
              <w:tc>
                <w:tcPr>
                  <w:tcW w:w="1412" w:type="dxa"/>
                  <w:noWrap w:val="0"/>
                  <w:vAlign w:val="center"/>
                </w:tcPr>
                <w:p w14:paraId="044D9367">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0"/>
                      <w:sz w:val="21"/>
                      <w:szCs w:val="21"/>
                      <w:highlight w:val="none"/>
                      <w:lang w:val="en-US" w:eastAsia="zh-CN" w:bidi="en-US"/>
                    </w:rPr>
                  </w:pPr>
                  <w:r>
                    <w:rPr>
                      <w:rFonts w:hint="default" w:ascii="Times New Roman" w:hAnsi="Times New Roman" w:eastAsia="宋体" w:cs="Times New Roman"/>
                      <w:color w:val="auto"/>
                      <w:kern w:val="0"/>
                      <w:sz w:val="21"/>
                      <w:szCs w:val="21"/>
                      <w:highlight w:val="none"/>
                      <w:lang w:eastAsia="zh-CN" w:bidi="en-US"/>
                    </w:rPr>
                    <w:t>DA00</w:t>
                  </w:r>
                  <w:r>
                    <w:rPr>
                      <w:rFonts w:hint="default" w:ascii="Times New Roman" w:hAnsi="Times New Roman" w:eastAsia="宋体" w:cs="Times New Roman"/>
                      <w:color w:val="auto"/>
                      <w:kern w:val="0"/>
                      <w:sz w:val="21"/>
                      <w:szCs w:val="21"/>
                      <w:highlight w:val="none"/>
                      <w:lang w:val="en-US" w:eastAsia="zh-CN" w:bidi="en-US"/>
                    </w:rPr>
                    <w:t>1/DA002</w:t>
                  </w:r>
                  <w:r>
                    <w:rPr>
                      <w:rFonts w:hint="default" w:cs="Times New Roman"/>
                      <w:color w:val="auto"/>
                      <w:kern w:val="0"/>
                      <w:sz w:val="21"/>
                      <w:szCs w:val="21"/>
                      <w:highlight w:val="none"/>
                      <w:lang w:val="en-US" w:eastAsia="zh-CN" w:bidi="en-US"/>
                    </w:rPr>
                    <w:t>/DA003</w:t>
                  </w:r>
                  <w:r>
                    <w:rPr>
                      <w:rFonts w:hint="default" w:ascii="Times New Roman" w:hAnsi="Times New Roman" w:eastAsia="宋体" w:cs="Times New Roman"/>
                      <w:color w:val="auto"/>
                      <w:kern w:val="0"/>
                      <w:sz w:val="21"/>
                      <w:szCs w:val="21"/>
                      <w:highlight w:val="none"/>
                      <w:lang w:val="en-US" w:eastAsia="zh-CN" w:bidi="en-US"/>
                    </w:rPr>
                    <w:t>二级活性炭吸附装置进/出口</w:t>
                  </w:r>
                </w:p>
              </w:tc>
              <w:tc>
                <w:tcPr>
                  <w:tcW w:w="1124" w:type="dxa"/>
                  <w:noWrap w:val="0"/>
                  <w:vAlign w:val="center"/>
                </w:tcPr>
                <w:p w14:paraId="0739E6D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0"/>
                      <w:sz w:val="21"/>
                      <w:szCs w:val="21"/>
                      <w:highlight w:val="none"/>
                      <w:lang w:val="en-US" w:eastAsia="zh-CN" w:bidi="en-US"/>
                    </w:rPr>
                  </w:pPr>
                  <w:r>
                    <w:rPr>
                      <w:rFonts w:hint="default" w:ascii="Times New Roman" w:hAnsi="Times New Roman" w:eastAsia="宋体" w:cs="Times New Roman"/>
                      <w:color w:val="auto"/>
                      <w:kern w:val="0"/>
                      <w:sz w:val="21"/>
                      <w:szCs w:val="21"/>
                      <w:highlight w:val="none"/>
                      <w:lang w:eastAsia="zh-CN" w:bidi="en-US"/>
                    </w:rPr>
                    <w:t>非甲烷总烃</w:t>
                  </w:r>
                </w:p>
              </w:tc>
              <w:tc>
                <w:tcPr>
                  <w:tcW w:w="1065" w:type="dxa"/>
                  <w:noWrap w:val="0"/>
                  <w:vAlign w:val="center"/>
                </w:tcPr>
                <w:p w14:paraId="43FC467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0"/>
                      <w:sz w:val="21"/>
                      <w:szCs w:val="21"/>
                      <w:lang w:eastAsia="zh-CN" w:bidi="en-US"/>
                    </w:rPr>
                  </w:pPr>
                  <w:r>
                    <w:rPr>
                      <w:rFonts w:hint="default" w:ascii="Times New Roman" w:hAnsi="Times New Roman" w:eastAsia="宋体" w:cs="Times New Roman"/>
                      <w:color w:val="auto"/>
                      <w:kern w:val="0"/>
                      <w:sz w:val="21"/>
                      <w:szCs w:val="21"/>
                      <w:lang w:eastAsia="zh-CN" w:bidi="en-US"/>
                    </w:rPr>
                    <w:t>1次/</w:t>
                  </w:r>
                  <w:r>
                    <w:rPr>
                      <w:rFonts w:hint="default" w:cs="Times New Roman"/>
                      <w:color w:val="auto"/>
                      <w:kern w:val="0"/>
                      <w:sz w:val="21"/>
                      <w:szCs w:val="21"/>
                      <w:lang w:eastAsia="zh-CN" w:bidi="en-US"/>
                    </w:rPr>
                    <w:t>半</w:t>
                  </w:r>
                  <w:r>
                    <w:rPr>
                      <w:rFonts w:hint="default" w:ascii="Times New Roman" w:hAnsi="Times New Roman" w:eastAsia="宋体" w:cs="Times New Roman"/>
                      <w:color w:val="auto"/>
                      <w:kern w:val="0"/>
                      <w:sz w:val="21"/>
                      <w:szCs w:val="21"/>
                      <w:lang w:eastAsia="zh-CN" w:bidi="en-US"/>
                    </w:rPr>
                    <w:t>年</w:t>
                  </w:r>
                </w:p>
              </w:tc>
              <w:tc>
                <w:tcPr>
                  <w:tcW w:w="3911" w:type="dxa"/>
                  <w:noWrap w:val="0"/>
                  <w:vAlign w:val="center"/>
                </w:tcPr>
                <w:p w14:paraId="73D36D99">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0"/>
                      <w:sz w:val="21"/>
                      <w:szCs w:val="21"/>
                      <w:lang w:val="en-US" w:eastAsia="zh-CN" w:bidi="en-US"/>
                    </w:rPr>
                  </w:pPr>
                  <w:r>
                    <w:rPr>
                      <w:rFonts w:hint="default" w:ascii="Times New Roman" w:hAnsi="Times New Roman" w:eastAsia="宋体" w:cs="Times New Roman"/>
                      <w:color w:val="auto"/>
                      <w:kern w:val="0"/>
                      <w:sz w:val="21"/>
                      <w:szCs w:val="21"/>
                      <w:highlight w:val="none"/>
                      <w:lang w:eastAsia="zh-CN" w:bidi="en-US"/>
                    </w:rPr>
                    <w:t>《合成树脂工业污染物排放标准》（GB31572-2015</w:t>
                  </w:r>
                  <w:r>
                    <w:rPr>
                      <w:rFonts w:hint="default" w:ascii="Times New Roman" w:hAnsi="Times New Roman" w:eastAsia="宋体" w:cs="Times New Roman"/>
                      <w:color w:val="auto"/>
                      <w:kern w:val="0"/>
                      <w:sz w:val="21"/>
                      <w:szCs w:val="21"/>
                      <w:highlight w:val="none"/>
                      <w:lang w:val="en-US" w:eastAsia="zh-CN" w:bidi="en-US"/>
                    </w:rPr>
                    <w:t>，含2024修改单</w:t>
                  </w:r>
                  <w:r>
                    <w:rPr>
                      <w:rFonts w:hint="default" w:ascii="Times New Roman" w:hAnsi="Times New Roman" w:eastAsia="宋体" w:cs="Times New Roman"/>
                      <w:color w:val="auto"/>
                      <w:kern w:val="0"/>
                      <w:sz w:val="21"/>
                      <w:szCs w:val="21"/>
                      <w:highlight w:val="none"/>
                      <w:lang w:eastAsia="zh-CN" w:bidi="en-US"/>
                    </w:rPr>
                    <w:t>）表5大气污染物特别排放限值</w:t>
                  </w:r>
                  <w:r>
                    <w:rPr>
                      <w:rFonts w:hint="default" w:cs="Times New Roman"/>
                      <w:color w:val="auto"/>
                      <w:kern w:val="0"/>
                      <w:sz w:val="21"/>
                      <w:szCs w:val="21"/>
                      <w:highlight w:val="none"/>
                      <w:lang w:eastAsia="zh-CN" w:bidi="en-US"/>
                    </w:rPr>
                    <w:t>、</w:t>
                  </w:r>
                  <w:r>
                    <w:rPr>
                      <w:rFonts w:hint="default" w:ascii="Times New Roman" w:hAnsi="Times New Roman" w:eastAsia="宋体" w:cs="Times New Roman"/>
                      <w:color w:val="auto"/>
                      <w:sz w:val="21"/>
                      <w:szCs w:val="21"/>
                    </w:rPr>
                    <w:t>《工业企业挥发性有机物排放控制标准》（DB13/2322-20</w:t>
                  </w:r>
                  <w:r>
                    <w:rPr>
                      <w:rFonts w:hint="default" w:cs="Times New Roman"/>
                      <w:color w:val="auto"/>
                      <w:sz w:val="21"/>
                      <w:szCs w:val="21"/>
                      <w:lang w:val="en-US" w:eastAsia="zh-CN"/>
                    </w:rPr>
                    <w:t>25</w:t>
                  </w:r>
                  <w:r>
                    <w:rPr>
                      <w:rFonts w:hint="default" w:ascii="Times New Roman" w:hAnsi="Times New Roman" w:eastAsia="宋体" w:cs="Times New Roman"/>
                      <w:color w:val="auto"/>
                      <w:sz w:val="21"/>
                      <w:szCs w:val="21"/>
                    </w:rPr>
                    <w:t>）表1中</w:t>
                  </w:r>
                  <w:r>
                    <w:rPr>
                      <w:rFonts w:hint="default" w:cs="Times New Roman"/>
                      <w:color w:val="auto"/>
                      <w:sz w:val="21"/>
                      <w:szCs w:val="21"/>
                      <w:lang w:val="en-US" w:eastAsia="zh-CN"/>
                    </w:rPr>
                    <w:t>塑料制品制造行业</w:t>
                  </w:r>
                  <w:r>
                    <w:rPr>
                      <w:rFonts w:hint="default" w:ascii="Times New Roman" w:hAnsi="Times New Roman" w:eastAsia="宋体" w:cs="Times New Roman"/>
                      <w:color w:val="auto"/>
                      <w:sz w:val="21"/>
                      <w:szCs w:val="21"/>
                    </w:rPr>
                    <w:t>排放限值要求</w:t>
                  </w:r>
                  <w:r>
                    <w:rPr>
                      <w:rFonts w:hint="default" w:cs="Times New Roman"/>
                      <w:color w:val="auto"/>
                      <w:sz w:val="21"/>
                      <w:szCs w:val="21"/>
                      <w:highlight w:val="none"/>
                      <w:lang w:val="en-US" w:eastAsia="zh-CN"/>
                    </w:rPr>
                    <w:t>、《印刷工业挥发性有机物排放标准》（DB13/6188-2025）表1中排放限值要求</w:t>
                  </w:r>
                </w:p>
              </w:tc>
            </w:tr>
            <w:tr w14:paraId="10137C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704" w:type="dxa"/>
                  <w:vMerge w:val="continue"/>
                  <w:noWrap w:val="0"/>
                  <w:vAlign w:val="center"/>
                </w:tcPr>
                <w:p w14:paraId="6086513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center"/>
                    <w:textAlignment w:val="auto"/>
                    <w:rPr>
                      <w:rFonts w:hint="default" w:cs="Times New Roman"/>
                      <w:color w:val="auto"/>
                      <w:kern w:val="0"/>
                      <w:sz w:val="21"/>
                      <w:szCs w:val="21"/>
                      <w:highlight w:val="none"/>
                      <w:lang w:val="en-US" w:eastAsia="zh-CN" w:bidi="en-US"/>
                    </w:rPr>
                  </w:pPr>
                </w:p>
              </w:tc>
              <w:tc>
                <w:tcPr>
                  <w:tcW w:w="1412" w:type="dxa"/>
                  <w:vMerge w:val="restart"/>
                  <w:noWrap w:val="0"/>
                  <w:vAlign w:val="center"/>
                </w:tcPr>
                <w:p w14:paraId="67B28DAC">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center"/>
                    <w:textAlignment w:val="auto"/>
                    <w:rPr>
                      <w:rFonts w:hint="default" w:cs="Times New Roman"/>
                      <w:color w:val="auto"/>
                      <w:kern w:val="0"/>
                      <w:sz w:val="21"/>
                      <w:szCs w:val="21"/>
                      <w:highlight w:val="none"/>
                      <w:lang w:val="en-US" w:eastAsia="zh-CN" w:bidi="en-US"/>
                    </w:rPr>
                  </w:pPr>
                  <w:r>
                    <w:rPr>
                      <w:rFonts w:hint="default" w:cs="Times New Roman"/>
                      <w:color w:val="auto"/>
                      <w:kern w:val="0"/>
                      <w:sz w:val="21"/>
                      <w:szCs w:val="21"/>
                      <w:highlight w:val="none"/>
                      <w:lang w:val="en-US" w:eastAsia="zh-CN" w:bidi="en-US"/>
                    </w:rPr>
                    <w:t>DA001/DA002/</w:t>
                  </w:r>
                  <w:r>
                    <w:rPr>
                      <w:rFonts w:hint="default" w:ascii="Times New Roman" w:hAnsi="Times New Roman" w:eastAsia="宋体" w:cs="Times New Roman"/>
                      <w:color w:val="auto"/>
                      <w:kern w:val="0"/>
                      <w:sz w:val="21"/>
                      <w:szCs w:val="21"/>
                      <w:highlight w:val="none"/>
                      <w:lang w:val="en-US" w:eastAsia="zh-CN" w:bidi="en-US"/>
                    </w:rPr>
                    <w:t>DA00</w:t>
                  </w:r>
                  <w:r>
                    <w:rPr>
                      <w:rFonts w:hint="default" w:cs="Times New Roman"/>
                      <w:color w:val="auto"/>
                      <w:kern w:val="0"/>
                      <w:sz w:val="21"/>
                      <w:szCs w:val="21"/>
                      <w:highlight w:val="none"/>
                      <w:lang w:val="en-US" w:eastAsia="zh-CN" w:bidi="en-US"/>
                    </w:rPr>
                    <w:t>3</w:t>
                  </w:r>
                  <w:r>
                    <w:rPr>
                      <w:rFonts w:hint="default" w:ascii="Times New Roman" w:hAnsi="Times New Roman" w:eastAsia="宋体" w:cs="Times New Roman"/>
                      <w:color w:val="auto"/>
                      <w:kern w:val="0"/>
                      <w:sz w:val="21"/>
                      <w:szCs w:val="21"/>
                      <w:highlight w:val="none"/>
                      <w:lang w:eastAsia="zh-CN" w:bidi="en-US"/>
                    </w:rPr>
                    <w:t>排气筒出口</w:t>
                  </w:r>
                </w:p>
              </w:tc>
              <w:tc>
                <w:tcPr>
                  <w:tcW w:w="1124" w:type="dxa"/>
                  <w:shd w:val="clear" w:color="auto" w:fill="auto"/>
                  <w:noWrap w:val="0"/>
                  <w:vAlign w:val="center"/>
                </w:tcPr>
                <w:p w14:paraId="45AB5883">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0"/>
                      <w:sz w:val="21"/>
                      <w:szCs w:val="21"/>
                      <w:highlight w:val="none"/>
                      <w:lang w:val="en-US" w:eastAsia="zh-CN" w:bidi="en-US"/>
                    </w:rPr>
                  </w:pPr>
                  <w:r>
                    <w:rPr>
                      <w:rFonts w:hint="default" w:cs="Times New Roman"/>
                      <w:color w:val="auto"/>
                      <w:kern w:val="2"/>
                      <w:sz w:val="21"/>
                      <w:szCs w:val="21"/>
                      <w:highlight w:val="none"/>
                      <w:vertAlign w:val="superscript"/>
                      <w:lang w:val="en-US" w:eastAsia="zh-CN"/>
                    </w:rPr>
                    <w:t>*</w:t>
                  </w:r>
                  <w:r>
                    <w:rPr>
                      <w:rFonts w:hint="default" w:ascii="Times New Roman" w:hAnsi="Times New Roman" w:cs="Times New Roman"/>
                      <w:color w:val="auto"/>
                      <w:kern w:val="2"/>
                      <w:sz w:val="21"/>
                      <w:szCs w:val="21"/>
                      <w:highlight w:val="none"/>
                      <w:lang w:val="en-US" w:eastAsia="zh-CN"/>
                    </w:rPr>
                    <w:t>二苯基甲烷二异氰酸酯（MDI）</w:t>
                  </w:r>
                </w:p>
              </w:tc>
              <w:tc>
                <w:tcPr>
                  <w:tcW w:w="1065" w:type="dxa"/>
                  <w:shd w:val="clear" w:color="auto" w:fill="auto"/>
                  <w:noWrap w:val="0"/>
                  <w:vAlign w:val="center"/>
                </w:tcPr>
                <w:p w14:paraId="7DF077E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0"/>
                      <w:sz w:val="21"/>
                      <w:szCs w:val="21"/>
                      <w:highlight w:val="none"/>
                      <w:lang w:val="en-US" w:eastAsia="zh-CN" w:bidi="en-US"/>
                    </w:rPr>
                  </w:pPr>
                  <w:r>
                    <w:rPr>
                      <w:rFonts w:hint="default" w:ascii="Times New Roman" w:hAnsi="Times New Roman" w:eastAsia="宋体" w:cs="Times New Roman"/>
                      <w:color w:val="auto"/>
                      <w:kern w:val="0"/>
                      <w:sz w:val="21"/>
                      <w:szCs w:val="21"/>
                      <w:highlight w:val="none"/>
                      <w:lang w:eastAsia="zh-CN" w:bidi="en-US"/>
                    </w:rPr>
                    <w:t>1次/半年</w:t>
                  </w:r>
                </w:p>
              </w:tc>
              <w:tc>
                <w:tcPr>
                  <w:tcW w:w="3911" w:type="dxa"/>
                  <w:shd w:val="clear" w:color="auto" w:fill="auto"/>
                  <w:noWrap w:val="0"/>
                  <w:vAlign w:val="center"/>
                </w:tcPr>
                <w:p w14:paraId="6B94A3C0">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0"/>
                      <w:sz w:val="21"/>
                      <w:szCs w:val="21"/>
                      <w:highlight w:val="none"/>
                      <w:lang w:val="en-US" w:eastAsia="zh-CN" w:bidi="en-US"/>
                    </w:rPr>
                  </w:pPr>
                  <w:r>
                    <w:rPr>
                      <w:rFonts w:hint="default" w:ascii="Times New Roman" w:hAnsi="Times New Roman" w:eastAsia="宋体" w:cs="Times New Roman"/>
                      <w:color w:val="auto"/>
                      <w:kern w:val="0"/>
                      <w:sz w:val="21"/>
                      <w:szCs w:val="21"/>
                      <w:highlight w:val="none"/>
                      <w:lang w:val="en-US" w:eastAsia="zh-CN" w:bidi="en-US"/>
                    </w:rPr>
                    <w:t>《合成树脂工业污染物排放标准》(GB31572-2015，含2024年修改单)表5大气污染物特别排放限值要求</w:t>
                  </w:r>
                </w:p>
              </w:tc>
            </w:tr>
            <w:tr w14:paraId="22572E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704" w:type="dxa"/>
                  <w:vMerge w:val="continue"/>
                  <w:noWrap w:val="0"/>
                  <w:vAlign w:val="center"/>
                </w:tcPr>
                <w:p w14:paraId="0001409A">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center"/>
                    <w:textAlignment w:val="auto"/>
                    <w:rPr>
                      <w:rFonts w:hint="default" w:ascii="Times New Roman" w:hAnsi="Times New Roman" w:cs="Times New Roman"/>
                      <w:color w:val="auto"/>
                    </w:rPr>
                  </w:pPr>
                  <w:r>
                    <w:rPr>
                      <w:rFonts w:hint="default" w:cs="Times New Roman"/>
                      <w:color w:val="auto"/>
                      <w:kern w:val="0"/>
                      <w:sz w:val="21"/>
                      <w:szCs w:val="21"/>
                      <w:highlight w:val="none"/>
                      <w:lang w:val="en-US" w:eastAsia="zh-CN" w:bidi="en-US"/>
                    </w:rPr>
                    <w:t>DA001/DA002/</w:t>
                  </w:r>
                  <w:r>
                    <w:rPr>
                      <w:rFonts w:hint="default" w:ascii="Times New Roman" w:hAnsi="Times New Roman" w:eastAsia="宋体" w:cs="Times New Roman"/>
                      <w:color w:val="auto"/>
                      <w:kern w:val="0"/>
                      <w:sz w:val="21"/>
                      <w:szCs w:val="21"/>
                      <w:highlight w:val="none"/>
                      <w:lang w:val="en-US" w:eastAsia="zh-CN" w:bidi="en-US"/>
                    </w:rPr>
                    <w:t>DA00</w:t>
                  </w:r>
                  <w:r>
                    <w:rPr>
                      <w:rFonts w:hint="default" w:cs="Times New Roman"/>
                      <w:color w:val="auto"/>
                      <w:kern w:val="0"/>
                      <w:sz w:val="21"/>
                      <w:szCs w:val="21"/>
                      <w:highlight w:val="none"/>
                      <w:lang w:val="en-US" w:eastAsia="zh-CN" w:bidi="en-US"/>
                    </w:rPr>
                    <w:t>3</w:t>
                  </w:r>
                  <w:r>
                    <w:rPr>
                      <w:rFonts w:hint="default" w:ascii="Times New Roman" w:hAnsi="Times New Roman" w:eastAsia="宋体" w:cs="Times New Roman"/>
                      <w:color w:val="auto"/>
                      <w:kern w:val="0"/>
                      <w:sz w:val="21"/>
                      <w:szCs w:val="21"/>
                      <w:highlight w:val="none"/>
                      <w:lang w:eastAsia="zh-CN" w:bidi="en-US"/>
                    </w:rPr>
                    <w:t>排气筒出口</w:t>
                  </w:r>
                </w:p>
              </w:tc>
              <w:tc>
                <w:tcPr>
                  <w:tcW w:w="1412" w:type="dxa"/>
                  <w:vMerge w:val="continue"/>
                  <w:noWrap w:val="0"/>
                  <w:vAlign w:val="center"/>
                </w:tcPr>
                <w:p w14:paraId="51FA552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center"/>
                    <w:textAlignment w:val="auto"/>
                    <w:rPr>
                      <w:rFonts w:hint="default" w:cs="Times New Roman"/>
                      <w:color w:val="auto"/>
                      <w:kern w:val="0"/>
                      <w:sz w:val="21"/>
                      <w:szCs w:val="21"/>
                      <w:highlight w:val="none"/>
                      <w:lang w:val="en-US" w:eastAsia="zh-CN" w:bidi="en-US"/>
                    </w:rPr>
                  </w:pPr>
                </w:p>
              </w:tc>
              <w:tc>
                <w:tcPr>
                  <w:tcW w:w="1124" w:type="dxa"/>
                  <w:shd w:val="clear" w:color="auto" w:fill="auto"/>
                  <w:noWrap w:val="0"/>
                  <w:vAlign w:val="center"/>
                </w:tcPr>
                <w:p w14:paraId="523B2F6F">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0"/>
                      <w:sz w:val="21"/>
                      <w:szCs w:val="21"/>
                      <w:highlight w:val="none"/>
                      <w:lang w:val="en-US" w:eastAsia="zh-CN" w:bidi="en-US"/>
                    </w:rPr>
                  </w:pPr>
                  <w:r>
                    <w:rPr>
                      <w:rFonts w:hint="default" w:ascii="Times New Roman" w:hAnsi="Times New Roman" w:eastAsia="宋体" w:cs="Times New Roman"/>
                      <w:color w:val="auto"/>
                      <w:kern w:val="0"/>
                      <w:sz w:val="21"/>
                      <w:szCs w:val="21"/>
                      <w:highlight w:val="none"/>
                      <w:lang w:val="en-US" w:eastAsia="zh-CN" w:bidi="en-US"/>
                    </w:rPr>
                    <w:t>臭气浓度</w:t>
                  </w:r>
                </w:p>
              </w:tc>
              <w:tc>
                <w:tcPr>
                  <w:tcW w:w="1065" w:type="dxa"/>
                  <w:shd w:val="clear" w:color="auto" w:fill="auto"/>
                  <w:noWrap w:val="0"/>
                  <w:vAlign w:val="center"/>
                </w:tcPr>
                <w:p w14:paraId="6FCC21CA">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0"/>
                      <w:sz w:val="21"/>
                      <w:szCs w:val="21"/>
                      <w:highlight w:val="none"/>
                      <w:lang w:val="en-US" w:eastAsia="zh-CN" w:bidi="en-US"/>
                    </w:rPr>
                  </w:pPr>
                  <w:r>
                    <w:rPr>
                      <w:rFonts w:hint="default" w:ascii="Times New Roman" w:hAnsi="Times New Roman" w:eastAsia="宋体" w:cs="Times New Roman"/>
                      <w:color w:val="auto"/>
                      <w:kern w:val="0"/>
                      <w:sz w:val="21"/>
                      <w:szCs w:val="21"/>
                      <w:highlight w:val="none"/>
                      <w:lang w:eastAsia="zh-CN" w:bidi="en-US"/>
                    </w:rPr>
                    <w:t>1次/年</w:t>
                  </w:r>
                </w:p>
              </w:tc>
              <w:tc>
                <w:tcPr>
                  <w:tcW w:w="3911" w:type="dxa"/>
                  <w:shd w:val="clear" w:color="auto" w:fill="auto"/>
                  <w:noWrap w:val="0"/>
                  <w:vAlign w:val="center"/>
                </w:tcPr>
                <w:p w14:paraId="60E3442B">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0"/>
                      <w:sz w:val="21"/>
                      <w:szCs w:val="21"/>
                      <w:highlight w:val="none"/>
                      <w:lang w:val="en-US" w:eastAsia="zh-CN" w:bidi="en-US"/>
                    </w:rPr>
                  </w:pPr>
                  <w:r>
                    <w:rPr>
                      <w:rFonts w:hint="default" w:ascii="Times New Roman" w:hAnsi="Times New Roman" w:eastAsia="宋体" w:cs="Times New Roman"/>
                      <w:color w:val="auto"/>
                      <w:kern w:val="0"/>
                      <w:sz w:val="21"/>
                      <w:szCs w:val="21"/>
                      <w:highlight w:val="none"/>
                      <w:lang w:eastAsia="zh-CN" w:bidi="en-US"/>
                    </w:rPr>
                    <w:t>《恶臭污染物排放标准》（GB14554-93）表2中排放标准值要求</w:t>
                  </w:r>
                </w:p>
              </w:tc>
            </w:tr>
            <w:tr w14:paraId="64A292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4" w:type="dxa"/>
                  <w:vMerge w:val="continue"/>
                  <w:noWrap w:val="0"/>
                  <w:vAlign w:val="center"/>
                </w:tcPr>
                <w:p w14:paraId="68FFCB5F">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0"/>
                      <w:sz w:val="21"/>
                      <w:szCs w:val="21"/>
                      <w:lang w:eastAsia="zh-CN" w:bidi="en-US"/>
                    </w:rPr>
                  </w:pPr>
                </w:p>
              </w:tc>
              <w:tc>
                <w:tcPr>
                  <w:tcW w:w="1412" w:type="dxa"/>
                  <w:noWrap w:val="0"/>
                  <w:vAlign w:val="center"/>
                </w:tcPr>
                <w:p w14:paraId="2E9871C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0"/>
                      <w:sz w:val="21"/>
                      <w:szCs w:val="21"/>
                      <w:lang w:eastAsia="zh-CN" w:bidi="en-US"/>
                    </w:rPr>
                  </w:pPr>
                  <w:r>
                    <w:rPr>
                      <w:rFonts w:hint="default" w:ascii="Times New Roman" w:hAnsi="Times New Roman" w:eastAsia="宋体" w:cs="Times New Roman"/>
                      <w:color w:val="auto"/>
                      <w:kern w:val="0"/>
                      <w:sz w:val="21"/>
                      <w:szCs w:val="21"/>
                      <w:lang w:eastAsia="zh-CN" w:bidi="en-US"/>
                    </w:rPr>
                    <w:t>厂区内</w:t>
                  </w:r>
                </w:p>
              </w:tc>
              <w:tc>
                <w:tcPr>
                  <w:tcW w:w="1124" w:type="dxa"/>
                  <w:noWrap w:val="0"/>
                  <w:vAlign w:val="center"/>
                </w:tcPr>
                <w:p w14:paraId="29272E31">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0"/>
                      <w:sz w:val="21"/>
                      <w:szCs w:val="21"/>
                      <w:lang w:eastAsia="zh-CN" w:bidi="en-US"/>
                    </w:rPr>
                  </w:pPr>
                  <w:r>
                    <w:rPr>
                      <w:rFonts w:hint="default" w:ascii="Times New Roman" w:hAnsi="Times New Roman" w:eastAsia="宋体" w:cs="Times New Roman"/>
                      <w:color w:val="auto"/>
                      <w:kern w:val="0"/>
                      <w:sz w:val="21"/>
                      <w:szCs w:val="21"/>
                      <w:lang w:eastAsia="zh-CN" w:bidi="en-US"/>
                    </w:rPr>
                    <w:t>非甲烷总烃</w:t>
                  </w:r>
                </w:p>
              </w:tc>
              <w:tc>
                <w:tcPr>
                  <w:tcW w:w="1065" w:type="dxa"/>
                  <w:noWrap w:val="0"/>
                  <w:vAlign w:val="center"/>
                </w:tcPr>
                <w:p w14:paraId="5993AC30">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0"/>
                      <w:sz w:val="21"/>
                      <w:szCs w:val="21"/>
                      <w:lang w:eastAsia="zh-CN" w:bidi="en-US"/>
                    </w:rPr>
                  </w:pPr>
                  <w:r>
                    <w:rPr>
                      <w:rFonts w:hint="default" w:ascii="Times New Roman" w:hAnsi="Times New Roman" w:eastAsia="宋体" w:cs="Times New Roman"/>
                      <w:color w:val="auto"/>
                      <w:kern w:val="0"/>
                      <w:sz w:val="21"/>
                      <w:szCs w:val="21"/>
                      <w:lang w:eastAsia="zh-CN" w:bidi="en-US"/>
                    </w:rPr>
                    <w:t>1次/年</w:t>
                  </w:r>
                </w:p>
              </w:tc>
              <w:tc>
                <w:tcPr>
                  <w:tcW w:w="3911" w:type="dxa"/>
                  <w:noWrap w:val="0"/>
                  <w:vAlign w:val="center"/>
                </w:tcPr>
                <w:p w14:paraId="33643DF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0"/>
                      <w:sz w:val="21"/>
                      <w:szCs w:val="21"/>
                      <w:lang w:eastAsia="zh-CN" w:bidi="en-US"/>
                    </w:rPr>
                  </w:pPr>
                  <w:r>
                    <w:rPr>
                      <w:rFonts w:hint="default" w:ascii="Times New Roman" w:hAnsi="Times New Roman" w:eastAsia="宋体" w:cs="Times New Roman"/>
                      <w:snapToGrid w:val="0"/>
                      <w:color w:val="auto"/>
                      <w:sz w:val="21"/>
                      <w:szCs w:val="21"/>
                      <w:highlight w:val="none"/>
                      <w:lang w:val="en-US" w:eastAsia="zh-CN"/>
                    </w:rPr>
                    <w:t>《工业企业挥发性有机物排放控制标准》（DB13/2322-2025）表2中厂房外设置监控点排放限值</w:t>
                  </w:r>
                  <w:r>
                    <w:rPr>
                      <w:rFonts w:hint="default" w:cs="Times New Roman"/>
                      <w:snapToGrid w:val="0"/>
                      <w:color w:val="auto"/>
                      <w:sz w:val="21"/>
                      <w:szCs w:val="21"/>
                      <w:highlight w:val="none"/>
                      <w:lang w:val="en-US" w:eastAsia="zh-CN"/>
                    </w:rPr>
                    <w:t>、《印刷工业挥发性有机物排放标准》（DB13/6188-2025）表2厂区内挥发性有机物无组织排放限值</w:t>
                  </w:r>
                </w:p>
              </w:tc>
            </w:tr>
            <w:tr w14:paraId="70CFD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704" w:type="dxa"/>
                  <w:vMerge w:val="continue"/>
                  <w:noWrap w:val="0"/>
                  <w:vAlign w:val="center"/>
                </w:tcPr>
                <w:p w14:paraId="014A3431">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0"/>
                      <w:sz w:val="21"/>
                      <w:szCs w:val="21"/>
                      <w:lang w:eastAsia="zh-CN" w:bidi="en-US"/>
                    </w:rPr>
                  </w:pPr>
                </w:p>
              </w:tc>
              <w:tc>
                <w:tcPr>
                  <w:tcW w:w="1412" w:type="dxa"/>
                  <w:vMerge w:val="restart"/>
                  <w:noWrap w:val="0"/>
                  <w:vAlign w:val="center"/>
                </w:tcPr>
                <w:p w14:paraId="385E818F">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0"/>
                      <w:sz w:val="21"/>
                      <w:szCs w:val="21"/>
                      <w:lang w:eastAsia="zh-CN" w:bidi="en-US"/>
                    </w:rPr>
                  </w:pPr>
                  <w:r>
                    <w:rPr>
                      <w:rFonts w:hint="default" w:ascii="Times New Roman" w:hAnsi="Times New Roman" w:eastAsia="宋体" w:cs="Times New Roman"/>
                      <w:color w:val="auto"/>
                      <w:kern w:val="0"/>
                      <w:sz w:val="21"/>
                      <w:szCs w:val="21"/>
                      <w:lang w:eastAsia="zh-CN" w:bidi="en-US"/>
                    </w:rPr>
                    <w:t>厂界</w:t>
                  </w:r>
                </w:p>
              </w:tc>
              <w:tc>
                <w:tcPr>
                  <w:tcW w:w="1124" w:type="dxa"/>
                  <w:noWrap w:val="0"/>
                  <w:vAlign w:val="center"/>
                </w:tcPr>
                <w:p w14:paraId="56DB868A">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0"/>
                      <w:sz w:val="21"/>
                      <w:szCs w:val="21"/>
                      <w:lang w:eastAsia="zh-CN" w:bidi="en-US"/>
                    </w:rPr>
                  </w:pPr>
                  <w:r>
                    <w:rPr>
                      <w:rFonts w:hint="default" w:ascii="Times New Roman" w:hAnsi="Times New Roman" w:eastAsia="宋体" w:cs="Times New Roman"/>
                      <w:color w:val="auto"/>
                      <w:kern w:val="0"/>
                      <w:sz w:val="21"/>
                      <w:szCs w:val="21"/>
                      <w:lang w:eastAsia="zh-CN" w:bidi="en-US"/>
                    </w:rPr>
                    <w:t>非甲烷总烃</w:t>
                  </w:r>
                </w:p>
              </w:tc>
              <w:tc>
                <w:tcPr>
                  <w:tcW w:w="1065" w:type="dxa"/>
                  <w:noWrap w:val="0"/>
                  <w:vAlign w:val="center"/>
                </w:tcPr>
                <w:p w14:paraId="47F0D82F">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0"/>
                      <w:sz w:val="21"/>
                      <w:szCs w:val="21"/>
                      <w:lang w:eastAsia="zh-CN" w:bidi="en-US"/>
                    </w:rPr>
                  </w:pPr>
                  <w:r>
                    <w:rPr>
                      <w:rFonts w:hint="default" w:ascii="Times New Roman" w:hAnsi="Times New Roman" w:eastAsia="宋体" w:cs="Times New Roman"/>
                      <w:color w:val="auto"/>
                      <w:kern w:val="0"/>
                      <w:sz w:val="21"/>
                      <w:szCs w:val="21"/>
                      <w:lang w:eastAsia="zh-CN" w:bidi="en-US"/>
                    </w:rPr>
                    <w:t>1次/年</w:t>
                  </w:r>
                </w:p>
              </w:tc>
              <w:tc>
                <w:tcPr>
                  <w:tcW w:w="3911" w:type="dxa"/>
                  <w:noWrap w:val="0"/>
                  <w:vAlign w:val="center"/>
                </w:tcPr>
                <w:p w14:paraId="519FBCC9">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0"/>
                      <w:sz w:val="21"/>
                      <w:szCs w:val="21"/>
                      <w:lang w:eastAsia="zh-CN" w:bidi="en-US"/>
                    </w:rPr>
                  </w:pPr>
                  <w:r>
                    <w:rPr>
                      <w:rFonts w:hint="default" w:ascii="Times New Roman" w:hAnsi="Times New Roman" w:eastAsia="宋体" w:cs="Times New Roman"/>
                      <w:snapToGrid w:val="0"/>
                      <w:color w:val="auto"/>
                      <w:sz w:val="21"/>
                      <w:szCs w:val="21"/>
                      <w:highlight w:val="none"/>
                      <w:lang w:val="en-US" w:eastAsia="zh-CN"/>
                    </w:rPr>
                    <w:t>《合成树脂工业污染物排放标准》（GB31572-2015，含2024年修改单）表9中企业边界大气污染物浓度限值</w:t>
                  </w:r>
                </w:p>
              </w:tc>
            </w:tr>
            <w:tr w14:paraId="5A0A79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704" w:type="dxa"/>
                  <w:vMerge w:val="continue"/>
                  <w:noWrap w:val="0"/>
                  <w:vAlign w:val="center"/>
                </w:tcPr>
                <w:p w14:paraId="22A826C0">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center"/>
                    <w:textAlignment w:val="auto"/>
                    <w:rPr>
                      <w:rFonts w:hint="default"/>
                    </w:rPr>
                  </w:pPr>
                </w:p>
              </w:tc>
              <w:tc>
                <w:tcPr>
                  <w:tcW w:w="1412" w:type="dxa"/>
                  <w:vMerge w:val="continue"/>
                  <w:noWrap w:val="0"/>
                  <w:vAlign w:val="center"/>
                </w:tcPr>
                <w:p w14:paraId="1EC9F9F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center"/>
                    <w:textAlignment w:val="auto"/>
                    <w:rPr>
                      <w:rFonts w:hint="default"/>
                    </w:rPr>
                  </w:pPr>
                </w:p>
              </w:tc>
              <w:tc>
                <w:tcPr>
                  <w:tcW w:w="1124" w:type="dxa"/>
                  <w:shd w:val="clear" w:color="auto" w:fill="auto"/>
                  <w:noWrap w:val="0"/>
                  <w:vAlign w:val="center"/>
                </w:tcPr>
                <w:p w14:paraId="3C511F81">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0"/>
                      <w:sz w:val="21"/>
                      <w:szCs w:val="21"/>
                      <w:highlight w:val="none"/>
                      <w:lang w:val="en-US" w:eastAsia="zh-CN" w:bidi="en-US"/>
                    </w:rPr>
                  </w:pPr>
                  <w:r>
                    <w:rPr>
                      <w:rFonts w:hint="default" w:ascii="Times New Roman" w:hAnsi="Times New Roman" w:eastAsia="宋体" w:cs="Times New Roman"/>
                      <w:color w:val="auto"/>
                      <w:kern w:val="0"/>
                      <w:sz w:val="21"/>
                      <w:szCs w:val="21"/>
                      <w:highlight w:val="none"/>
                      <w:lang w:eastAsia="zh-CN" w:bidi="en-US"/>
                    </w:rPr>
                    <w:t>臭气浓度</w:t>
                  </w:r>
                </w:p>
              </w:tc>
              <w:tc>
                <w:tcPr>
                  <w:tcW w:w="1065" w:type="dxa"/>
                  <w:shd w:val="clear" w:color="auto" w:fill="auto"/>
                  <w:noWrap w:val="0"/>
                  <w:vAlign w:val="center"/>
                </w:tcPr>
                <w:p w14:paraId="54D97846">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0"/>
                      <w:sz w:val="21"/>
                      <w:szCs w:val="21"/>
                      <w:highlight w:val="none"/>
                      <w:lang w:val="en-US" w:eastAsia="zh-CN" w:bidi="en-US"/>
                    </w:rPr>
                  </w:pPr>
                  <w:r>
                    <w:rPr>
                      <w:rFonts w:hint="default" w:ascii="Times New Roman" w:hAnsi="Times New Roman" w:eastAsia="宋体" w:cs="Times New Roman"/>
                      <w:color w:val="auto"/>
                      <w:kern w:val="0"/>
                      <w:sz w:val="21"/>
                      <w:szCs w:val="21"/>
                      <w:highlight w:val="none"/>
                      <w:lang w:eastAsia="zh-CN" w:bidi="en-US"/>
                    </w:rPr>
                    <w:t>1次/年</w:t>
                  </w:r>
                </w:p>
              </w:tc>
              <w:tc>
                <w:tcPr>
                  <w:tcW w:w="3911" w:type="dxa"/>
                  <w:shd w:val="clear" w:color="auto" w:fill="auto"/>
                  <w:noWrap w:val="0"/>
                  <w:vAlign w:val="center"/>
                </w:tcPr>
                <w:p w14:paraId="0E8ECBEC">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0"/>
                      <w:sz w:val="21"/>
                      <w:szCs w:val="21"/>
                      <w:highlight w:val="none"/>
                      <w:lang w:val="en-US" w:eastAsia="zh-CN" w:bidi="en-US"/>
                    </w:rPr>
                  </w:pPr>
                  <w:r>
                    <w:rPr>
                      <w:rFonts w:hint="default" w:ascii="Times New Roman" w:hAnsi="Times New Roman" w:eastAsia="宋体" w:cs="Times New Roman"/>
                      <w:color w:val="auto"/>
                      <w:kern w:val="0"/>
                      <w:sz w:val="21"/>
                      <w:szCs w:val="21"/>
                      <w:highlight w:val="none"/>
                      <w:lang w:eastAsia="zh-CN" w:bidi="en-US"/>
                    </w:rPr>
                    <w:t>《恶臭污染物排放标准》（GB14554-93）表1中二级新扩改建标准要求</w:t>
                  </w:r>
                </w:p>
              </w:tc>
            </w:tr>
            <w:tr w14:paraId="2B378D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8216" w:type="dxa"/>
                  <w:gridSpan w:val="5"/>
                  <w:noWrap w:val="0"/>
                  <w:vAlign w:val="center"/>
                </w:tcPr>
                <w:p w14:paraId="059CDECA">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firstLine="632" w:firstLineChars="300"/>
                    <w:jc w:val="both"/>
                    <w:textAlignment w:val="auto"/>
                    <w:rPr>
                      <w:rFonts w:hint="default" w:ascii="Times New Roman" w:hAnsi="Times New Roman" w:eastAsia="宋体" w:cs="Times New Roman"/>
                      <w:color w:val="auto"/>
                      <w:kern w:val="0"/>
                      <w:sz w:val="21"/>
                      <w:szCs w:val="21"/>
                      <w:lang w:eastAsia="zh-CN" w:bidi="en-US"/>
                    </w:rPr>
                  </w:pPr>
                  <w:r>
                    <w:rPr>
                      <w:rFonts w:hint="default" w:ascii="Times New Roman" w:hAnsi="Times New Roman" w:eastAsia="宋体" w:cs="Times New Roman"/>
                      <w:b/>
                      <w:bCs/>
                      <w:color w:val="auto"/>
                      <w:kern w:val="0"/>
                      <w:sz w:val="21"/>
                      <w:szCs w:val="21"/>
                      <w:lang w:eastAsia="zh-CN" w:bidi="en-US"/>
                    </w:rPr>
                    <w:t>备注：</w:t>
                  </w:r>
                  <w:r>
                    <w:rPr>
                      <w:rFonts w:hint="default" w:cs="Times New Roman"/>
                      <w:b/>
                      <w:bCs/>
                      <w:color w:val="auto"/>
                      <w:kern w:val="0"/>
                      <w:sz w:val="21"/>
                      <w:szCs w:val="21"/>
                      <w:vertAlign w:val="superscript"/>
                      <w:lang w:val="en-US" w:eastAsia="zh-CN" w:bidi="en-US"/>
                    </w:rPr>
                    <w:t>*</w:t>
                  </w:r>
                  <w:r>
                    <w:rPr>
                      <w:rFonts w:hint="default" w:ascii="Times New Roman" w:hAnsi="Times New Roman" w:eastAsia="宋体" w:cs="Times New Roman"/>
                      <w:b/>
                      <w:bCs/>
                      <w:color w:val="auto"/>
                      <w:kern w:val="0"/>
                      <w:sz w:val="21"/>
                      <w:szCs w:val="21"/>
                      <w:highlight w:val="none"/>
                      <w:lang w:val="en-US" w:eastAsia="zh-CN" w:bidi="ar"/>
                    </w:rPr>
                    <w:t>待国家污染物监测方法标准发布后实施</w:t>
                  </w:r>
                </w:p>
              </w:tc>
            </w:tr>
          </w:tbl>
          <w:p w14:paraId="0DAE5E79">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textAlignment w:val="auto"/>
              <w:rPr>
                <w:rFonts w:hint="default" w:ascii="Times New Roman" w:hAnsi="Times New Roman" w:cs="Times New Roman"/>
                <w:b/>
                <w:sz w:val="24"/>
              </w:rPr>
            </w:pPr>
            <w:r>
              <w:rPr>
                <w:rFonts w:hint="default" w:ascii="Times New Roman" w:hAnsi="Times New Roman" w:cs="Times New Roman"/>
                <w:b/>
                <w:sz w:val="24"/>
              </w:rPr>
              <w:t>2、废水</w:t>
            </w:r>
          </w:p>
          <w:p w14:paraId="5F7570F1">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sz w:val="24"/>
                <w:szCs w:val="22"/>
                <w:lang w:val="en-GB" w:eastAsia="zh-CN"/>
              </w:rPr>
            </w:pPr>
            <w:r>
              <w:rPr>
                <w:rFonts w:hint="default" w:ascii="Times New Roman" w:hAnsi="Times New Roman" w:cs="Times New Roman"/>
                <w:sz w:val="24"/>
                <w:szCs w:val="22"/>
                <w:lang w:val="en-US" w:eastAsia="zh-CN"/>
              </w:rPr>
              <w:t>本项目</w:t>
            </w:r>
            <w:r>
              <w:rPr>
                <w:rFonts w:hint="default" w:cs="Times New Roman"/>
                <w:sz w:val="24"/>
                <w:szCs w:val="22"/>
                <w:lang w:val="en-US" w:eastAsia="zh-CN"/>
              </w:rPr>
              <w:t>水性油墨配制用纯水全部挥发不</w:t>
            </w:r>
            <w:r>
              <w:rPr>
                <w:rFonts w:hint="default" w:ascii="Times New Roman" w:hAnsi="Times New Roman" w:cs="Times New Roman"/>
                <w:sz w:val="24"/>
                <w:szCs w:val="22"/>
                <w:lang w:val="en-US" w:eastAsia="zh-CN"/>
              </w:rPr>
              <w:t>外排</w:t>
            </w:r>
            <w:r>
              <w:rPr>
                <w:rFonts w:hint="default" w:cs="Times New Roman"/>
                <w:sz w:val="24"/>
                <w:szCs w:val="22"/>
                <w:lang w:val="en-US" w:eastAsia="zh-CN"/>
              </w:rPr>
              <w:t>；</w:t>
            </w:r>
            <w:r>
              <w:rPr>
                <w:rFonts w:hint="default" w:ascii="Times New Roman" w:hAnsi="Times New Roman" w:cs="Times New Roman"/>
                <w:sz w:val="24"/>
                <w:szCs w:val="22"/>
                <w:lang w:val="en-US" w:eastAsia="zh-CN"/>
              </w:rPr>
              <w:t>洁净车间劳动人员由现有劳动人员调剂，无新增劳动定员，无新增生活污水，全厂无新增废水外排</w:t>
            </w:r>
            <w:r>
              <w:rPr>
                <w:rFonts w:hint="default" w:ascii="Times New Roman" w:hAnsi="Times New Roman" w:eastAsia="宋体" w:cs="Times New Roman"/>
                <w:sz w:val="24"/>
                <w:szCs w:val="22"/>
                <w:lang w:val="en-US" w:eastAsia="zh-CN"/>
              </w:rPr>
              <w:t>。</w:t>
            </w:r>
          </w:p>
          <w:p w14:paraId="4CEE18E1">
            <w:pPr>
              <w:keepNext w:val="0"/>
              <w:keepLines w:val="0"/>
              <w:suppressLineNumbers w:val="0"/>
              <w:spacing w:before="0" w:beforeAutospacing="0" w:after="0" w:afterAutospacing="0" w:line="360" w:lineRule="auto"/>
              <w:ind w:left="0" w:right="0"/>
              <w:outlineLvl w:val="2"/>
              <w:rPr>
                <w:rFonts w:hint="default" w:ascii="Times New Roman" w:hAnsi="Times New Roman" w:cs="Times New Roman"/>
                <w:b/>
                <w:bCs/>
                <w:sz w:val="24"/>
                <w:szCs w:val="22"/>
              </w:rPr>
            </w:pPr>
            <w:r>
              <w:rPr>
                <w:rFonts w:hint="default" w:ascii="Times New Roman" w:hAnsi="Times New Roman" w:cs="Times New Roman"/>
                <w:b/>
                <w:bCs/>
                <w:sz w:val="24"/>
                <w:szCs w:val="22"/>
              </w:rPr>
              <w:t>3、噪声</w:t>
            </w:r>
          </w:p>
          <w:p w14:paraId="19100884">
            <w:pPr>
              <w:keepNext w:val="0"/>
              <w:keepLines w:val="0"/>
              <w:pageBreakBefore w:val="0"/>
              <w:suppressLineNumbers w:val="0"/>
              <w:kinsoku/>
              <w:wordWrap/>
              <w:overflowPunct/>
              <w:topLinePunct w:val="0"/>
              <w:autoSpaceDE/>
              <w:autoSpaceDN/>
              <w:bidi w:val="0"/>
              <w:spacing w:before="0" w:beforeAutospacing="0" w:after="0" w:afterAutospacing="0" w:line="360" w:lineRule="auto"/>
              <w:ind w:left="0" w:right="0" w:firstLine="480" w:firstLineChars="200"/>
              <w:textAlignment w:val="auto"/>
              <w:rPr>
                <w:rFonts w:hint="default" w:ascii="Times New Roman" w:hAnsi="Times New Roman" w:cs="Times New Roman"/>
                <w:color w:val="auto"/>
                <w:sz w:val="24"/>
              </w:rPr>
            </w:pPr>
            <w:r>
              <w:rPr>
                <w:rFonts w:hint="eastAsia" w:cs="Times New Roman"/>
                <w:color w:val="auto"/>
                <w:sz w:val="24"/>
                <w:lang w:eastAsia="zh-CN"/>
              </w:rPr>
              <w:t>本</w:t>
            </w:r>
            <w:r>
              <w:rPr>
                <w:rFonts w:hint="default" w:ascii="Times New Roman" w:hAnsi="Times New Roman" w:cs="Times New Roman"/>
                <w:color w:val="auto"/>
                <w:sz w:val="24"/>
              </w:rPr>
              <w:t>项目设备运行产生噪声，</w:t>
            </w:r>
            <w:r>
              <w:rPr>
                <w:rFonts w:hint="default" w:ascii="Times New Roman" w:hAnsi="Times New Roman" w:cs="Times New Roman"/>
                <w:bCs/>
                <w:color w:val="auto"/>
                <w:kern w:val="21"/>
                <w:sz w:val="24"/>
              </w:rPr>
              <w:t>噪声值在</w:t>
            </w:r>
            <w:r>
              <w:rPr>
                <w:rFonts w:hint="default" w:ascii="Times New Roman" w:hAnsi="Times New Roman" w:cs="Times New Roman"/>
                <w:bCs/>
                <w:color w:val="auto"/>
                <w:kern w:val="21"/>
                <w:sz w:val="24"/>
                <w:lang w:val="en-US" w:eastAsia="zh-CN"/>
              </w:rPr>
              <w:t>65</w:t>
            </w:r>
            <w:r>
              <w:rPr>
                <w:rFonts w:hint="default" w:ascii="Times New Roman" w:hAnsi="Times New Roman" w:cs="Times New Roman"/>
                <w:bCs/>
                <w:color w:val="auto"/>
                <w:kern w:val="21"/>
                <w:sz w:val="24"/>
              </w:rPr>
              <w:t>～</w:t>
            </w:r>
            <w:r>
              <w:rPr>
                <w:rFonts w:hint="default" w:cs="Times New Roman"/>
                <w:bCs/>
                <w:color w:val="auto"/>
                <w:kern w:val="21"/>
                <w:sz w:val="24"/>
                <w:lang w:val="en-US" w:eastAsia="zh-CN"/>
              </w:rPr>
              <w:t>80</w:t>
            </w:r>
            <w:r>
              <w:rPr>
                <w:rFonts w:hint="default" w:ascii="Times New Roman" w:hAnsi="Times New Roman" w:cs="Times New Roman"/>
                <w:bCs/>
                <w:color w:val="auto"/>
                <w:kern w:val="21"/>
                <w:sz w:val="24"/>
              </w:rPr>
              <w:t>dB(A)之间。</w:t>
            </w:r>
            <w:r>
              <w:rPr>
                <w:rFonts w:hint="default" w:ascii="Times New Roman" w:hAnsi="Times New Roman" w:cs="Times New Roman"/>
                <w:bCs/>
                <w:color w:val="auto"/>
                <w:kern w:val="21"/>
                <w:sz w:val="24"/>
                <w:lang w:val="en-US" w:eastAsia="zh-CN"/>
              </w:rPr>
              <w:t>项目生产设备</w:t>
            </w:r>
            <w:r>
              <w:rPr>
                <w:rFonts w:hint="default" w:cs="Times New Roman"/>
                <w:bCs/>
                <w:color w:val="auto"/>
                <w:kern w:val="21"/>
                <w:sz w:val="24"/>
                <w:lang w:val="en-US" w:eastAsia="zh-CN"/>
              </w:rPr>
              <w:t>及</w:t>
            </w:r>
            <w:r>
              <w:rPr>
                <w:rFonts w:hint="default" w:ascii="Times New Roman" w:hAnsi="Times New Roman" w:cs="Times New Roman"/>
                <w:bCs/>
                <w:color w:val="auto"/>
                <w:kern w:val="21"/>
                <w:sz w:val="24"/>
                <w:lang w:val="en-US" w:eastAsia="zh-CN"/>
              </w:rPr>
              <w:t>废气治理设施风机均位于室内，</w:t>
            </w:r>
            <w:r>
              <w:rPr>
                <w:rFonts w:hint="default" w:cs="Times New Roman"/>
                <w:bCs/>
                <w:color w:val="auto"/>
                <w:kern w:val="21"/>
                <w:sz w:val="24"/>
                <w:lang w:val="en-US" w:eastAsia="zh-CN"/>
              </w:rPr>
              <w:t>生产设施</w:t>
            </w:r>
            <w:r>
              <w:rPr>
                <w:rFonts w:hint="default" w:ascii="Times New Roman" w:hAnsi="Times New Roman" w:cs="Times New Roman"/>
                <w:color w:val="auto"/>
                <w:sz w:val="24"/>
              </w:rPr>
              <w:t>采用厂房隔声、合理布局</w:t>
            </w:r>
            <w:r>
              <w:rPr>
                <w:rFonts w:hint="default" w:ascii="Times New Roman" w:hAnsi="Times New Roman" w:cs="Times New Roman"/>
                <w:color w:val="auto"/>
                <w:sz w:val="24"/>
                <w:lang w:eastAsia="zh-CN"/>
              </w:rPr>
              <w:t>、</w:t>
            </w:r>
            <w:r>
              <w:rPr>
                <w:rFonts w:hint="default" w:ascii="Times New Roman" w:hAnsi="Times New Roman" w:cs="Times New Roman"/>
                <w:color w:val="auto"/>
                <w:sz w:val="24"/>
              </w:rPr>
              <w:t>采用低噪声设备，基础减振等措施，</w:t>
            </w:r>
            <w:r>
              <w:rPr>
                <w:rFonts w:hint="default"/>
                <w:color w:val="auto"/>
                <w:sz w:val="24"/>
                <w:highlight w:val="none"/>
                <w:lang w:eastAsia="zh-CN"/>
              </w:rPr>
              <w:t>废气治理设施风机采取加装隔音罩，基础减震、</w:t>
            </w:r>
            <w:r>
              <w:rPr>
                <w:rFonts w:hint="default" w:ascii="Times New Roman" w:hAnsi="Times New Roman" w:cs="Times New Roman"/>
                <w:color w:val="auto"/>
                <w:sz w:val="24"/>
              </w:rPr>
              <w:t>厂房隔声</w:t>
            </w:r>
            <w:r>
              <w:rPr>
                <w:rFonts w:hint="default"/>
                <w:color w:val="auto"/>
                <w:sz w:val="24"/>
                <w:highlight w:val="none"/>
                <w:lang w:eastAsia="zh-CN"/>
              </w:rPr>
              <w:t>等措施</w:t>
            </w:r>
            <w:r>
              <w:rPr>
                <w:rFonts w:hint="default"/>
                <w:color w:val="auto"/>
                <w:sz w:val="24"/>
                <w:highlight w:val="none"/>
              </w:rPr>
              <w:t>，</w:t>
            </w:r>
            <w:r>
              <w:rPr>
                <w:rFonts w:hint="default" w:ascii="Times New Roman" w:hAnsi="Times New Roman" w:cs="Times New Roman"/>
                <w:color w:val="auto"/>
                <w:sz w:val="24"/>
              </w:rPr>
              <w:t>控制噪声对周围环境的影响，降噪效果可达</w:t>
            </w:r>
            <w:r>
              <w:rPr>
                <w:rFonts w:hint="default" w:ascii="Times New Roman" w:hAnsi="Times New Roman" w:cs="Times New Roman"/>
                <w:color w:val="auto"/>
                <w:sz w:val="24"/>
                <w:lang w:val="en-US" w:eastAsia="zh-CN"/>
              </w:rPr>
              <w:t>2</w:t>
            </w:r>
            <w:r>
              <w:rPr>
                <w:rFonts w:hint="default" w:ascii="Times New Roman" w:hAnsi="Times New Roman" w:cs="Times New Roman"/>
                <w:color w:val="auto"/>
                <w:sz w:val="24"/>
              </w:rPr>
              <w:t>0</w:t>
            </w:r>
            <w:r>
              <w:rPr>
                <w:rFonts w:hint="default" w:cs="Times New Roman"/>
                <w:color w:val="auto"/>
                <w:sz w:val="24"/>
                <w:lang w:val="en-US" w:eastAsia="zh-CN"/>
              </w:rPr>
              <w:t>~30</w:t>
            </w:r>
            <w:r>
              <w:rPr>
                <w:rFonts w:hint="default" w:ascii="Times New Roman" w:hAnsi="Times New Roman" w:cs="Times New Roman"/>
                <w:color w:val="auto"/>
                <w:sz w:val="24"/>
              </w:rPr>
              <w:t>dB（A）。</w:t>
            </w:r>
          </w:p>
          <w:p w14:paraId="2BE7F991">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为了分析本项目产噪设备对周围声环境的影响，本项目以四周厂界作为评价点，预测分析本项目噪声源对四周厂界的声级贡献值，分析说明本项目噪声源对厂界声环境的影响。</w:t>
            </w:r>
          </w:p>
          <w:p w14:paraId="2320CA67">
            <w:pPr>
              <w:keepNext w:val="0"/>
              <w:keepLines w:val="0"/>
              <w:pageBreakBefore w:val="0"/>
              <w:suppressLineNumbers w:val="0"/>
              <w:kinsoku/>
              <w:wordWrap/>
              <w:overflowPunct/>
              <w:topLinePunct w:val="0"/>
              <w:autoSpaceDE/>
              <w:autoSpaceDN/>
              <w:bidi w:val="0"/>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（1）噪声源参数的确定</w:t>
            </w:r>
          </w:p>
          <w:p w14:paraId="6BABF273">
            <w:pPr>
              <w:keepNext w:val="0"/>
              <w:keepLines w:val="0"/>
              <w:pageBreakBefore w:val="0"/>
              <w:suppressLineNumbers w:val="0"/>
              <w:kinsoku/>
              <w:wordWrap/>
              <w:overflowPunct/>
              <w:topLinePunct w:val="0"/>
              <w:autoSpaceDE/>
              <w:autoSpaceDN/>
              <w:bidi w:val="0"/>
              <w:spacing w:before="0" w:beforeAutospacing="0" w:after="0" w:afterAutospacing="0" w:line="360" w:lineRule="auto"/>
              <w:ind w:left="0" w:right="0" w:firstLine="480" w:firstLineChars="200"/>
              <w:textAlignment w:val="auto"/>
              <w:rPr>
                <w:rFonts w:hint="default" w:ascii="Times New Roman" w:hAnsi="Times New Roman" w:cs="Times New Roman"/>
                <w:lang w:val="en-US" w:eastAsia="zh-CN"/>
              </w:rPr>
            </w:pPr>
            <w:r>
              <w:rPr>
                <w:rFonts w:hint="default" w:ascii="Times New Roman" w:hAnsi="Times New Roman" w:eastAsia="宋体" w:cs="Times New Roman"/>
                <w:color w:val="auto"/>
                <w:sz w:val="24"/>
                <w:lang w:val="en-US" w:eastAsia="zh-CN"/>
              </w:rPr>
              <w:t>以生产车间西南角为坐标原点（0，0，0），具体设备、声源强度及治理效果见下表：</w:t>
            </w:r>
          </w:p>
          <w:p w14:paraId="662AAB6B">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Autospacing="0" w:line="240" w:lineRule="auto"/>
              <w:ind w:left="0" w:right="0" w:firstLine="422" w:firstLineChars="200"/>
              <w:jc w:val="center"/>
              <w:textAlignment w:val="auto"/>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bCs/>
                <w:color w:val="000000"/>
                <w:kern w:val="0"/>
                <w:sz w:val="21"/>
                <w:szCs w:val="21"/>
                <w:lang w:val="en-US" w:eastAsia="zh-CN" w:bidi="ar-SA"/>
              </w:rPr>
              <w:t>本项目室内噪声产生治理排放情况一览表</w:t>
            </w:r>
          </w:p>
          <w:tbl>
            <w:tblPr>
              <w:tblStyle w:val="38"/>
              <w:tblW w:w="82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8"/>
              <w:gridCol w:w="1046"/>
              <w:gridCol w:w="527"/>
              <w:gridCol w:w="780"/>
              <w:gridCol w:w="660"/>
              <w:gridCol w:w="585"/>
              <w:gridCol w:w="480"/>
              <w:gridCol w:w="619"/>
              <w:gridCol w:w="512"/>
              <w:gridCol w:w="477"/>
              <w:gridCol w:w="529"/>
              <w:gridCol w:w="460"/>
              <w:gridCol w:w="541"/>
              <w:gridCol w:w="691"/>
            </w:tblGrid>
            <w:tr w14:paraId="09D0EF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348" w:type="dxa"/>
                  <w:vMerge w:val="restart"/>
                  <w:noWrap w:val="0"/>
                  <w:vAlign w:val="center"/>
                </w:tcPr>
                <w:p w14:paraId="189D66AE">
                  <w:pPr>
                    <w:keepNext w:val="0"/>
                    <w:keepLines w:val="0"/>
                    <w:suppressLineNumbers w:val="0"/>
                    <w:autoSpaceDE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建筑物名称</w:t>
                  </w:r>
                </w:p>
              </w:tc>
              <w:tc>
                <w:tcPr>
                  <w:tcW w:w="1046" w:type="dxa"/>
                  <w:vMerge w:val="restart"/>
                  <w:noWrap w:val="0"/>
                  <w:vAlign w:val="center"/>
                </w:tcPr>
                <w:p w14:paraId="7E93C65B">
                  <w:pPr>
                    <w:keepNext w:val="0"/>
                    <w:keepLines w:val="0"/>
                    <w:suppressLineNumbers w:val="0"/>
                    <w:autoSpaceDE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声源名称</w:t>
                  </w:r>
                </w:p>
              </w:tc>
              <w:tc>
                <w:tcPr>
                  <w:tcW w:w="527" w:type="dxa"/>
                  <w:vMerge w:val="restart"/>
                  <w:noWrap w:val="0"/>
                  <w:vAlign w:val="center"/>
                </w:tcPr>
                <w:p w14:paraId="6B6DAE65">
                  <w:pPr>
                    <w:keepNext w:val="0"/>
                    <w:keepLines w:val="0"/>
                    <w:suppressLineNumbers w:val="0"/>
                    <w:autoSpaceDE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lang w:val="en-US" w:eastAsia="zh-CN"/>
                    </w:rPr>
                    <w:t>声源</w:t>
                  </w:r>
                  <w:r>
                    <w:rPr>
                      <w:rFonts w:hint="default" w:ascii="Times New Roman" w:hAnsi="Times New Roman" w:cs="Times New Roman"/>
                      <w:color w:val="auto"/>
                      <w:szCs w:val="21"/>
                      <w:highlight w:val="none"/>
                    </w:rPr>
                    <w:t>源强</w:t>
                  </w:r>
                </w:p>
              </w:tc>
              <w:tc>
                <w:tcPr>
                  <w:tcW w:w="780" w:type="dxa"/>
                  <w:vMerge w:val="restart"/>
                  <w:noWrap w:val="0"/>
                  <w:vAlign w:val="center"/>
                </w:tcPr>
                <w:p w14:paraId="6AE4C915">
                  <w:pPr>
                    <w:keepNext w:val="0"/>
                    <w:keepLines w:val="0"/>
                    <w:suppressLineNumbers w:val="0"/>
                    <w:autoSpaceDE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声源控制措施</w:t>
                  </w:r>
                </w:p>
              </w:tc>
              <w:tc>
                <w:tcPr>
                  <w:tcW w:w="1725" w:type="dxa"/>
                  <w:gridSpan w:val="3"/>
                  <w:noWrap w:val="0"/>
                  <w:vAlign w:val="center"/>
                </w:tcPr>
                <w:p w14:paraId="058E8310">
                  <w:pPr>
                    <w:keepNext w:val="0"/>
                    <w:keepLines w:val="0"/>
                    <w:suppressLineNumbers w:val="0"/>
                    <w:autoSpaceDE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相对坐标位置/m</w:t>
                  </w:r>
                </w:p>
              </w:tc>
              <w:tc>
                <w:tcPr>
                  <w:tcW w:w="619" w:type="dxa"/>
                  <w:vMerge w:val="restart"/>
                  <w:noWrap w:val="0"/>
                  <w:vAlign w:val="center"/>
                </w:tcPr>
                <w:p w14:paraId="4DC8D132">
                  <w:pPr>
                    <w:keepNext w:val="0"/>
                    <w:keepLines w:val="0"/>
                    <w:suppressLineNumbers w:val="0"/>
                    <w:autoSpaceDE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lang w:val="en-US" w:eastAsia="zh-CN"/>
                    </w:rPr>
                    <w:t>室内边界</w:t>
                  </w:r>
                  <w:r>
                    <w:rPr>
                      <w:rFonts w:hint="default" w:ascii="Times New Roman" w:hAnsi="Times New Roman" w:cs="Times New Roman"/>
                      <w:color w:val="auto"/>
                      <w:szCs w:val="21"/>
                      <w:highlight w:val="none"/>
                    </w:rPr>
                    <w:t>距离/m</w:t>
                  </w:r>
                </w:p>
              </w:tc>
              <w:tc>
                <w:tcPr>
                  <w:tcW w:w="512" w:type="dxa"/>
                  <w:vMerge w:val="restart"/>
                  <w:noWrap w:val="0"/>
                  <w:vAlign w:val="center"/>
                </w:tcPr>
                <w:p w14:paraId="39C71D2D">
                  <w:pPr>
                    <w:keepNext w:val="0"/>
                    <w:keepLines w:val="0"/>
                    <w:suppressLineNumbers w:val="0"/>
                    <w:autoSpaceDE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室内边界声级</w:t>
                  </w:r>
                </w:p>
              </w:tc>
              <w:tc>
                <w:tcPr>
                  <w:tcW w:w="477" w:type="dxa"/>
                  <w:vMerge w:val="restart"/>
                  <w:noWrap w:val="0"/>
                  <w:vAlign w:val="center"/>
                </w:tcPr>
                <w:p w14:paraId="2915FE2A">
                  <w:pPr>
                    <w:keepNext w:val="0"/>
                    <w:keepLines w:val="0"/>
                    <w:suppressLineNumbers w:val="0"/>
                    <w:autoSpaceDE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运行时段</w:t>
                  </w:r>
                </w:p>
              </w:tc>
              <w:tc>
                <w:tcPr>
                  <w:tcW w:w="529" w:type="dxa"/>
                  <w:vMerge w:val="restart"/>
                  <w:noWrap w:val="0"/>
                  <w:vAlign w:val="center"/>
                </w:tcPr>
                <w:p w14:paraId="315DF015">
                  <w:pPr>
                    <w:keepNext w:val="0"/>
                    <w:keepLines w:val="0"/>
                    <w:suppressLineNumbers w:val="0"/>
                    <w:autoSpaceDE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建筑物插入损失</w:t>
                  </w:r>
                </w:p>
              </w:tc>
              <w:tc>
                <w:tcPr>
                  <w:tcW w:w="1001" w:type="dxa"/>
                  <w:gridSpan w:val="2"/>
                  <w:noWrap w:val="0"/>
                  <w:vAlign w:val="center"/>
                </w:tcPr>
                <w:p w14:paraId="6907F17C">
                  <w:pPr>
                    <w:keepNext w:val="0"/>
                    <w:keepLines w:val="0"/>
                    <w:suppressLineNumbers w:val="0"/>
                    <w:autoSpaceDE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建筑外噪声</w:t>
                  </w:r>
                </w:p>
              </w:tc>
              <w:tc>
                <w:tcPr>
                  <w:tcW w:w="691" w:type="dxa"/>
                  <w:vMerge w:val="restart"/>
                  <w:noWrap w:val="0"/>
                  <w:vAlign w:val="center"/>
                </w:tcPr>
                <w:p w14:paraId="62093C69">
                  <w:pPr>
                    <w:keepNext w:val="0"/>
                    <w:keepLines w:val="0"/>
                    <w:suppressLineNumbers w:val="0"/>
                    <w:autoSpaceDE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运行时间h/a</w:t>
                  </w:r>
                </w:p>
              </w:tc>
            </w:tr>
            <w:tr w14:paraId="23E33C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jc w:val="center"/>
              </w:trPr>
              <w:tc>
                <w:tcPr>
                  <w:tcW w:w="348" w:type="dxa"/>
                  <w:vMerge w:val="continue"/>
                  <w:noWrap w:val="0"/>
                  <w:vAlign w:val="center"/>
                </w:tcPr>
                <w:p w14:paraId="13654F21">
                  <w:pPr>
                    <w:keepNext w:val="0"/>
                    <w:keepLines w:val="0"/>
                    <w:suppressLineNumbers w:val="0"/>
                    <w:autoSpaceDE w:val="0"/>
                    <w:adjustRightInd w:val="0"/>
                    <w:snapToGrid w:val="0"/>
                    <w:spacing w:before="0" w:beforeAutospacing="0" w:after="0" w:afterAutospacing="0"/>
                    <w:ind w:left="0" w:right="0"/>
                    <w:jc w:val="center"/>
                    <w:rPr>
                      <w:rFonts w:hint="default" w:ascii="Times New Roman" w:hAnsi="Times New Roman" w:cs="Times New Roman"/>
                      <w:color w:val="auto"/>
                      <w:highlight w:val="none"/>
                    </w:rPr>
                  </w:pPr>
                </w:p>
              </w:tc>
              <w:tc>
                <w:tcPr>
                  <w:tcW w:w="1046" w:type="dxa"/>
                  <w:vMerge w:val="continue"/>
                  <w:noWrap w:val="0"/>
                  <w:vAlign w:val="center"/>
                </w:tcPr>
                <w:p w14:paraId="1D52A914">
                  <w:pPr>
                    <w:keepNext w:val="0"/>
                    <w:keepLines w:val="0"/>
                    <w:suppressLineNumbers w:val="0"/>
                    <w:autoSpaceDE w:val="0"/>
                    <w:adjustRightInd w:val="0"/>
                    <w:snapToGrid w:val="0"/>
                    <w:spacing w:before="0" w:beforeAutospacing="0" w:after="0" w:afterAutospacing="0"/>
                    <w:ind w:left="0" w:right="0"/>
                    <w:jc w:val="center"/>
                    <w:rPr>
                      <w:rFonts w:hint="default" w:ascii="Times New Roman" w:hAnsi="Times New Roman" w:cs="Times New Roman"/>
                      <w:color w:val="auto"/>
                      <w:highlight w:val="none"/>
                    </w:rPr>
                  </w:pPr>
                </w:p>
              </w:tc>
              <w:tc>
                <w:tcPr>
                  <w:tcW w:w="527" w:type="dxa"/>
                  <w:vMerge w:val="continue"/>
                  <w:noWrap w:val="0"/>
                  <w:vAlign w:val="center"/>
                </w:tcPr>
                <w:p w14:paraId="29FCB045">
                  <w:pPr>
                    <w:keepNext w:val="0"/>
                    <w:keepLines w:val="0"/>
                    <w:suppressLineNumbers w:val="0"/>
                    <w:autoSpaceDE w:val="0"/>
                    <w:adjustRightInd w:val="0"/>
                    <w:snapToGrid w:val="0"/>
                    <w:spacing w:before="0" w:beforeAutospacing="0" w:after="0" w:afterAutospacing="0"/>
                    <w:ind w:left="0" w:right="0"/>
                    <w:jc w:val="center"/>
                    <w:rPr>
                      <w:rFonts w:hint="default" w:ascii="Times New Roman" w:hAnsi="Times New Roman" w:cs="Times New Roman"/>
                      <w:color w:val="auto"/>
                      <w:highlight w:val="none"/>
                    </w:rPr>
                  </w:pPr>
                </w:p>
              </w:tc>
              <w:tc>
                <w:tcPr>
                  <w:tcW w:w="780" w:type="dxa"/>
                  <w:vMerge w:val="continue"/>
                  <w:noWrap w:val="0"/>
                  <w:vAlign w:val="center"/>
                </w:tcPr>
                <w:p w14:paraId="5AB73869">
                  <w:pPr>
                    <w:keepNext w:val="0"/>
                    <w:keepLines w:val="0"/>
                    <w:suppressLineNumbers w:val="0"/>
                    <w:autoSpaceDE w:val="0"/>
                    <w:adjustRightInd w:val="0"/>
                    <w:snapToGrid w:val="0"/>
                    <w:spacing w:before="0" w:beforeAutospacing="0" w:after="0" w:afterAutospacing="0"/>
                    <w:ind w:left="0" w:right="0"/>
                    <w:jc w:val="center"/>
                    <w:rPr>
                      <w:rFonts w:hint="default" w:ascii="Times New Roman" w:hAnsi="Times New Roman" w:cs="Times New Roman"/>
                      <w:color w:val="auto"/>
                      <w:highlight w:val="none"/>
                    </w:rPr>
                  </w:pPr>
                </w:p>
              </w:tc>
              <w:tc>
                <w:tcPr>
                  <w:tcW w:w="660" w:type="dxa"/>
                  <w:noWrap w:val="0"/>
                  <w:vAlign w:val="center"/>
                </w:tcPr>
                <w:p w14:paraId="57C67164">
                  <w:pPr>
                    <w:keepNext w:val="0"/>
                    <w:keepLines w:val="0"/>
                    <w:suppressLineNumbers w:val="0"/>
                    <w:autoSpaceDE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lang w:val="en-US" w:eastAsia="zh-CN"/>
                    </w:rPr>
                    <w:t>X</w:t>
                  </w:r>
                </w:p>
              </w:tc>
              <w:tc>
                <w:tcPr>
                  <w:tcW w:w="585" w:type="dxa"/>
                  <w:noWrap w:val="0"/>
                  <w:vAlign w:val="center"/>
                </w:tcPr>
                <w:p w14:paraId="5A94ACBF">
                  <w:pPr>
                    <w:keepNext w:val="0"/>
                    <w:keepLines w:val="0"/>
                    <w:suppressLineNumbers w:val="0"/>
                    <w:autoSpaceDE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lang w:val="en-US" w:eastAsia="zh-CN"/>
                    </w:rPr>
                    <w:t>Y</w:t>
                  </w:r>
                </w:p>
              </w:tc>
              <w:tc>
                <w:tcPr>
                  <w:tcW w:w="480" w:type="dxa"/>
                  <w:noWrap w:val="0"/>
                  <w:vAlign w:val="center"/>
                </w:tcPr>
                <w:p w14:paraId="263E1BE6">
                  <w:pPr>
                    <w:keepNext w:val="0"/>
                    <w:keepLines w:val="0"/>
                    <w:suppressLineNumbers w:val="0"/>
                    <w:autoSpaceDE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lang w:val="en-US" w:eastAsia="zh-CN"/>
                    </w:rPr>
                    <w:t>Z</w:t>
                  </w:r>
                </w:p>
              </w:tc>
              <w:tc>
                <w:tcPr>
                  <w:tcW w:w="619" w:type="dxa"/>
                  <w:vMerge w:val="continue"/>
                  <w:noWrap w:val="0"/>
                  <w:vAlign w:val="center"/>
                </w:tcPr>
                <w:p w14:paraId="14034918">
                  <w:pPr>
                    <w:keepNext w:val="0"/>
                    <w:keepLines w:val="0"/>
                    <w:suppressLineNumbers w:val="0"/>
                    <w:autoSpaceDE w:val="0"/>
                    <w:adjustRightInd w:val="0"/>
                    <w:snapToGrid w:val="0"/>
                    <w:spacing w:before="0" w:beforeAutospacing="0" w:after="0" w:afterAutospacing="0"/>
                    <w:ind w:left="0" w:right="0"/>
                    <w:jc w:val="center"/>
                    <w:rPr>
                      <w:rFonts w:hint="default" w:ascii="Times New Roman" w:hAnsi="Times New Roman" w:cs="Times New Roman"/>
                      <w:color w:val="auto"/>
                      <w:highlight w:val="none"/>
                    </w:rPr>
                  </w:pPr>
                </w:p>
              </w:tc>
              <w:tc>
                <w:tcPr>
                  <w:tcW w:w="512" w:type="dxa"/>
                  <w:vMerge w:val="continue"/>
                  <w:noWrap w:val="0"/>
                  <w:vAlign w:val="center"/>
                </w:tcPr>
                <w:p w14:paraId="03BE2CA2">
                  <w:pPr>
                    <w:keepNext w:val="0"/>
                    <w:keepLines w:val="0"/>
                    <w:suppressLineNumbers w:val="0"/>
                    <w:autoSpaceDE w:val="0"/>
                    <w:adjustRightInd w:val="0"/>
                    <w:snapToGrid w:val="0"/>
                    <w:spacing w:before="0" w:beforeAutospacing="0" w:after="0" w:afterAutospacing="0"/>
                    <w:ind w:left="0" w:right="0"/>
                    <w:jc w:val="center"/>
                    <w:rPr>
                      <w:rFonts w:hint="default" w:ascii="Times New Roman" w:hAnsi="Times New Roman" w:cs="Times New Roman"/>
                      <w:color w:val="auto"/>
                      <w:highlight w:val="none"/>
                    </w:rPr>
                  </w:pPr>
                </w:p>
              </w:tc>
              <w:tc>
                <w:tcPr>
                  <w:tcW w:w="477" w:type="dxa"/>
                  <w:vMerge w:val="continue"/>
                  <w:noWrap w:val="0"/>
                  <w:vAlign w:val="center"/>
                </w:tcPr>
                <w:p w14:paraId="07CE6CEA">
                  <w:pPr>
                    <w:keepNext w:val="0"/>
                    <w:keepLines w:val="0"/>
                    <w:suppressLineNumbers w:val="0"/>
                    <w:autoSpaceDE w:val="0"/>
                    <w:adjustRightInd w:val="0"/>
                    <w:snapToGrid w:val="0"/>
                    <w:spacing w:before="0" w:beforeAutospacing="0" w:after="0" w:afterAutospacing="0"/>
                    <w:ind w:left="0" w:right="0"/>
                    <w:jc w:val="center"/>
                    <w:rPr>
                      <w:rFonts w:hint="default" w:ascii="Times New Roman" w:hAnsi="Times New Roman" w:cs="Times New Roman"/>
                      <w:color w:val="auto"/>
                      <w:highlight w:val="none"/>
                    </w:rPr>
                  </w:pPr>
                </w:p>
              </w:tc>
              <w:tc>
                <w:tcPr>
                  <w:tcW w:w="529" w:type="dxa"/>
                  <w:vMerge w:val="continue"/>
                  <w:noWrap w:val="0"/>
                  <w:vAlign w:val="center"/>
                </w:tcPr>
                <w:p w14:paraId="6D70E3C3">
                  <w:pPr>
                    <w:keepNext w:val="0"/>
                    <w:keepLines w:val="0"/>
                    <w:suppressLineNumbers w:val="0"/>
                    <w:autoSpaceDE w:val="0"/>
                    <w:adjustRightInd w:val="0"/>
                    <w:snapToGrid w:val="0"/>
                    <w:spacing w:before="0" w:beforeAutospacing="0" w:after="0" w:afterAutospacing="0"/>
                    <w:ind w:left="0" w:right="0"/>
                    <w:jc w:val="center"/>
                    <w:rPr>
                      <w:rFonts w:hint="default" w:ascii="Times New Roman" w:hAnsi="Times New Roman" w:cs="Times New Roman"/>
                      <w:color w:val="auto"/>
                      <w:highlight w:val="none"/>
                    </w:rPr>
                  </w:pPr>
                </w:p>
              </w:tc>
              <w:tc>
                <w:tcPr>
                  <w:tcW w:w="460" w:type="dxa"/>
                  <w:noWrap w:val="0"/>
                  <w:vAlign w:val="center"/>
                </w:tcPr>
                <w:p w14:paraId="7AF08F93">
                  <w:pPr>
                    <w:keepNext w:val="0"/>
                    <w:keepLines w:val="0"/>
                    <w:suppressLineNumbers w:val="0"/>
                    <w:autoSpaceDE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声压级</w:t>
                  </w:r>
                </w:p>
              </w:tc>
              <w:tc>
                <w:tcPr>
                  <w:tcW w:w="541" w:type="dxa"/>
                  <w:noWrap w:val="0"/>
                  <w:vAlign w:val="center"/>
                </w:tcPr>
                <w:p w14:paraId="48B82B50">
                  <w:pPr>
                    <w:keepNext w:val="0"/>
                    <w:keepLines w:val="0"/>
                    <w:suppressLineNumbers w:val="0"/>
                    <w:autoSpaceDE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建筑物外距离/m</w:t>
                  </w:r>
                </w:p>
              </w:tc>
              <w:tc>
                <w:tcPr>
                  <w:tcW w:w="691" w:type="dxa"/>
                  <w:vMerge w:val="continue"/>
                  <w:noWrap w:val="0"/>
                  <w:vAlign w:val="center"/>
                </w:tcPr>
                <w:p w14:paraId="3B709D5D">
                  <w:pPr>
                    <w:keepNext w:val="0"/>
                    <w:keepLines w:val="0"/>
                    <w:suppressLineNumbers w:val="0"/>
                    <w:autoSpaceDE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p>
              </w:tc>
            </w:tr>
            <w:tr w14:paraId="7D9DE8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48" w:type="dxa"/>
                  <w:vMerge w:val="restart"/>
                  <w:noWrap w:val="0"/>
                  <w:vAlign w:val="center"/>
                </w:tcPr>
                <w:p w14:paraId="3980286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洁净车间</w:t>
                  </w:r>
                </w:p>
              </w:tc>
              <w:tc>
                <w:tcPr>
                  <w:tcW w:w="1046" w:type="dxa"/>
                  <w:noWrap w:val="0"/>
                  <w:vAlign w:val="center"/>
                </w:tcPr>
                <w:p w14:paraId="512D2AB0">
                  <w:pPr>
                    <w:pStyle w:val="231"/>
                    <w:keepNext w:val="0"/>
                    <w:keepLines w:val="0"/>
                    <w:suppressLineNumbers w:val="0"/>
                    <w:autoSpaceDE/>
                    <w:autoSpaceDN/>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zh-CN" w:eastAsia="zh-CN" w:bidi="zh-CN"/>
                    </w:rPr>
                  </w:pPr>
                  <w:r>
                    <w:rPr>
                      <w:rFonts w:hint="default" w:ascii="Times New Roman" w:hAnsi="Times New Roman" w:eastAsia="宋体" w:cs="Times New Roman"/>
                      <w:color w:val="auto"/>
                      <w:sz w:val="21"/>
                      <w:szCs w:val="21"/>
                      <w:highlight w:val="none"/>
                      <w:lang w:val="en-US" w:eastAsia="zh-CN"/>
                    </w:rPr>
                    <w:t>印刷机</w:t>
                  </w:r>
                </w:p>
              </w:tc>
              <w:tc>
                <w:tcPr>
                  <w:tcW w:w="527" w:type="dxa"/>
                  <w:noWrap w:val="0"/>
                  <w:vAlign w:val="center"/>
                </w:tcPr>
                <w:p w14:paraId="2825DDE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cs="Times New Roman"/>
                      <w:color w:val="auto"/>
                      <w:szCs w:val="21"/>
                      <w:highlight w:val="none"/>
                      <w:lang w:val="en-US" w:eastAsia="zh-CN"/>
                    </w:rPr>
                    <w:t>75</w:t>
                  </w:r>
                </w:p>
              </w:tc>
              <w:tc>
                <w:tcPr>
                  <w:tcW w:w="780" w:type="dxa"/>
                  <w:vMerge w:val="restart"/>
                  <w:noWrap w:val="0"/>
                  <w:vAlign w:val="center"/>
                </w:tcPr>
                <w:p w14:paraId="2BDF57A2">
                  <w:pPr>
                    <w:keepNext w:val="0"/>
                    <w:keepLines w:val="0"/>
                    <w:suppressLineNumbers w:val="0"/>
                    <w:autoSpaceDE w:val="0"/>
                    <w:adjustRightInd w:val="0"/>
                    <w:snapToGrid w:val="0"/>
                    <w:spacing w:before="0" w:beforeAutospacing="0" w:after="0" w:afterAutospacing="0" w:line="240" w:lineRule="auto"/>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厂房隔声、合理布局；采用低噪声设备，基础减振</w:t>
                  </w:r>
                </w:p>
              </w:tc>
              <w:tc>
                <w:tcPr>
                  <w:tcW w:w="660" w:type="dxa"/>
                  <w:noWrap w:val="0"/>
                  <w:vAlign w:val="center"/>
                </w:tcPr>
                <w:p w14:paraId="34EA31F1">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85</w:t>
                  </w:r>
                </w:p>
              </w:tc>
              <w:tc>
                <w:tcPr>
                  <w:tcW w:w="585" w:type="dxa"/>
                  <w:noWrap w:val="0"/>
                  <w:vAlign w:val="center"/>
                </w:tcPr>
                <w:p w14:paraId="57022376">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30</w:t>
                  </w:r>
                </w:p>
              </w:tc>
              <w:tc>
                <w:tcPr>
                  <w:tcW w:w="480" w:type="dxa"/>
                  <w:noWrap w:val="0"/>
                  <w:vAlign w:val="center"/>
                </w:tcPr>
                <w:p w14:paraId="7D806D39">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w:t>
                  </w:r>
                </w:p>
              </w:tc>
              <w:tc>
                <w:tcPr>
                  <w:tcW w:w="619" w:type="dxa"/>
                  <w:noWrap w:val="0"/>
                  <w:vAlign w:val="center"/>
                </w:tcPr>
                <w:p w14:paraId="623CE26C">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7.5</w:t>
                  </w:r>
                </w:p>
              </w:tc>
              <w:tc>
                <w:tcPr>
                  <w:tcW w:w="512" w:type="dxa"/>
                  <w:noWrap w:val="0"/>
                  <w:vAlign w:val="center"/>
                </w:tcPr>
                <w:p w14:paraId="3005762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cs="Times New Roman"/>
                      <w:color w:val="auto"/>
                      <w:szCs w:val="21"/>
                      <w:highlight w:val="none"/>
                      <w:lang w:val="en-US" w:eastAsia="zh-CN"/>
                    </w:rPr>
                    <w:t>57</w:t>
                  </w:r>
                </w:p>
              </w:tc>
              <w:tc>
                <w:tcPr>
                  <w:tcW w:w="477" w:type="dxa"/>
                  <w:vMerge w:val="restart"/>
                  <w:noWrap w:val="0"/>
                  <w:vAlign w:val="center"/>
                </w:tcPr>
                <w:p w14:paraId="28F38E39">
                  <w:pPr>
                    <w:keepNext w:val="0"/>
                    <w:keepLines w:val="0"/>
                    <w:suppressLineNumbers w:val="0"/>
                    <w:autoSpaceDE w:val="0"/>
                    <w:adjustRightInd w:val="0"/>
                    <w:snapToGrid w:val="0"/>
                    <w:spacing w:before="0" w:beforeAutospacing="0" w:after="0" w:afterAutospacing="0" w:line="240" w:lineRule="auto"/>
                    <w:ind w:left="0" w:right="0"/>
                    <w:jc w:val="center"/>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rPr>
                    <w:t>昼间</w:t>
                  </w:r>
                  <w:r>
                    <w:rPr>
                      <w:rFonts w:hint="default" w:cs="Times New Roman"/>
                      <w:color w:val="auto"/>
                      <w:szCs w:val="21"/>
                      <w:highlight w:val="none"/>
                      <w:lang w:eastAsia="zh-CN"/>
                    </w:rPr>
                    <w:t>、夜间</w:t>
                  </w:r>
                </w:p>
              </w:tc>
              <w:tc>
                <w:tcPr>
                  <w:tcW w:w="529" w:type="dxa"/>
                  <w:noWrap w:val="0"/>
                  <w:vAlign w:val="center"/>
                </w:tcPr>
                <w:p w14:paraId="49190A5A">
                  <w:pPr>
                    <w:keepNext w:val="0"/>
                    <w:keepLines w:val="0"/>
                    <w:widowControl/>
                    <w:suppressLineNumbers w:val="0"/>
                    <w:spacing w:before="0" w:beforeAutospacing="0" w:after="0" w:afterAutospacing="0"/>
                    <w:ind w:left="0" w:right="0"/>
                    <w:jc w:val="center"/>
                    <w:rPr>
                      <w:rFonts w:hint="default" w:ascii="Times New Roman" w:hAnsi="Times New Roman" w:cs="Times New Roman"/>
                      <w:highlight w:val="none"/>
                      <w:lang w:val="en-US" w:eastAsia="zh-CN"/>
                    </w:rPr>
                  </w:pPr>
                  <w:r>
                    <w:rPr>
                      <w:rFonts w:hint="default" w:ascii="Times New Roman" w:hAnsi="Times New Roman" w:eastAsia="宋体" w:cs="Times New Roman"/>
                      <w:color w:val="auto"/>
                      <w:szCs w:val="21"/>
                      <w:highlight w:val="none"/>
                      <w:lang w:val="en-US" w:eastAsia="zh-CN"/>
                    </w:rPr>
                    <w:t>20</w:t>
                  </w:r>
                </w:p>
              </w:tc>
              <w:tc>
                <w:tcPr>
                  <w:tcW w:w="460" w:type="dxa"/>
                  <w:noWrap w:val="0"/>
                  <w:vAlign w:val="center"/>
                </w:tcPr>
                <w:p w14:paraId="2C6BA7D1">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cs="Times New Roman"/>
                      <w:color w:val="auto"/>
                      <w:szCs w:val="21"/>
                      <w:highlight w:val="none"/>
                      <w:lang w:val="en-US" w:eastAsia="zh-CN"/>
                    </w:rPr>
                    <w:t>37</w:t>
                  </w:r>
                </w:p>
              </w:tc>
              <w:tc>
                <w:tcPr>
                  <w:tcW w:w="541" w:type="dxa"/>
                  <w:noWrap w:val="0"/>
                  <w:vAlign w:val="center"/>
                </w:tcPr>
                <w:p w14:paraId="0B3E5AF9">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w:t>
                  </w:r>
                </w:p>
              </w:tc>
              <w:tc>
                <w:tcPr>
                  <w:tcW w:w="691" w:type="dxa"/>
                  <w:vMerge w:val="restart"/>
                  <w:noWrap w:val="0"/>
                  <w:vAlign w:val="center"/>
                </w:tcPr>
                <w:p w14:paraId="508E0250">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7200</w:t>
                  </w:r>
                </w:p>
              </w:tc>
            </w:tr>
            <w:tr w14:paraId="68978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48" w:type="dxa"/>
                  <w:vMerge w:val="continue"/>
                  <w:noWrap w:val="0"/>
                  <w:vAlign w:val="center"/>
                </w:tcPr>
                <w:p w14:paraId="2500896A">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p>
              </w:tc>
              <w:tc>
                <w:tcPr>
                  <w:tcW w:w="1046" w:type="dxa"/>
                  <w:noWrap w:val="0"/>
                  <w:vAlign w:val="center"/>
                </w:tcPr>
                <w:p w14:paraId="551D9CF5">
                  <w:pPr>
                    <w:pStyle w:val="231"/>
                    <w:keepNext w:val="0"/>
                    <w:keepLines w:val="0"/>
                    <w:suppressLineNumbers w:val="0"/>
                    <w:autoSpaceDE/>
                    <w:autoSpaceDN/>
                    <w:spacing w:before="0" w:beforeAutospacing="0" w:after="0" w:afterAutospacing="0"/>
                    <w:ind w:left="0" w:right="0"/>
                    <w:jc w:val="center"/>
                    <w:rPr>
                      <w:rFonts w:hint="default" w:ascii="Times New Roman" w:hAnsi="Times New Roman" w:cs="Times New Roman"/>
                      <w:color w:val="auto"/>
                      <w:kern w:val="2"/>
                      <w:sz w:val="21"/>
                      <w:szCs w:val="21"/>
                      <w:highlight w:val="none"/>
                      <w:lang w:val="en-US" w:eastAsia="zh-CN" w:bidi="zh-CN"/>
                    </w:rPr>
                  </w:pPr>
                  <w:r>
                    <w:rPr>
                      <w:rFonts w:hint="default" w:ascii="Times New Roman" w:hAnsi="Times New Roman" w:cs="Times New Roman"/>
                      <w:color w:val="auto"/>
                      <w:kern w:val="2"/>
                      <w:sz w:val="21"/>
                      <w:szCs w:val="21"/>
                      <w:highlight w:val="none"/>
                      <w:lang w:val="en-US" w:eastAsia="zh-CN" w:bidi="zh-CN"/>
                    </w:rPr>
                    <w:t>复合机</w:t>
                  </w:r>
                </w:p>
              </w:tc>
              <w:tc>
                <w:tcPr>
                  <w:tcW w:w="527" w:type="dxa"/>
                  <w:noWrap w:val="0"/>
                  <w:vAlign w:val="center"/>
                </w:tcPr>
                <w:p w14:paraId="5488738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color w:val="auto"/>
                      <w:kern w:val="0"/>
                      <w:szCs w:val="21"/>
                      <w:highlight w:val="none"/>
                      <w:lang w:val="en-US" w:eastAsia="zh-CN"/>
                    </w:rPr>
                  </w:pPr>
                  <w:r>
                    <w:rPr>
                      <w:rFonts w:hint="default" w:cs="Times New Roman"/>
                      <w:color w:val="auto"/>
                      <w:szCs w:val="21"/>
                      <w:highlight w:val="none"/>
                      <w:lang w:val="en-US" w:eastAsia="zh-CN"/>
                    </w:rPr>
                    <w:t>75</w:t>
                  </w:r>
                </w:p>
              </w:tc>
              <w:tc>
                <w:tcPr>
                  <w:tcW w:w="780" w:type="dxa"/>
                  <w:vMerge w:val="continue"/>
                  <w:noWrap w:val="0"/>
                  <w:vAlign w:val="center"/>
                </w:tcPr>
                <w:p w14:paraId="746662D4">
                  <w:pPr>
                    <w:keepNext w:val="0"/>
                    <w:keepLines w:val="0"/>
                    <w:suppressLineNumbers w:val="0"/>
                    <w:autoSpaceDE w:val="0"/>
                    <w:adjustRightInd w:val="0"/>
                    <w:snapToGrid w:val="0"/>
                    <w:spacing w:before="0" w:beforeAutospacing="0" w:after="0" w:afterAutospacing="0" w:line="240" w:lineRule="auto"/>
                    <w:ind w:left="0" w:right="0"/>
                    <w:jc w:val="center"/>
                    <w:rPr>
                      <w:rFonts w:hint="default" w:ascii="Times New Roman" w:hAnsi="Times New Roman" w:cs="Times New Roman"/>
                      <w:color w:val="auto"/>
                      <w:szCs w:val="21"/>
                      <w:highlight w:val="none"/>
                    </w:rPr>
                  </w:pPr>
                </w:p>
              </w:tc>
              <w:tc>
                <w:tcPr>
                  <w:tcW w:w="660" w:type="dxa"/>
                  <w:noWrap w:val="0"/>
                  <w:vAlign w:val="center"/>
                </w:tcPr>
                <w:p w14:paraId="7AAE2579">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76</w:t>
                  </w:r>
                </w:p>
              </w:tc>
              <w:tc>
                <w:tcPr>
                  <w:tcW w:w="585" w:type="dxa"/>
                  <w:noWrap w:val="0"/>
                  <w:vAlign w:val="center"/>
                </w:tcPr>
                <w:p w14:paraId="57BFE4B5">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25</w:t>
                  </w:r>
                </w:p>
              </w:tc>
              <w:tc>
                <w:tcPr>
                  <w:tcW w:w="480" w:type="dxa"/>
                  <w:noWrap w:val="0"/>
                  <w:vAlign w:val="center"/>
                </w:tcPr>
                <w:p w14:paraId="670BAEE2">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w:t>
                  </w:r>
                </w:p>
              </w:tc>
              <w:tc>
                <w:tcPr>
                  <w:tcW w:w="619" w:type="dxa"/>
                  <w:noWrap w:val="0"/>
                  <w:vAlign w:val="center"/>
                </w:tcPr>
                <w:p w14:paraId="50334053">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16.5</w:t>
                  </w:r>
                </w:p>
              </w:tc>
              <w:tc>
                <w:tcPr>
                  <w:tcW w:w="512" w:type="dxa"/>
                  <w:noWrap w:val="0"/>
                  <w:vAlign w:val="center"/>
                </w:tcPr>
                <w:p w14:paraId="28A1F8E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color w:val="auto"/>
                      <w:kern w:val="0"/>
                      <w:szCs w:val="21"/>
                      <w:highlight w:val="none"/>
                      <w:lang w:val="en-US" w:eastAsia="zh-CN"/>
                    </w:rPr>
                  </w:pPr>
                  <w:r>
                    <w:rPr>
                      <w:rFonts w:hint="default" w:cs="Times New Roman"/>
                      <w:snapToGrid w:val="0"/>
                      <w:color w:val="auto"/>
                      <w:kern w:val="0"/>
                      <w:szCs w:val="21"/>
                      <w:highlight w:val="none"/>
                      <w:lang w:val="en-US" w:eastAsia="zh-CN"/>
                    </w:rPr>
                    <w:t>51</w:t>
                  </w:r>
                </w:p>
              </w:tc>
              <w:tc>
                <w:tcPr>
                  <w:tcW w:w="477" w:type="dxa"/>
                  <w:vMerge w:val="continue"/>
                  <w:noWrap w:val="0"/>
                  <w:vAlign w:val="center"/>
                </w:tcPr>
                <w:p w14:paraId="0EEA89B1">
                  <w:pPr>
                    <w:keepNext w:val="0"/>
                    <w:keepLines w:val="0"/>
                    <w:suppressLineNumbers w:val="0"/>
                    <w:autoSpaceDE w:val="0"/>
                    <w:adjustRightInd w:val="0"/>
                    <w:snapToGrid w:val="0"/>
                    <w:spacing w:before="0" w:beforeAutospacing="0" w:after="0" w:afterAutospacing="0" w:line="240" w:lineRule="auto"/>
                    <w:ind w:left="0" w:right="0"/>
                    <w:jc w:val="center"/>
                    <w:rPr>
                      <w:rFonts w:hint="default" w:ascii="Times New Roman" w:hAnsi="Times New Roman" w:cs="Times New Roman"/>
                      <w:color w:val="auto"/>
                      <w:szCs w:val="21"/>
                      <w:highlight w:val="none"/>
                    </w:rPr>
                  </w:pPr>
                </w:p>
              </w:tc>
              <w:tc>
                <w:tcPr>
                  <w:tcW w:w="529" w:type="dxa"/>
                  <w:noWrap w:val="0"/>
                  <w:vAlign w:val="center"/>
                </w:tcPr>
                <w:p w14:paraId="66CA9A9E">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20</w:t>
                  </w:r>
                </w:p>
              </w:tc>
              <w:tc>
                <w:tcPr>
                  <w:tcW w:w="460" w:type="dxa"/>
                  <w:noWrap w:val="0"/>
                  <w:vAlign w:val="center"/>
                </w:tcPr>
                <w:p w14:paraId="7283705C">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cs="Times New Roman"/>
                      <w:color w:val="auto"/>
                      <w:szCs w:val="21"/>
                      <w:highlight w:val="none"/>
                      <w:lang w:val="en-US" w:eastAsia="zh-CN"/>
                    </w:rPr>
                    <w:t>31</w:t>
                  </w:r>
                </w:p>
              </w:tc>
              <w:tc>
                <w:tcPr>
                  <w:tcW w:w="541" w:type="dxa"/>
                  <w:noWrap w:val="0"/>
                  <w:vAlign w:val="center"/>
                </w:tcPr>
                <w:p w14:paraId="7A7EEDA3">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w:t>
                  </w:r>
                </w:p>
              </w:tc>
              <w:tc>
                <w:tcPr>
                  <w:tcW w:w="691" w:type="dxa"/>
                  <w:vMerge w:val="continue"/>
                  <w:noWrap w:val="0"/>
                  <w:vAlign w:val="center"/>
                </w:tcPr>
                <w:p w14:paraId="5E76D2A5">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p>
              </w:tc>
            </w:tr>
            <w:tr w14:paraId="41E9A7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48" w:type="dxa"/>
                  <w:vMerge w:val="continue"/>
                  <w:noWrap w:val="0"/>
                  <w:vAlign w:val="center"/>
                </w:tcPr>
                <w:p w14:paraId="3BACDE47">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p>
              </w:tc>
              <w:tc>
                <w:tcPr>
                  <w:tcW w:w="1046" w:type="dxa"/>
                  <w:noWrap w:val="0"/>
                  <w:vAlign w:val="center"/>
                </w:tcPr>
                <w:p w14:paraId="2319740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1"/>
                      <w:szCs w:val="21"/>
                      <w:highlight w:val="none"/>
                      <w:lang w:eastAsia="zh-CN"/>
                    </w:rPr>
                  </w:pPr>
                  <w:r>
                    <w:rPr>
                      <w:rFonts w:hint="default" w:ascii="Times New Roman" w:hAnsi="Times New Roman" w:cs="Times New Roman"/>
                      <w:color w:val="auto"/>
                      <w:kern w:val="21"/>
                      <w:szCs w:val="21"/>
                      <w:highlight w:val="none"/>
                      <w:lang w:eastAsia="zh-CN"/>
                    </w:rPr>
                    <w:t>固化室</w:t>
                  </w:r>
                </w:p>
              </w:tc>
              <w:tc>
                <w:tcPr>
                  <w:tcW w:w="527" w:type="dxa"/>
                  <w:noWrap w:val="0"/>
                  <w:vAlign w:val="center"/>
                </w:tcPr>
                <w:p w14:paraId="1F9FACC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lang w:val="en-US" w:eastAsia="zh-CN"/>
                    </w:rPr>
                    <w:t>65</w:t>
                  </w:r>
                </w:p>
              </w:tc>
              <w:tc>
                <w:tcPr>
                  <w:tcW w:w="780" w:type="dxa"/>
                  <w:vMerge w:val="continue"/>
                  <w:noWrap w:val="0"/>
                  <w:vAlign w:val="center"/>
                </w:tcPr>
                <w:p w14:paraId="6E665570">
                  <w:pPr>
                    <w:keepNext w:val="0"/>
                    <w:keepLines w:val="0"/>
                    <w:suppressLineNumbers w:val="0"/>
                    <w:autoSpaceDE w:val="0"/>
                    <w:adjustRightInd w:val="0"/>
                    <w:snapToGrid w:val="0"/>
                    <w:spacing w:before="0" w:beforeAutospacing="0" w:after="0" w:afterAutospacing="0" w:line="240" w:lineRule="auto"/>
                    <w:ind w:left="0" w:right="0"/>
                    <w:jc w:val="center"/>
                    <w:rPr>
                      <w:rFonts w:hint="default" w:ascii="Times New Roman" w:hAnsi="Times New Roman" w:cs="Times New Roman"/>
                      <w:color w:val="auto"/>
                      <w:szCs w:val="21"/>
                      <w:highlight w:val="none"/>
                    </w:rPr>
                  </w:pPr>
                </w:p>
              </w:tc>
              <w:tc>
                <w:tcPr>
                  <w:tcW w:w="660" w:type="dxa"/>
                  <w:noWrap w:val="0"/>
                  <w:vAlign w:val="center"/>
                </w:tcPr>
                <w:p w14:paraId="3B34A1DD">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63</w:t>
                  </w:r>
                </w:p>
              </w:tc>
              <w:tc>
                <w:tcPr>
                  <w:tcW w:w="585" w:type="dxa"/>
                  <w:noWrap w:val="0"/>
                  <w:vAlign w:val="center"/>
                </w:tcPr>
                <w:p w14:paraId="6A1A8936">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21.5</w:t>
                  </w:r>
                </w:p>
              </w:tc>
              <w:tc>
                <w:tcPr>
                  <w:tcW w:w="480" w:type="dxa"/>
                  <w:noWrap w:val="0"/>
                  <w:vAlign w:val="center"/>
                </w:tcPr>
                <w:p w14:paraId="555A6793">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1.5</w:t>
                  </w:r>
                </w:p>
              </w:tc>
              <w:tc>
                <w:tcPr>
                  <w:tcW w:w="619" w:type="dxa"/>
                  <w:noWrap w:val="0"/>
                  <w:vAlign w:val="center"/>
                </w:tcPr>
                <w:p w14:paraId="00FC26BF">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21.5</w:t>
                  </w:r>
                </w:p>
              </w:tc>
              <w:tc>
                <w:tcPr>
                  <w:tcW w:w="512" w:type="dxa"/>
                  <w:noWrap w:val="0"/>
                  <w:vAlign w:val="center"/>
                </w:tcPr>
                <w:p w14:paraId="6A222C7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38</w:t>
                  </w:r>
                </w:p>
              </w:tc>
              <w:tc>
                <w:tcPr>
                  <w:tcW w:w="477" w:type="dxa"/>
                  <w:vMerge w:val="continue"/>
                  <w:noWrap w:val="0"/>
                  <w:vAlign w:val="center"/>
                </w:tcPr>
                <w:p w14:paraId="0B41537E">
                  <w:pPr>
                    <w:keepNext w:val="0"/>
                    <w:keepLines w:val="0"/>
                    <w:suppressLineNumbers w:val="0"/>
                    <w:autoSpaceDE w:val="0"/>
                    <w:adjustRightInd w:val="0"/>
                    <w:snapToGrid w:val="0"/>
                    <w:spacing w:before="0" w:beforeAutospacing="0" w:after="0" w:afterAutospacing="0" w:line="240" w:lineRule="auto"/>
                    <w:ind w:left="0" w:right="0"/>
                    <w:jc w:val="center"/>
                    <w:rPr>
                      <w:rFonts w:hint="default" w:ascii="Times New Roman" w:hAnsi="Times New Roman" w:cs="Times New Roman"/>
                      <w:color w:val="auto"/>
                      <w:szCs w:val="21"/>
                      <w:highlight w:val="none"/>
                    </w:rPr>
                  </w:pPr>
                </w:p>
              </w:tc>
              <w:tc>
                <w:tcPr>
                  <w:tcW w:w="529" w:type="dxa"/>
                  <w:noWrap w:val="0"/>
                  <w:vAlign w:val="center"/>
                </w:tcPr>
                <w:p w14:paraId="59620CC1">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20</w:t>
                  </w:r>
                </w:p>
              </w:tc>
              <w:tc>
                <w:tcPr>
                  <w:tcW w:w="460" w:type="dxa"/>
                  <w:noWrap w:val="0"/>
                  <w:vAlign w:val="center"/>
                </w:tcPr>
                <w:p w14:paraId="0BAB0745">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18</w:t>
                  </w:r>
                </w:p>
              </w:tc>
              <w:tc>
                <w:tcPr>
                  <w:tcW w:w="541" w:type="dxa"/>
                  <w:noWrap w:val="0"/>
                  <w:vAlign w:val="center"/>
                </w:tcPr>
                <w:p w14:paraId="2479AE2B">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w:t>
                  </w:r>
                </w:p>
              </w:tc>
              <w:tc>
                <w:tcPr>
                  <w:tcW w:w="691" w:type="dxa"/>
                  <w:vMerge w:val="continue"/>
                  <w:noWrap w:val="0"/>
                  <w:vAlign w:val="center"/>
                </w:tcPr>
                <w:p w14:paraId="24220797">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p>
              </w:tc>
            </w:tr>
            <w:tr w14:paraId="4F2C22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48" w:type="dxa"/>
                  <w:vMerge w:val="continue"/>
                  <w:noWrap w:val="0"/>
                  <w:vAlign w:val="center"/>
                </w:tcPr>
                <w:p w14:paraId="77D8C5FB">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p>
              </w:tc>
              <w:tc>
                <w:tcPr>
                  <w:tcW w:w="1046" w:type="dxa"/>
                  <w:noWrap w:val="0"/>
                  <w:vAlign w:val="center"/>
                </w:tcPr>
                <w:p w14:paraId="26541328">
                  <w:pPr>
                    <w:pStyle w:val="231"/>
                    <w:keepNext w:val="0"/>
                    <w:keepLines w:val="0"/>
                    <w:suppressLineNumbers w:val="0"/>
                    <w:autoSpaceDE/>
                    <w:autoSpaceDN/>
                    <w:spacing w:before="0" w:beforeAutospacing="0" w:after="0" w:afterAutospacing="0"/>
                    <w:ind w:left="0" w:right="0"/>
                    <w:jc w:val="center"/>
                    <w:rPr>
                      <w:rFonts w:hint="default" w:ascii="Times New Roman" w:hAnsi="Times New Roman" w:eastAsia="宋体" w:cs="Times New Roman"/>
                      <w:color w:val="auto"/>
                      <w:sz w:val="21"/>
                      <w:szCs w:val="21"/>
                      <w:highlight w:val="none"/>
                      <w:lang w:val="zh-CN" w:eastAsia="zh-CN"/>
                    </w:rPr>
                  </w:pPr>
                  <w:r>
                    <w:rPr>
                      <w:rFonts w:hint="default" w:ascii="Times New Roman" w:hAnsi="Times New Roman" w:eastAsia="宋体" w:cs="Times New Roman"/>
                      <w:color w:val="auto"/>
                      <w:sz w:val="21"/>
                      <w:szCs w:val="21"/>
                      <w:highlight w:val="none"/>
                      <w:lang w:val="zh-CN" w:eastAsia="zh-CN"/>
                    </w:rPr>
                    <w:t>固化室</w:t>
                  </w:r>
                </w:p>
              </w:tc>
              <w:tc>
                <w:tcPr>
                  <w:tcW w:w="527" w:type="dxa"/>
                  <w:noWrap w:val="0"/>
                  <w:vAlign w:val="center"/>
                </w:tcPr>
                <w:p w14:paraId="5F05456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color w:val="auto"/>
                      <w:kern w:val="0"/>
                      <w:sz w:val="21"/>
                      <w:szCs w:val="21"/>
                      <w:highlight w:val="none"/>
                      <w:lang w:val="en-US" w:eastAsia="zh-CN" w:bidi="ar-SA"/>
                    </w:rPr>
                  </w:pPr>
                  <w:r>
                    <w:rPr>
                      <w:rFonts w:hint="default" w:ascii="Times New Roman" w:hAnsi="Times New Roman" w:cs="Times New Roman"/>
                      <w:color w:val="auto"/>
                      <w:szCs w:val="21"/>
                      <w:highlight w:val="none"/>
                      <w:lang w:val="en-US" w:eastAsia="zh-CN"/>
                    </w:rPr>
                    <w:t>65</w:t>
                  </w:r>
                </w:p>
              </w:tc>
              <w:tc>
                <w:tcPr>
                  <w:tcW w:w="780" w:type="dxa"/>
                  <w:vMerge w:val="continue"/>
                  <w:noWrap w:val="0"/>
                  <w:vAlign w:val="center"/>
                </w:tcPr>
                <w:p w14:paraId="06772CAB">
                  <w:pPr>
                    <w:keepNext w:val="0"/>
                    <w:keepLines w:val="0"/>
                    <w:suppressLineNumbers w:val="0"/>
                    <w:autoSpaceDE w:val="0"/>
                    <w:adjustRightInd w:val="0"/>
                    <w:snapToGrid w:val="0"/>
                    <w:spacing w:before="0" w:beforeAutospacing="0" w:after="0" w:afterAutospacing="0" w:line="240" w:lineRule="auto"/>
                    <w:ind w:left="0" w:right="0"/>
                    <w:jc w:val="center"/>
                    <w:rPr>
                      <w:rFonts w:hint="default" w:ascii="Times New Roman" w:hAnsi="Times New Roman" w:cs="Times New Roman"/>
                      <w:color w:val="auto"/>
                      <w:szCs w:val="21"/>
                      <w:highlight w:val="none"/>
                    </w:rPr>
                  </w:pPr>
                </w:p>
              </w:tc>
              <w:tc>
                <w:tcPr>
                  <w:tcW w:w="660" w:type="dxa"/>
                  <w:noWrap w:val="0"/>
                  <w:vAlign w:val="center"/>
                </w:tcPr>
                <w:p w14:paraId="679EFE9E">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63</w:t>
                  </w:r>
                </w:p>
              </w:tc>
              <w:tc>
                <w:tcPr>
                  <w:tcW w:w="585" w:type="dxa"/>
                  <w:noWrap w:val="0"/>
                  <w:vAlign w:val="center"/>
                </w:tcPr>
                <w:p w14:paraId="7B36074E">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24.5</w:t>
                  </w:r>
                </w:p>
              </w:tc>
              <w:tc>
                <w:tcPr>
                  <w:tcW w:w="480" w:type="dxa"/>
                  <w:noWrap w:val="0"/>
                  <w:vAlign w:val="center"/>
                </w:tcPr>
                <w:p w14:paraId="5731005A">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1.5</w:t>
                  </w:r>
                </w:p>
              </w:tc>
              <w:tc>
                <w:tcPr>
                  <w:tcW w:w="619" w:type="dxa"/>
                  <w:noWrap w:val="0"/>
                  <w:vAlign w:val="center"/>
                </w:tcPr>
                <w:p w14:paraId="7F6088E3">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24.5</w:t>
                  </w:r>
                </w:p>
              </w:tc>
              <w:tc>
                <w:tcPr>
                  <w:tcW w:w="512" w:type="dxa"/>
                  <w:noWrap w:val="0"/>
                  <w:vAlign w:val="center"/>
                </w:tcPr>
                <w:p w14:paraId="07378FD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color w:val="auto"/>
                      <w:kern w:val="0"/>
                      <w:sz w:val="21"/>
                      <w:szCs w:val="21"/>
                      <w:highlight w:val="none"/>
                      <w:lang w:val="en-US" w:eastAsia="zh-CN" w:bidi="ar-SA"/>
                    </w:rPr>
                  </w:pPr>
                  <w:r>
                    <w:rPr>
                      <w:rFonts w:hint="default" w:ascii="Times New Roman" w:hAnsi="Times New Roman" w:eastAsia="宋体" w:cs="Times New Roman"/>
                      <w:snapToGrid w:val="0"/>
                      <w:color w:val="auto"/>
                      <w:kern w:val="0"/>
                      <w:sz w:val="21"/>
                      <w:szCs w:val="21"/>
                      <w:highlight w:val="none"/>
                      <w:lang w:val="en-US" w:eastAsia="zh-CN" w:bidi="ar-SA"/>
                    </w:rPr>
                    <w:t>37</w:t>
                  </w:r>
                </w:p>
              </w:tc>
              <w:tc>
                <w:tcPr>
                  <w:tcW w:w="477" w:type="dxa"/>
                  <w:vMerge w:val="continue"/>
                  <w:noWrap w:val="0"/>
                  <w:vAlign w:val="center"/>
                </w:tcPr>
                <w:p w14:paraId="55C1FEF4">
                  <w:pPr>
                    <w:keepNext w:val="0"/>
                    <w:keepLines w:val="0"/>
                    <w:suppressLineNumbers w:val="0"/>
                    <w:autoSpaceDE w:val="0"/>
                    <w:adjustRightInd w:val="0"/>
                    <w:snapToGrid w:val="0"/>
                    <w:spacing w:before="0" w:beforeAutospacing="0" w:after="0" w:afterAutospacing="0" w:line="240" w:lineRule="auto"/>
                    <w:ind w:left="0" w:right="0"/>
                    <w:jc w:val="center"/>
                    <w:rPr>
                      <w:rFonts w:hint="default" w:ascii="Times New Roman" w:hAnsi="Times New Roman" w:cs="Times New Roman"/>
                      <w:color w:val="auto"/>
                      <w:szCs w:val="21"/>
                      <w:highlight w:val="none"/>
                    </w:rPr>
                  </w:pPr>
                </w:p>
              </w:tc>
              <w:tc>
                <w:tcPr>
                  <w:tcW w:w="529" w:type="dxa"/>
                  <w:noWrap w:val="0"/>
                  <w:vAlign w:val="center"/>
                </w:tcPr>
                <w:p w14:paraId="6DC2B6BF">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20</w:t>
                  </w:r>
                </w:p>
              </w:tc>
              <w:tc>
                <w:tcPr>
                  <w:tcW w:w="460" w:type="dxa"/>
                  <w:noWrap w:val="0"/>
                  <w:vAlign w:val="center"/>
                </w:tcPr>
                <w:p w14:paraId="14C4634C">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17</w:t>
                  </w:r>
                </w:p>
              </w:tc>
              <w:tc>
                <w:tcPr>
                  <w:tcW w:w="541" w:type="dxa"/>
                  <w:noWrap w:val="0"/>
                  <w:vAlign w:val="center"/>
                </w:tcPr>
                <w:p w14:paraId="5A87B867">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w:t>
                  </w:r>
                </w:p>
              </w:tc>
              <w:tc>
                <w:tcPr>
                  <w:tcW w:w="691" w:type="dxa"/>
                  <w:vMerge w:val="continue"/>
                  <w:noWrap w:val="0"/>
                  <w:vAlign w:val="center"/>
                </w:tcPr>
                <w:p w14:paraId="21B5DBA0">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p>
              </w:tc>
            </w:tr>
            <w:tr w14:paraId="477763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48" w:type="dxa"/>
                  <w:vMerge w:val="continue"/>
                  <w:noWrap w:val="0"/>
                  <w:vAlign w:val="center"/>
                </w:tcPr>
                <w:p w14:paraId="510119B4">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p>
              </w:tc>
              <w:tc>
                <w:tcPr>
                  <w:tcW w:w="1046" w:type="dxa"/>
                  <w:noWrap w:val="0"/>
                  <w:vAlign w:val="center"/>
                </w:tcPr>
                <w:p w14:paraId="13653390">
                  <w:pPr>
                    <w:pStyle w:val="231"/>
                    <w:keepNext w:val="0"/>
                    <w:keepLines w:val="0"/>
                    <w:suppressLineNumbers w:val="0"/>
                    <w:autoSpaceDE/>
                    <w:autoSpaceDN/>
                    <w:spacing w:before="0" w:beforeAutospacing="0" w:after="0" w:afterAutospacing="0"/>
                    <w:ind w:left="0" w:right="0"/>
                    <w:jc w:val="center"/>
                    <w:rPr>
                      <w:rFonts w:hint="default" w:ascii="Times New Roman" w:hAnsi="Times New Roman" w:cs="Times New Roman"/>
                      <w:color w:val="auto"/>
                      <w:kern w:val="2"/>
                      <w:sz w:val="21"/>
                      <w:szCs w:val="21"/>
                      <w:highlight w:val="none"/>
                      <w:lang w:val="en-US" w:eastAsia="zh-CN" w:bidi="zh-CN"/>
                    </w:rPr>
                  </w:pPr>
                  <w:r>
                    <w:rPr>
                      <w:rFonts w:hint="default" w:ascii="Times New Roman" w:hAnsi="Times New Roman" w:cs="Times New Roman"/>
                      <w:color w:val="auto"/>
                      <w:kern w:val="2"/>
                      <w:sz w:val="21"/>
                      <w:szCs w:val="21"/>
                      <w:highlight w:val="none"/>
                      <w:lang w:val="en-US" w:eastAsia="zh-CN" w:bidi="zh-CN"/>
                    </w:rPr>
                    <w:t>固化室</w:t>
                  </w:r>
                </w:p>
              </w:tc>
              <w:tc>
                <w:tcPr>
                  <w:tcW w:w="527" w:type="dxa"/>
                  <w:noWrap w:val="0"/>
                  <w:vAlign w:val="center"/>
                </w:tcPr>
                <w:p w14:paraId="6EE5736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lang w:val="en-US" w:eastAsia="zh-CN"/>
                    </w:rPr>
                    <w:t>65</w:t>
                  </w:r>
                </w:p>
              </w:tc>
              <w:tc>
                <w:tcPr>
                  <w:tcW w:w="780" w:type="dxa"/>
                  <w:vMerge w:val="continue"/>
                  <w:noWrap w:val="0"/>
                  <w:vAlign w:val="center"/>
                </w:tcPr>
                <w:p w14:paraId="1DDC2DD2">
                  <w:pPr>
                    <w:keepNext w:val="0"/>
                    <w:keepLines w:val="0"/>
                    <w:suppressLineNumbers w:val="0"/>
                    <w:autoSpaceDE w:val="0"/>
                    <w:adjustRightInd w:val="0"/>
                    <w:snapToGrid w:val="0"/>
                    <w:spacing w:before="0" w:beforeAutospacing="0" w:after="0" w:afterAutospacing="0" w:line="240" w:lineRule="auto"/>
                    <w:ind w:left="0" w:right="0"/>
                    <w:jc w:val="center"/>
                    <w:rPr>
                      <w:rFonts w:hint="default" w:ascii="Times New Roman" w:hAnsi="Times New Roman" w:cs="Times New Roman"/>
                      <w:color w:val="auto"/>
                      <w:szCs w:val="21"/>
                      <w:highlight w:val="none"/>
                    </w:rPr>
                  </w:pPr>
                </w:p>
              </w:tc>
              <w:tc>
                <w:tcPr>
                  <w:tcW w:w="660" w:type="dxa"/>
                  <w:noWrap w:val="0"/>
                  <w:vAlign w:val="center"/>
                </w:tcPr>
                <w:p w14:paraId="6379F1CC">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63</w:t>
                  </w:r>
                </w:p>
              </w:tc>
              <w:tc>
                <w:tcPr>
                  <w:tcW w:w="585" w:type="dxa"/>
                  <w:noWrap w:val="0"/>
                  <w:vAlign w:val="center"/>
                </w:tcPr>
                <w:p w14:paraId="64168BA6">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27.5</w:t>
                  </w:r>
                </w:p>
              </w:tc>
              <w:tc>
                <w:tcPr>
                  <w:tcW w:w="480" w:type="dxa"/>
                  <w:noWrap w:val="0"/>
                  <w:vAlign w:val="center"/>
                </w:tcPr>
                <w:p w14:paraId="078D921A">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1.5</w:t>
                  </w:r>
                </w:p>
              </w:tc>
              <w:tc>
                <w:tcPr>
                  <w:tcW w:w="619" w:type="dxa"/>
                  <w:noWrap w:val="0"/>
                  <w:vAlign w:val="center"/>
                </w:tcPr>
                <w:p w14:paraId="67AF21E8">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27.5</w:t>
                  </w:r>
                </w:p>
              </w:tc>
              <w:tc>
                <w:tcPr>
                  <w:tcW w:w="512" w:type="dxa"/>
                  <w:noWrap w:val="0"/>
                  <w:vAlign w:val="center"/>
                </w:tcPr>
                <w:p w14:paraId="0C18DEF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color w:val="auto"/>
                      <w:kern w:val="0"/>
                      <w:sz w:val="21"/>
                      <w:szCs w:val="21"/>
                      <w:highlight w:val="none"/>
                      <w:lang w:val="en-US" w:eastAsia="zh-CN" w:bidi="ar-SA"/>
                    </w:rPr>
                  </w:pPr>
                  <w:r>
                    <w:rPr>
                      <w:rFonts w:hint="default" w:ascii="Times New Roman" w:hAnsi="Times New Roman" w:eastAsia="宋体" w:cs="Times New Roman"/>
                      <w:snapToGrid w:val="0"/>
                      <w:color w:val="auto"/>
                      <w:kern w:val="0"/>
                      <w:sz w:val="21"/>
                      <w:szCs w:val="21"/>
                      <w:highlight w:val="none"/>
                      <w:lang w:val="en-US" w:eastAsia="zh-CN" w:bidi="ar-SA"/>
                    </w:rPr>
                    <w:t>36</w:t>
                  </w:r>
                </w:p>
              </w:tc>
              <w:tc>
                <w:tcPr>
                  <w:tcW w:w="477" w:type="dxa"/>
                  <w:vMerge w:val="continue"/>
                  <w:noWrap w:val="0"/>
                  <w:vAlign w:val="center"/>
                </w:tcPr>
                <w:p w14:paraId="7C39E89D">
                  <w:pPr>
                    <w:keepNext w:val="0"/>
                    <w:keepLines w:val="0"/>
                    <w:suppressLineNumbers w:val="0"/>
                    <w:autoSpaceDE w:val="0"/>
                    <w:adjustRightInd w:val="0"/>
                    <w:snapToGrid w:val="0"/>
                    <w:spacing w:before="0" w:beforeAutospacing="0" w:after="0" w:afterAutospacing="0" w:line="240" w:lineRule="auto"/>
                    <w:ind w:left="0" w:right="0"/>
                    <w:jc w:val="center"/>
                    <w:rPr>
                      <w:rFonts w:hint="default" w:ascii="Times New Roman" w:hAnsi="Times New Roman" w:cs="Times New Roman"/>
                      <w:color w:val="auto"/>
                      <w:szCs w:val="21"/>
                      <w:highlight w:val="none"/>
                    </w:rPr>
                  </w:pPr>
                </w:p>
              </w:tc>
              <w:tc>
                <w:tcPr>
                  <w:tcW w:w="529" w:type="dxa"/>
                  <w:noWrap w:val="0"/>
                  <w:vAlign w:val="center"/>
                </w:tcPr>
                <w:p w14:paraId="52F907F0">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20</w:t>
                  </w:r>
                </w:p>
              </w:tc>
              <w:tc>
                <w:tcPr>
                  <w:tcW w:w="460" w:type="dxa"/>
                  <w:noWrap w:val="0"/>
                  <w:vAlign w:val="center"/>
                </w:tcPr>
                <w:p w14:paraId="7D7F7D53">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16</w:t>
                  </w:r>
                </w:p>
              </w:tc>
              <w:tc>
                <w:tcPr>
                  <w:tcW w:w="541" w:type="dxa"/>
                  <w:noWrap w:val="0"/>
                  <w:vAlign w:val="center"/>
                </w:tcPr>
                <w:p w14:paraId="5503BF2C">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w:t>
                  </w:r>
                </w:p>
              </w:tc>
              <w:tc>
                <w:tcPr>
                  <w:tcW w:w="691" w:type="dxa"/>
                  <w:vMerge w:val="continue"/>
                  <w:noWrap w:val="0"/>
                  <w:vAlign w:val="center"/>
                </w:tcPr>
                <w:p w14:paraId="375DF524">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p>
              </w:tc>
            </w:tr>
            <w:tr w14:paraId="18D66A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48" w:type="dxa"/>
                  <w:vMerge w:val="continue"/>
                  <w:noWrap w:val="0"/>
                  <w:vAlign w:val="center"/>
                </w:tcPr>
                <w:p w14:paraId="6123C15E">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p>
              </w:tc>
              <w:tc>
                <w:tcPr>
                  <w:tcW w:w="1046" w:type="dxa"/>
                  <w:noWrap w:val="0"/>
                  <w:vAlign w:val="center"/>
                </w:tcPr>
                <w:p w14:paraId="4D7D0054">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21"/>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分切机</w:t>
                  </w:r>
                </w:p>
              </w:tc>
              <w:tc>
                <w:tcPr>
                  <w:tcW w:w="527" w:type="dxa"/>
                  <w:noWrap w:val="0"/>
                  <w:vAlign w:val="center"/>
                </w:tcPr>
                <w:p w14:paraId="11572BE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color w:val="auto"/>
                      <w:kern w:val="0"/>
                      <w:sz w:val="21"/>
                      <w:szCs w:val="21"/>
                      <w:highlight w:val="none"/>
                      <w:lang w:val="en-US" w:eastAsia="zh-CN" w:bidi="ar-SA"/>
                    </w:rPr>
                  </w:pPr>
                  <w:r>
                    <w:rPr>
                      <w:rFonts w:hint="default" w:cs="Times New Roman"/>
                      <w:color w:val="auto"/>
                      <w:szCs w:val="21"/>
                      <w:highlight w:val="none"/>
                      <w:lang w:val="en-US" w:eastAsia="zh-CN"/>
                    </w:rPr>
                    <w:t>75</w:t>
                  </w:r>
                </w:p>
              </w:tc>
              <w:tc>
                <w:tcPr>
                  <w:tcW w:w="780" w:type="dxa"/>
                  <w:vMerge w:val="continue"/>
                  <w:noWrap w:val="0"/>
                  <w:vAlign w:val="center"/>
                </w:tcPr>
                <w:p w14:paraId="47CD16AA">
                  <w:pPr>
                    <w:keepNext w:val="0"/>
                    <w:keepLines w:val="0"/>
                    <w:suppressLineNumbers w:val="0"/>
                    <w:autoSpaceDE w:val="0"/>
                    <w:adjustRightInd w:val="0"/>
                    <w:snapToGrid w:val="0"/>
                    <w:spacing w:before="0" w:beforeAutospacing="0" w:after="0" w:afterAutospacing="0" w:line="240" w:lineRule="auto"/>
                    <w:ind w:left="0" w:right="0"/>
                    <w:jc w:val="center"/>
                    <w:rPr>
                      <w:rFonts w:hint="default" w:ascii="Times New Roman" w:hAnsi="Times New Roman" w:cs="Times New Roman"/>
                      <w:color w:val="auto"/>
                      <w:szCs w:val="21"/>
                      <w:highlight w:val="none"/>
                    </w:rPr>
                  </w:pPr>
                </w:p>
              </w:tc>
              <w:tc>
                <w:tcPr>
                  <w:tcW w:w="660" w:type="dxa"/>
                  <w:noWrap w:val="0"/>
                  <w:vAlign w:val="center"/>
                </w:tcPr>
                <w:p w14:paraId="5DD96943">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67.5</w:t>
                  </w:r>
                </w:p>
              </w:tc>
              <w:tc>
                <w:tcPr>
                  <w:tcW w:w="585" w:type="dxa"/>
                  <w:noWrap w:val="0"/>
                  <w:vAlign w:val="center"/>
                </w:tcPr>
                <w:p w14:paraId="4EB9208A">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32</w:t>
                  </w:r>
                </w:p>
              </w:tc>
              <w:tc>
                <w:tcPr>
                  <w:tcW w:w="480" w:type="dxa"/>
                  <w:noWrap w:val="0"/>
                  <w:vAlign w:val="center"/>
                </w:tcPr>
                <w:p w14:paraId="55B1E48C">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w:t>
                  </w:r>
                </w:p>
              </w:tc>
              <w:tc>
                <w:tcPr>
                  <w:tcW w:w="619" w:type="dxa"/>
                  <w:noWrap w:val="0"/>
                  <w:vAlign w:val="center"/>
                </w:tcPr>
                <w:p w14:paraId="66984347">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25</w:t>
                  </w:r>
                </w:p>
              </w:tc>
              <w:tc>
                <w:tcPr>
                  <w:tcW w:w="512" w:type="dxa"/>
                  <w:noWrap w:val="0"/>
                  <w:vAlign w:val="center"/>
                </w:tcPr>
                <w:p w14:paraId="527C435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cs="Times New Roman"/>
                      <w:color w:val="auto"/>
                      <w:kern w:val="2"/>
                      <w:sz w:val="21"/>
                      <w:szCs w:val="21"/>
                      <w:highlight w:val="none"/>
                      <w:lang w:val="en-US" w:eastAsia="zh-CN" w:bidi="ar-SA"/>
                    </w:rPr>
                    <w:t>47</w:t>
                  </w:r>
                </w:p>
              </w:tc>
              <w:tc>
                <w:tcPr>
                  <w:tcW w:w="477" w:type="dxa"/>
                  <w:vMerge w:val="continue"/>
                  <w:noWrap w:val="0"/>
                  <w:vAlign w:val="center"/>
                </w:tcPr>
                <w:p w14:paraId="02DE6C93">
                  <w:pPr>
                    <w:keepNext w:val="0"/>
                    <w:keepLines w:val="0"/>
                    <w:suppressLineNumbers w:val="0"/>
                    <w:autoSpaceDE w:val="0"/>
                    <w:adjustRightInd w:val="0"/>
                    <w:snapToGrid w:val="0"/>
                    <w:spacing w:before="0" w:beforeAutospacing="0" w:after="0" w:afterAutospacing="0" w:line="240" w:lineRule="auto"/>
                    <w:ind w:left="0" w:right="0"/>
                    <w:jc w:val="center"/>
                    <w:rPr>
                      <w:rFonts w:hint="default" w:ascii="Times New Roman" w:hAnsi="Times New Roman" w:cs="Times New Roman"/>
                      <w:color w:val="auto"/>
                      <w:szCs w:val="21"/>
                      <w:highlight w:val="none"/>
                    </w:rPr>
                  </w:pPr>
                </w:p>
              </w:tc>
              <w:tc>
                <w:tcPr>
                  <w:tcW w:w="529" w:type="dxa"/>
                  <w:noWrap w:val="0"/>
                  <w:vAlign w:val="center"/>
                </w:tcPr>
                <w:p w14:paraId="5C9E8611">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20</w:t>
                  </w:r>
                </w:p>
              </w:tc>
              <w:tc>
                <w:tcPr>
                  <w:tcW w:w="460" w:type="dxa"/>
                  <w:noWrap w:val="0"/>
                  <w:vAlign w:val="center"/>
                </w:tcPr>
                <w:p w14:paraId="77056E1A">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cs="Times New Roman"/>
                      <w:color w:val="auto"/>
                      <w:kern w:val="2"/>
                      <w:sz w:val="21"/>
                      <w:szCs w:val="21"/>
                      <w:highlight w:val="none"/>
                      <w:lang w:val="en-US" w:eastAsia="zh-CN" w:bidi="ar-SA"/>
                    </w:rPr>
                    <w:t>27</w:t>
                  </w:r>
                </w:p>
              </w:tc>
              <w:tc>
                <w:tcPr>
                  <w:tcW w:w="541" w:type="dxa"/>
                  <w:noWrap w:val="0"/>
                  <w:vAlign w:val="center"/>
                </w:tcPr>
                <w:p w14:paraId="1DCBB724">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w:t>
                  </w:r>
                </w:p>
              </w:tc>
              <w:tc>
                <w:tcPr>
                  <w:tcW w:w="691" w:type="dxa"/>
                  <w:vMerge w:val="continue"/>
                  <w:noWrap w:val="0"/>
                  <w:vAlign w:val="center"/>
                </w:tcPr>
                <w:p w14:paraId="087BC597">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p>
              </w:tc>
            </w:tr>
            <w:tr w14:paraId="5FB368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0" w:hRule="exact"/>
                <w:jc w:val="center"/>
              </w:trPr>
              <w:tc>
                <w:tcPr>
                  <w:tcW w:w="348" w:type="dxa"/>
                  <w:vMerge w:val="continue"/>
                  <w:noWrap w:val="0"/>
                  <w:vAlign w:val="center"/>
                </w:tcPr>
                <w:p w14:paraId="7C7B932E">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p>
              </w:tc>
              <w:tc>
                <w:tcPr>
                  <w:tcW w:w="1046" w:type="dxa"/>
                  <w:noWrap w:val="0"/>
                  <w:vAlign w:val="center"/>
                </w:tcPr>
                <w:p w14:paraId="58FAD3F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Cs w:val="21"/>
                      <w:highlight w:val="none"/>
                    </w:rPr>
                    <w:t>风机</w:t>
                  </w:r>
                  <w:r>
                    <w:rPr>
                      <w:rFonts w:hint="default" w:ascii="Times New Roman" w:hAnsi="Times New Roman" w:cs="Times New Roman"/>
                      <w:color w:val="auto"/>
                      <w:szCs w:val="21"/>
                      <w:highlight w:val="none"/>
                      <w:lang w:val="en-US" w:eastAsia="zh-CN"/>
                    </w:rPr>
                    <w:t>(DA003)</w:t>
                  </w:r>
                </w:p>
              </w:tc>
              <w:tc>
                <w:tcPr>
                  <w:tcW w:w="527" w:type="dxa"/>
                  <w:noWrap w:val="0"/>
                  <w:vAlign w:val="center"/>
                </w:tcPr>
                <w:p w14:paraId="67B58F82">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lang w:val="en-US" w:eastAsia="zh-CN"/>
                    </w:rPr>
                  </w:pPr>
                  <w:r>
                    <w:rPr>
                      <w:rFonts w:hint="default" w:cs="Times New Roman"/>
                      <w:color w:val="auto"/>
                      <w:szCs w:val="21"/>
                      <w:highlight w:val="none"/>
                      <w:lang w:val="en-US" w:eastAsia="zh-CN"/>
                    </w:rPr>
                    <w:t>80</w:t>
                  </w:r>
                </w:p>
              </w:tc>
              <w:tc>
                <w:tcPr>
                  <w:tcW w:w="780" w:type="dxa"/>
                  <w:noWrap w:val="0"/>
                  <w:vAlign w:val="center"/>
                </w:tcPr>
                <w:p w14:paraId="7B522D2B">
                  <w:pPr>
                    <w:keepNext w:val="0"/>
                    <w:keepLines w:val="0"/>
                    <w:suppressLineNumbers w:val="0"/>
                    <w:autoSpaceDE w:val="0"/>
                    <w:adjustRightInd w:val="0"/>
                    <w:snapToGrid w:val="0"/>
                    <w:spacing w:before="0" w:beforeAutospacing="0" w:after="0" w:afterAutospacing="0" w:line="240" w:lineRule="auto"/>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厂房隔声、</w:t>
                  </w:r>
                  <w:r>
                    <w:rPr>
                      <w:rFonts w:hint="eastAsia" w:ascii="Times New Roman" w:hAnsi="Times New Roman" w:cs="Times New Roman"/>
                      <w:color w:val="auto"/>
                      <w:szCs w:val="21"/>
                      <w:highlight w:val="none"/>
                      <w:lang w:eastAsia="zh-CN"/>
                    </w:rPr>
                    <w:t>加装</w:t>
                  </w:r>
                  <w:r>
                    <w:rPr>
                      <w:rFonts w:hint="default" w:ascii="Times New Roman" w:hAnsi="Times New Roman" w:cs="Times New Roman"/>
                      <w:color w:val="auto"/>
                      <w:szCs w:val="21"/>
                      <w:highlight w:val="none"/>
                    </w:rPr>
                    <w:t>隔声罩，基础减震</w:t>
                  </w:r>
                </w:p>
              </w:tc>
              <w:tc>
                <w:tcPr>
                  <w:tcW w:w="660" w:type="dxa"/>
                  <w:noWrap w:val="0"/>
                  <w:vAlign w:val="center"/>
                </w:tcPr>
                <w:p w14:paraId="7E00B946">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cs="Times New Roman"/>
                      <w:color w:val="auto"/>
                      <w:kern w:val="2"/>
                      <w:sz w:val="21"/>
                      <w:szCs w:val="21"/>
                      <w:highlight w:val="none"/>
                      <w:lang w:val="en-US" w:eastAsia="zh-CN" w:bidi="ar-SA"/>
                    </w:rPr>
                    <w:t>92</w:t>
                  </w:r>
                </w:p>
              </w:tc>
              <w:tc>
                <w:tcPr>
                  <w:tcW w:w="585" w:type="dxa"/>
                  <w:noWrap w:val="0"/>
                  <w:vAlign w:val="center"/>
                </w:tcPr>
                <w:p w14:paraId="6D013DB5">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cs="Times New Roman"/>
                      <w:color w:val="auto"/>
                      <w:szCs w:val="21"/>
                      <w:highlight w:val="none"/>
                      <w:lang w:val="en-US" w:eastAsia="zh-CN"/>
                    </w:rPr>
                    <w:t>31</w:t>
                  </w:r>
                </w:p>
              </w:tc>
              <w:tc>
                <w:tcPr>
                  <w:tcW w:w="480" w:type="dxa"/>
                  <w:noWrap w:val="0"/>
                  <w:vAlign w:val="center"/>
                </w:tcPr>
                <w:p w14:paraId="6BCC52D2">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cs="Times New Roman"/>
                      <w:color w:val="auto"/>
                      <w:kern w:val="2"/>
                      <w:sz w:val="21"/>
                      <w:szCs w:val="21"/>
                      <w:highlight w:val="none"/>
                      <w:lang w:val="en-US" w:eastAsia="zh-CN" w:bidi="ar-SA"/>
                    </w:rPr>
                    <w:t>0.5</w:t>
                  </w:r>
                </w:p>
              </w:tc>
              <w:tc>
                <w:tcPr>
                  <w:tcW w:w="619" w:type="dxa"/>
                  <w:noWrap w:val="0"/>
                  <w:vAlign w:val="center"/>
                </w:tcPr>
                <w:p w14:paraId="5C2599C7">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cs="Times New Roman"/>
                      <w:color w:val="auto"/>
                      <w:kern w:val="2"/>
                      <w:sz w:val="21"/>
                      <w:szCs w:val="21"/>
                      <w:highlight w:val="none"/>
                      <w:lang w:val="en-US" w:eastAsia="zh-CN" w:bidi="ar-SA"/>
                    </w:rPr>
                    <w:t>0.5</w:t>
                  </w:r>
                </w:p>
              </w:tc>
              <w:tc>
                <w:tcPr>
                  <w:tcW w:w="512" w:type="dxa"/>
                  <w:noWrap w:val="0"/>
                  <w:vAlign w:val="center"/>
                </w:tcPr>
                <w:p w14:paraId="6A6A217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cs="Times New Roman"/>
                      <w:color w:val="auto"/>
                      <w:kern w:val="2"/>
                      <w:sz w:val="21"/>
                      <w:szCs w:val="21"/>
                      <w:highlight w:val="none"/>
                      <w:lang w:val="en-US" w:eastAsia="zh-CN" w:bidi="ar-SA"/>
                    </w:rPr>
                    <w:t>86</w:t>
                  </w:r>
                </w:p>
              </w:tc>
              <w:tc>
                <w:tcPr>
                  <w:tcW w:w="477" w:type="dxa"/>
                  <w:vMerge w:val="continue"/>
                  <w:noWrap w:val="0"/>
                  <w:vAlign w:val="center"/>
                </w:tcPr>
                <w:p w14:paraId="77BA472E">
                  <w:pPr>
                    <w:keepNext w:val="0"/>
                    <w:keepLines w:val="0"/>
                    <w:suppressLineNumbers w:val="0"/>
                    <w:autoSpaceDE w:val="0"/>
                    <w:adjustRightInd w:val="0"/>
                    <w:snapToGrid w:val="0"/>
                    <w:spacing w:before="0" w:beforeAutospacing="0" w:after="0" w:afterAutospacing="0" w:line="240" w:lineRule="auto"/>
                    <w:ind w:left="0" w:right="0"/>
                    <w:jc w:val="center"/>
                    <w:rPr>
                      <w:rFonts w:hint="default" w:ascii="Times New Roman" w:hAnsi="Times New Roman" w:cs="Times New Roman"/>
                      <w:color w:val="auto"/>
                      <w:szCs w:val="21"/>
                      <w:highlight w:val="none"/>
                    </w:rPr>
                  </w:pPr>
                </w:p>
              </w:tc>
              <w:tc>
                <w:tcPr>
                  <w:tcW w:w="529" w:type="dxa"/>
                  <w:noWrap w:val="0"/>
                  <w:vAlign w:val="center"/>
                </w:tcPr>
                <w:p w14:paraId="43D5F98D">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cs="Times New Roman"/>
                      <w:color w:val="auto"/>
                      <w:szCs w:val="21"/>
                      <w:highlight w:val="none"/>
                      <w:lang w:val="en-US" w:eastAsia="zh-CN"/>
                    </w:rPr>
                    <w:t>30</w:t>
                  </w:r>
                </w:p>
              </w:tc>
              <w:tc>
                <w:tcPr>
                  <w:tcW w:w="460" w:type="dxa"/>
                  <w:noWrap w:val="0"/>
                  <w:vAlign w:val="center"/>
                </w:tcPr>
                <w:p w14:paraId="127C010A">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cs="Times New Roman"/>
                      <w:color w:val="auto"/>
                      <w:kern w:val="2"/>
                      <w:sz w:val="21"/>
                      <w:szCs w:val="21"/>
                      <w:highlight w:val="none"/>
                      <w:lang w:val="en-US" w:eastAsia="zh-CN" w:bidi="ar-SA"/>
                    </w:rPr>
                    <w:t>56</w:t>
                  </w:r>
                </w:p>
              </w:tc>
              <w:tc>
                <w:tcPr>
                  <w:tcW w:w="541" w:type="dxa"/>
                  <w:noWrap w:val="0"/>
                  <w:vAlign w:val="center"/>
                </w:tcPr>
                <w:p w14:paraId="63DB1D12">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cs="Times New Roman"/>
                      <w:color w:val="auto"/>
                      <w:szCs w:val="21"/>
                      <w:highlight w:val="none"/>
                      <w:lang w:val="en-US" w:eastAsia="zh-CN"/>
                    </w:rPr>
                    <w:t>1</w:t>
                  </w:r>
                </w:p>
              </w:tc>
              <w:tc>
                <w:tcPr>
                  <w:tcW w:w="691" w:type="dxa"/>
                  <w:vMerge w:val="continue"/>
                  <w:noWrap w:val="0"/>
                  <w:vAlign w:val="center"/>
                </w:tcPr>
                <w:p w14:paraId="2A47C5CB">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p>
              </w:tc>
            </w:tr>
          </w:tbl>
          <w:p w14:paraId="13C46D76">
            <w:pPr>
              <w:keepNext w:val="0"/>
              <w:keepLines w:val="0"/>
              <w:suppressLineNumbers w:val="0"/>
              <w:adjustRightInd w:val="0"/>
              <w:spacing w:before="0" w:beforeAutospacing="0" w:after="0" w:afterAutospacing="0" w:line="420" w:lineRule="exact"/>
              <w:ind w:left="0" w:right="0"/>
              <w:jc w:val="left"/>
              <w:textAlignment w:val="baseline"/>
              <w:rPr>
                <w:rFonts w:hint="default" w:ascii="Times New Roman" w:hAnsi="Times New Roman" w:cs="Times New Roman"/>
                <w:bCs/>
                <w:color w:val="auto"/>
                <w:sz w:val="24"/>
                <w:szCs w:val="22"/>
                <w:highlight w:val="none"/>
              </w:rPr>
            </w:pPr>
            <w:r>
              <w:rPr>
                <w:rFonts w:hint="default" w:ascii="Times New Roman" w:hAnsi="Times New Roman" w:cs="Times New Roman"/>
                <w:bCs/>
                <w:color w:val="auto"/>
                <w:sz w:val="24"/>
                <w:szCs w:val="22"/>
                <w:highlight w:val="none"/>
              </w:rPr>
              <w:t>（</w:t>
            </w:r>
            <w:r>
              <w:rPr>
                <w:rFonts w:hint="default" w:ascii="Times New Roman" w:hAnsi="Times New Roman" w:cs="Times New Roman"/>
                <w:bCs/>
                <w:color w:val="auto"/>
                <w:sz w:val="24"/>
                <w:szCs w:val="22"/>
                <w:highlight w:val="none"/>
                <w:lang w:val="en-US" w:eastAsia="zh-CN"/>
              </w:rPr>
              <w:t>2</w:t>
            </w:r>
            <w:r>
              <w:rPr>
                <w:rFonts w:hint="default" w:ascii="Times New Roman" w:hAnsi="Times New Roman" w:cs="Times New Roman"/>
                <w:bCs/>
                <w:color w:val="auto"/>
                <w:sz w:val="24"/>
                <w:szCs w:val="22"/>
                <w:highlight w:val="none"/>
              </w:rPr>
              <w:t>）预测模式</w:t>
            </w:r>
          </w:p>
          <w:p w14:paraId="25E1D307">
            <w:pPr>
              <w:pStyle w:val="238"/>
              <w:keepNext w:val="0"/>
              <w:keepLines w:val="0"/>
              <w:suppressLineNumbers w:val="0"/>
              <w:spacing w:before="0" w:beforeAutospacing="0" w:after="0" w:afterAutospacing="0"/>
              <w:ind w:left="0" w:right="0" w:firstLine="480"/>
              <w:rPr>
                <w:rFonts w:hint="default" w:ascii="Times New Roman" w:hAnsi="Times New Roman" w:cs="Times New Roman"/>
              </w:rPr>
            </w:pPr>
            <w:r>
              <w:rPr>
                <w:rFonts w:hint="default" w:ascii="Times New Roman" w:hAnsi="Times New Roman" w:cs="Times New Roman"/>
                <w:highlight w:val="none"/>
              </w:rPr>
              <w:t>根据《环境影响评价技术导则-声环境》（HJ2.4-2021），预测</w:t>
            </w:r>
            <w:r>
              <w:rPr>
                <w:rFonts w:hint="default" w:ascii="Times New Roman" w:hAnsi="Times New Roman" w:cs="Times New Roman"/>
              </w:rPr>
              <w:t>模式如下：</w:t>
            </w:r>
          </w:p>
          <w:p w14:paraId="74F48211">
            <w:pPr>
              <w:pStyle w:val="238"/>
              <w:keepNext w:val="0"/>
              <w:keepLines w:val="0"/>
              <w:suppressLineNumbers w:val="0"/>
              <w:spacing w:before="0" w:beforeAutospacing="0" w:after="0" w:afterAutospacing="0"/>
              <w:ind w:left="0" w:right="0" w:firstLine="480"/>
              <w:rPr>
                <w:rFonts w:hint="default" w:ascii="Times New Roman" w:hAnsi="Times New Roman" w:cs="Times New Roman"/>
                <w:snapToGrid w:val="0"/>
              </w:rPr>
            </w:pPr>
            <w:r>
              <w:rPr>
                <w:rFonts w:hint="default" w:ascii="Times New Roman" w:hAnsi="Times New Roman" w:cs="Times New Roman"/>
                <w:snapToGrid w:val="0"/>
              </w:rPr>
              <w:t>1）室外声源</w:t>
            </w:r>
          </w:p>
          <w:p w14:paraId="76AA1468">
            <w:pPr>
              <w:pStyle w:val="13"/>
              <w:keepNext w:val="0"/>
              <w:keepLines w:val="0"/>
              <w:suppressLineNumbers w:val="0"/>
              <w:spacing w:before="0" w:beforeAutospacing="0" w:after="0" w:afterAutospacing="0"/>
              <w:ind w:left="0" w:right="0"/>
              <w:rPr>
                <w:rFonts w:hint="default" w:ascii="Times New Roman" w:hAnsi="Times New Roman" w:eastAsia="微软雅黑" w:cs="Times New Roman"/>
                <w:snapToGrid w:val="0"/>
                <w:sz w:val="24"/>
                <w:szCs w:val="24"/>
              </w:rPr>
            </w:pPr>
            <w:r>
              <w:rPr>
                <w:rFonts w:hint="default" w:ascii="Times New Roman" w:hAnsi="Times New Roman" w:eastAsia="微软雅黑" w:cs="Times New Roman"/>
                <w:snapToGrid w:val="0"/>
                <w:sz w:val="24"/>
                <w:szCs w:val="24"/>
              </w:rPr>
              <w:t>Lp(r)=Lp(r</w:t>
            </w:r>
            <w:r>
              <w:rPr>
                <w:rFonts w:hint="default" w:ascii="Times New Roman" w:hAnsi="Times New Roman" w:eastAsia="微软雅黑" w:cs="Times New Roman"/>
                <w:snapToGrid w:val="0"/>
                <w:sz w:val="24"/>
                <w:szCs w:val="24"/>
                <w:vertAlign w:val="subscript"/>
              </w:rPr>
              <w:t>0</w:t>
            </w:r>
            <w:r>
              <w:rPr>
                <w:rFonts w:hint="default" w:ascii="Times New Roman" w:hAnsi="Times New Roman" w:eastAsia="微软雅黑" w:cs="Times New Roman"/>
                <w:snapToGrid w:val="0"/>
                <w:sz w:val="24"/>
                <w:szCs w:val="24"/>
              </w:rPr>
              <w:t>)+Dc－(A</w:t>
            </w:r>
            <w:r>
              <w:rPr>
                <w:rFonts w:hint="default" w:ascii="Times New Roman" w:hAnsi="Times New Roman" w:eastAsia="微软雅黑" w:cs="Times New Roman"/>
                <w:snapToGrid w:val="0"/>
                <w:sz w:val="24"/>
                <w:szCs w:val="24"/>
                <w:vertAlign w:val="subscript"/>
              </w:rPr>
              <w:t>div</w:t>
            </w:r>
            <w:r>
              <w:rPr>
                <w:rFonts w:hint="default" w:ascii="Times New Roman" w:hAnsi="Times New Roman" w:eastAsia="微软雅黑" w:cs="Times New Roman"/>
                <w:snapToGrid w:val="0"/>
                <w:sz w:val="24"/>
                <w:szCs w:val="24"/>
              </w:rPr>
              <w:t>+A</w:t>
            </w:r>
            <w:r>
              <w:rPr>
                <w:rFonts w:hint="default" w:ascii="Times New Roman" w:hAnsi="Times New Roman" w:eastAsia="微软雅黑" w:cs="Times New Roman"/>
                <w:snapToGrid w:val="0"/>
                <w:sz w:val="24"/>
                <w:szCs w:val="24"/>
                <w:vertAlign w:val="subscript"/>
              </w:rPr>
              <w:t>atm</w:t>
            </w:r>
            <w:r>
              <w:rPr>
                <w:rFonts w:hint="default" w:ascii="Times New Roman" w:hAnsi="Times New Roman" w:eastAsia="微软雅黑" w:cs="Times New Roman"/>
                <w:snapToGrid w:val="0"/>
                <w:sz w:val="24"/>
                <w:szCs w:val="24"/>
              </w:rPr>
              <w:t>+A</w:t>
            </w:r>
            <w:r>
              <w:rPr>
                <w:rFonts w:hint="default" w:ascii="Times New Roman" w:hAnsi="Times New Roman" w:eastAsia="微软雅黑" w:cs="Times New Roman"/>
                <w:snapToGrid w:val="0"/>
                <w:sz w:val="24"/>
                <w:szCs w:val="24"/>
                <w:vertAlign w:val="subscript"/>
              </w:rPr>
              <w:t>gr</w:t>
            </w:r>
            <w:r>
              <w:rPr>
                <w:rFonts w:hint="default" w:ascii="Times New Roman" w:hAnsi="Times New Roman" w:eastAsia="微软雅黑" w:cs="Times New Roman"/>
                <w:snapToGrid w:val="0"/>
                <w:sz w:val="24"/>
                <w:szCs w:val="24"/>
              </w:rPr>
              <w:t>+A</w:t>
            </w:r>
            <w:r>
              <w:rPr>
                <w:rFonts w:hint="default" w:ascii="Times New Roman" w:hAnsi="Times New Roman" w:eastAsia="微软雅黑" w:cs="Times New Roman"/>
                <w:snapToGrid w:val="0"/>
                <w:sz w:val="24"/>
                <w:szCs w:val="24"/>
                <w:vertAlign w:val="subscript"/>
              </w:rPr>
              <w:t>bar</w:t>
            </w:r>
            <w:r>
              <w:rPr>
                <w:rFonts w:hint="default" w:ascii="Times New Roman" w:hAnsi="Times New Roman" w:eastAsia="微软雅黑" w:cs="Times New Roman"/>
                <w:snapToGrid w:val="0"/>
                <w:sz w:val="24"/>
                <w:szCs w:val="24"/>
              </w:rPr>
              <w:t>+A</w:t>
            </w:r>
            <w:r>
              <w:rPr>
                <w:rFonts w:hint="default" w:ascii="Times New Roman" w:hAnsi="Times New Roman" w:eastAsia="微软雅黑" w:cs="Times New Roman"/>
                <w:snapToGrid w:val="0"/>
                <w:sz w:val="24"/>
                <w:szCs w:val="24"/>
                <w:vertAlign w:val="subscript"/>
              </w:rPr>
              <w:t>misc</w:t>
            </w:r>
            <w:r>
              <w:rPr>
                <w:rFonts w:hint="default" w:ascii="Times New Roman" w:hAnsi="Times New Roman" w:eastAsia="微软雅黑" w:cs="Times New Roman"/>
                <w:snapToGrid w:val="0"/>
                <w:sz w:val="24"/>
                <w:szCs w:val="24"/>
              </w:rPr>
              <w:t>)</w:t>
            </w:r>
          </w:p>
          <w:p w14:paraId="25D9BADE">
            <w:pPr>
              <w:pStyle w:val="238"/>
              <w:keepNext w:val="0"/>
              <w:keepLines w:val="0"/>
              <w:suppressLineNumbers w:val="0"/>
              <w:spacing w:before="0" w:beforeAutospacing="0" w:after="0" w:afterAutospacing="0"/>
              <w:ind w:left="0" w:right="0" w:firstLine="480"/>
              <w:rPr>
                <w:rFonts w:hint="default" w:ascii="Times New Roman" w:hAnsi="Times New Roman" w:cs="Times New Roman"/>
                <w:snapToGrid w:val="0"/>
              </w:rPr>
            </w:pPr>
            <w:r>
              <w:rPr>
                <w:rFonts w:hint="default" w:ascii="Times New Roman" w:hAnsi="Times New Roman" w:cs="Times New Roman"/>
                <w:snapToGrid w:val="0"/>
              </w:rPr>
              <w:t>式中：Lp(r)—预测点处声压级，dB；</w:t>
            </w:r>
          </w:p>
          <w:p w14:paraId="063935B6">
            <w:pPr>
              <w:pStyle w:val="238"/>
              <w:keepNext w:val="0"/>
              <w:keepLines w:val="0"/>
              <w:suppressLineNumbers w:val="0"/>
              <w:spacing w:before="0" w:beforeAutospacing="0" w:after="0" w:afterAutospacing="0"/>
              <w:ind w:left="0" w:right="0" w:firstLine="480"/>
              <w:rPr>
                <w:rFonts w:hint="default" w:ascii="Times New Roman" w:hAnsi="Times New Roman" w:cs="Times New Roman"/>
                <w:snapToGrid w:val="0"/>
              </w:rPr>
            </w:pPr>
            <w:r>
              <w:rPr>
                <w:rFonts w:hint="default" w:ascii="Times New Roman" w:hAnsi="Times New Roman" w:cs="Times New Roman"/>
                <w:snapToGrid w:val="0"/>
              </w:rPr>
              <w:t>Lp(r</w:t>
            </w:r>
            <w:r>
              <w:rPr>
                <w:rFonts w:hint="default" w:ascii="Times New Roman" w:hAnsi="Times New Roman" w:cs="Times New Roman"/>
                <w:snapToGrid w:val="0"/>
                <w:vertAlign w:val="subscript"/>
              </w:rPr>
              <w:t>0</w:t>
            </w:r>
            <w:r>
              <w:rPr>
                <w:rFonts w:hint="default" w:ascii="Times New Roman" w:hAnsi="Times New Roman" w:cs="Times New Roman"/>
                <w:snapToGrid w:val="0"/>
              </w:rPr>
              <w:t>)—参考位置r</w:t>
            </w:r>
            <w:r>
              <w:rPr>
                <w:rFonts w:hint="default" w:ascii="Times New Roman" w:hAnsi="Times New Roman" w:cs="Times New Roman"/>
                <w:snapToGrid w:val="0"/>
                <w:vertAlign w:val="subscript"/>
              </w:rPr>
              <w:t>0</w:t>
            </w:r>
            <w:r>
              <w:rPr>
                <w:rFonts w:hint="default" w:ascii="Times New Roman" w:hAnsi="Times New Roman" w:cs="Times New Roman"/>
                <w:snapToGrid w:val="0"/>
              </w:rPr>
              <w:t>处的声压级，dB；</w:t>
            </w:r>
          </w:p>
          <w:p w14:paraId="57F673DA">
            <w:pPr>
              <w:pStyle w:val="238"/>
              <w:keepNext w:val="0"/>
              <w:keepLines w:val="0"/>
              <w:suppressLineNumbers w:val="0"/>
              <w:spacing w:before="0" w:beforeAutospacing="0" w:after="0" w:afterAutospacing="0"/>
              <w:ind w:left="0" w:right="0" w:firstLine="480"/>
              <w:rPr>
                <w:rFonts w:hint="default" w:ascii="Times New Roman" w:hAnsi="Times New Roman" w:cs="Times New Roman"/>
                <w:snapToGrid w:val="0"/>
              </w:rPr>
            </w:pPr>
            <w:r>
              <w:rPr>
                <w:rFonts w:hint="default" w:ascii="Times New Roman" w:hAnsi="Times New Roman" w:cs="Times New Roman"/>
                <w:snapToGrid w:val="0"/>
              </w:rPr>
              <w:t>Dc—指向性校正，它描述点声源的等效连续声压级与产生声功率级Lw的全向点声源在规定方向的声级的偏差程度，dB；</w:t>
            </w:r>
          </w:p>
          <w:p w14:paraId="6E2BBC67">
            <w:pPr>
              <w:pStyle w:val="238"/>
              <w:keepNext w:val="0"/>
              <w:keepLines w:val="0"/>
              <w:suppressLineNumbers w:val="0"/>
              <w:spacing w:before="0" w:beforeAutospacing="0" w:after="0" w:afterAutospacing="0"/>
              <w:ind w:left="0" w:right="0" w:firstLine="480"/>
              <w:rPr>
                <w:rFonts w:hint="default" w:ascii="Times New Roman" w:hAnsi="Times New Roman" w:cs="Times New Roman"/>
                <w:snapToGrid w:val="0"/>
              </w:rPr>
            </w:pPr>
            <w:r>
              <w:rPr>
                <w:rFonts w:hint="default" w:ascii="Times New Roman" w:hAnsi="Times New Roman" w:cs="Times New Roman"/>
                <w:snapToGrid w:val="0"/>
              </w:rPr>
              <w:t>A</w:t>
            </w:r>
            <w:r>
              <w:rPr>
                <w:rFonts w:hint="default" w:ascii="Times New Roman" w:hAnsi="Times New Roman" w:cs="Times New Roman"/>
                <w:snapToGrid w:val="0"/>
                <w:vertAlign w:val="subscript"/>
              </w:rPr>
              <w:t>div</w:t>
            </w:r>
            <w:r>
              <w:rPr>
                <w:rFonts w:hint="default" w:ascii="Times New Roman" w:hAnsi="Times New Roman" w:cs="Times New Roman"/>
                <w:snapToGrid w:val="0"/>
              </w:rPr>
              <w:t>—几何发散引起的衰减，dB；</w:t>
            </w:r>
          </w:p>
          <w:p w14:paraId="220FBD33">
            <w:pPr>
              <w:pStyle w:val="238"/>
              <w:keepNext w:val="0"/>
              <w:keepLines w:val="0"/>
              <w:suppressLineNumbers w:val="0"/>
              <w:spacing w:before="0" w:beforeAutospacing="0" w:after="0" w:afterAutospacing="0"/>
              <w:ind w:left="0" w:right="0" w:firstLine="480"/>
              <w:rPr>
                <w:rFonts w:hint="default" w:ascii="Times New Roman" w:hAnsi="Times New Roman" w:cs="Times New Roman"/>
                <w:snapToGrid w:val="0"/>
              </w:rPr>
            </w:pPr>
            <w:r>
              <w:rPr>
                <w:rFonts w:hint="default" w:ascii="Times New Roman" w:hAnsi="Times New Roman" w:cs="Times New Roman"/>
                <w:snapToGrid w:val="0"/>
              </w:rPr>
              <w:t>A</w:t>
            </w:r>
            <w:r>
              <w:rPr>
                <w:rFonts w:hint="default" w:ascii="Times New Roman" w:hAnsi="Times New Roman" w:cs="Times New Roman"/>
                <w:snapToGrid w:val="0"/>
                <w:vertAlign w:val="subscript"/>
              </w:rPr>
              <w:t>atm</w:t>
            </w:r>
            <w:r>
              <w:rPr>
                <w:rFonts w:hint="default" w:ascii="Times New Roman" w:hAnsi="Times New Roman" w:cs="Times New Roman"/>
                <w:snapToGrid w:val="0"/>
              </w:rPr>
              <w:t>—大气吸收引起的衰减，dB；</w:t>
            </w:r>
          </w:p>
          <w:p w14:paraId="34CBDE47">
            <w:pPr>
              <w:pStyle w:val="238"/>
              <w:keepNext w:val="0"/>
              <w:keepLines w:val="0"/>
              <w:suppressLineNumbers w:val="0"/>
              <w:spacing w:before="0" w:beforeAutospacing="0" w:after="0" w:afterAutospacing="0"/>
              <w:ind w:left="0" w:right="0" w:firstLine="480"/>
              <w:rPr>
                <w:rFonts w:hint="default" w:ascii="Times New Roman" w:hAnsi="Times New Roman" w:cs="Times New Roman"/>
                <w:snapToGrid w:val="0"/>
              </w:rPr>
            </w:pPr>
            <w:r>
              <w:rPr>
                <w:rFonts w:hint="default" w:ascii="Times New Roman" w:hAnsi="Times New Roman" w:cs="Times New Roman"/>
                <w:snapToGrid w:val="0"/>
              </w:rPr>
              <w:t>A</w:t>
            </w:r>
            <w:r>
              <w:rPr>
                <w:rFonts w:hint="default" w:ascii="Times New Roman" w:hAnsi="Times New Roman" w:cs="Times New Roman"/>
                <w:snapToGrid w:val="0"/>
                <w:vertAlign w:val="subscript"/>
              </w:rPr>
              <w:t>gr</w:t>
            </w:r>
            <w:r>
              <w:rPr>
                <w:rFonts w:hint="default" w:ascii="Times New Roman" w:hAnsi="Times New Roman" w:cs="Times New Roman"/>
                <w:snapToGrid w:val="0"/>
              </w:rPr>
              <w:t>—地面效应引起的衰减，dB；</w:t>
            </w:r>
          </w:p>
          <w:p w14:paraId="2F1D447F">
            <w:pPr>
              <w:pStyle w:val="238"/>
              <w:keepNext w:val="0"/>
              <w:keepLines w:val="0"/>
              <w:suppressLineNumbers w:val="0"/>
              <w:spacing w:before="0" w:beforeAutospacing="0" w:after="0" w:afterAutospacing="0"/>
              <w:ind w:left="0" w:right="0" w:firstLine="480"/>
              <w:rPr>
                <w:rFonts w:hint="default" w:ascii="Times New Roman" w:hAnsi="Times New Roman" w:cs="Times New Roman"/>
                <w:snapToGrid w:val="0"/>
              </w:rPr>
            </w:pPr>
            <w:r>
              <w:rPr>
                <w:rFonts w:hint="default" w:ascii="Times New Roman" w:hAnsi="Times New Roman" w:cs="Times New Roman"/>
                <w:snapToGrid w:val="0"/>
              </w:rPr>
              <w:t>A</w:t>
            </w:r>
            <w:r>
              <w:rPr>
                <w:rFonts w:hint="default" w:ascii="Times New Roman" w:hAnsi="Times New Roman" w:cs="Times New Roman"/>
                <w:snapToGrid w:val="0"/>
                <w:vertAlign w:val="subscript"/>
              </w:rPr>
              <w:t>bar</w:t>
            </w:r>
            <w:r>
              <w:rPr>
                <w:rFonts w:hint="default" w:ascii="Times New Roman" w:hAnsi="Times New Roman" w:cs="Times New Roman"/>
                <w:snapToGrid w:val="0"/>
              </w:rPr>
              <w:t>—障碍物屏蔽引起的衰减，dB；</w:t>
            </w:r>
          </w:p>
          <w:p w14:paraId="1D745744">
            <w:pPr>
              <w:pStyle w:val="238"/>
              <w:keepNext w:val="0"/>
              <w:keepLines w:val="0"/>
              <w:suppressLineNumbers w:val="0"/>
              <w:spacing w:before="0" w:beforeAutospacing="0" w:after="0" w:afterAutospacing="0"/>
              <w:ind w:left="0" w:right="0" w:firstLine="480"/>
              <w:rPr>
                <w:rFonts w:hint="default" w:ascii="Times New Roman" w:hAnsi="Times New Roman" w:cs="Times New Roman"/>
                <w:snapToGrid w:val="0"/>
              </w:rPr>
            </w:pPr>
            <w:r>
              <w:rPr>
                <w:rFonts w:hint="default" w:ascii="Times New Roman" w:hAnsi="Times New Roman" w:cs="Times New Roman"/>
                <w:snapToGrid w:val="0"/>
              </w:rPr>
              <w:t>A</w:t>
            </w:r>
            <w:r>
              <w:rPr>
                <w:rFonts w:hint="default" w:ascii="Times New Roman" w:hAnsi="Times New Roman" w:cs="Times New Roman"/>
                <w:snapToGrid w:val="0"/>
                <w:vertAlign w:val="subscript"/>
              </w:rPr>
              <w:t>misc</w:t>
            </w:r>
            <w:r>
              <w:rPr>
                <w:rFonts w:hint="default" w:ascii="Times New Roman" w:hAnsi="Times New Roman" w:cs="Times New Roman"/>
                <w:snapToGrid w:val="0"/>
              </w:rPr>
              <w:t>—其他多方面效应引起的衰减，dB。</w:t>
            </w:r>
          </w:p>
          <w:p w14:paraId="3F168046">
            <w:pPr>
              <w:pStyle w:val="238"/>
              <w:keepNext w:val="0"/>
              <w:keepLines w:val="0"/>
              <w:suppressLineNumbers w:val="0"/>
              <w:spacing w:before="0" w:beforeAutospacing="0" w:after="0" w:afterAutospacing="0"/>
              <w:ind w:left="0" w:right="0" w:firstLine="480"/>
              <w:rPr>
                <w:rFonts w:hint="default" w:ascii="Times New Roman" w:hAnsi="Times New Roman" w:cs="Times New Roman"/>
                <w:snapToGrid w:val="0"/>
              </w:rPr>
            </w:pPr>
            <w:r>
              <w:rPr>
                <w:rFonts w:hint="default" w:ascii="Times New Roman" w:hAnsi="Times New Roman" w:cs="Times New Roman"/>
                <w:snapToGrid w:val="0"/>
              </w:rPr>
              <w:t>预测点的A声级，可利用8个倍频带的声压级按下式计算：</w:t>
            </w:r>
          </w:p>
          <w:p w14:paraId="0C92D55C">
            <w:pPr>
              <w:keepNext w:val="0"/>
              <w:keepLines w:val="0"/>
              <w:widowControl/>
              <w:suppressLineNumbers w:val="0"/>
              <w:spacing w:before="0" w:beforeAutospacing="0" w:after="0" w:afterAutospacing="0"/>
              <w:ind w:left="0" w:right="0"/>
              <w:jc w:val="center"/>
              <w:rPr>
                <w:rFonts w:hint="default" w:ascii="Times New Roman" w:hAnsi="Times New Roman" w:cs="Times New Roman"/>
                <w:kern w:val="0"/>
                <w:sz w:val="24"/>
              </w:rPr>
            </w:pPr>
            <w:r>
              <w:rPr>
                <w:rFonts w:hint="default" w:ascii="Times New Roman" w:hAnsi="Times New Roman" w:cs="Times New Roman"/>
                <w:kern w:val="0"/>
                <w:sz w:val="24"/>
              </w:rPr>
              <w:drawing>
                <wp:inline distT="0" distB="0" distL="114300" distR="114300">
                  <wp:extent cx="2209800" cy="473075"/>
                  <wp:effectExtent l="0" t="0" r="0" b="0"/>
                  <wp:docPr id="1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7"/>
                          <pic:cNvPicPr>
                            <a:picLocks noChangeAspect="1"/>
                          </pic:cNvPicPr>
                        </pic:nvPicPr>
                        <pic:blipFill>
                          <a:blip r:embed="rId18"/>
                          <a:stretch>
                            <a:fillRect/>
                          </a:stretch>
                        </pic:blipFill>
                        <pic:spPr>
                          <a:xfrm>
                            <a:off x="0" y="0"/>
                            <a:ext cx="2209800" cy="473075"/>
                          </a:xfrm>
                          <a:prstGeom prst="rect">
                            <a:avLst/>
                          </a:prstGeom>
                          <a:noFill/>
                          <a:ln>
                            <a:noFill/>
                          </a:ln>
                        </pic:spPr>
                      </pic:pic>
                    </a:graphicData>
                  </a:graphic>
                </wp:inline>
              </w:drawing>
            </w:r>
          </w:p>
          <w:p w14:paraId="7C833C9D">
            <w:pPr>
              <w:pStyle w:val="238"/>
              <w:keepNext w:val="0"/>
              <w:keepLines w:val="0"/>
              <w:suppressLineNumbers w:val="0"/>
              <w:spacing w:before="0" w:beforeAutospacing="0" w:after="0" w:afterAutospacing="0"/>
              <w:ind w:left="0" w:right="0" w:firstLine="480"/>
              <w:rPr>
                <w:rFonts w:hint="default" w:ascii="Times New Roman" w:hAnsi="Times New Roman" w:cs="Times New Roman"/>
                <w:snapToGrid w:val="0"/>
              </w:rPr>
            </w:pPr>
            <w:r>
              <w:rPr>
                <w:rFonts w:hint="default" w:ascii="Times New Roman" w:hAnsi="Times New Roman" w:cs="Times New Roman"/>
                <w:snapToGrid w:val="0"/>
              </w:rPr>
              <w:t>式中：L</w:t>
            </w:r>
            <w:r>
              <w:rPr>
                <w:rFonts w:hint="default" w:ascii="Times New Roman" w:hAnsi="Times New Roman" w:cs="Times New Roman"/>
                <w:snapToGrid w:val="0"/>
                <w:vertAlign w:val="subscript"/>
              </w:rPr>
              <w:t>Pi</w:t>
            </w:r>
            <w:r>
              <w:rPr>
                <w:rFonts w:hint="default" w:ascii="Times New Roman" w:hAnsi="Times New Roman" w:cs="Times New Roman"/>
                <w:snapToGrid w:val="0"/>
              </w:rPr>
              <w:t>（r）—预测点（r）处，第i倍频带声压级，dB；</w:t>
            </w:r>
          </w:p>
          <w:p w14:paraId="31616CCB">
            <w:pPr>
              <w:pStyle w:val="238"/>
              <w:keepNext w:val="0"/>
              <w:keepLines w:val="0"/>
              <w:suppressLineNumbers w:val="0"/>
              <w:spacing w:before="0" w:beforeAutospacing="0" w:after="0" w:afterAutospacing="0"/>
              <w:ind w:left="0" w:right="0" w:firstLine="480"/>
              <w:rPr>
                <w:rFonts w:hint="default" w:ascii="Times New Roman" w:hAnsi="Times New Roman" w:cs="Times New Roman"/>
                <w:snapToGrid w:val="0"/>
              </w:rPr>
            </w:pPr>
            <w:r>
              <w:rPr>
                <w:rFonts w:hint="default" w:ascii="Times New Roman" w:hAnsi="Times New Roman" w:cs="Times New Roman"/>
                <w:snapToGrid w:val="0"/>
              </w:rPr>
              <w:t>ΔL</w:t>
            </w:r>
            <w:r>
              <w:rPr>
                <w:rFonts w:hint="default" w:ascii="Times New Roman" w:hAnsi="Times New Roman" w:cs="Times New Roman"/>
                <w:snapToGrid w:val="0"/>
                <w:vertAlign w:val="subscript"/>
              </w:rPr>
              <w:t>i</w:t>
            </w:r>
            <w:r>
              <w:rPr>
                <w:rFonts w:hint="default" w:ascii="Times New Roman" w:hAnsi="Times New Roman" w:cs="Times New Roman"/>
                <w:snapToGrid w:val="0"/>
              </w:rPr>
              <w:t>—i倍频带A计权网络修正值，dB。</w:t>
            </w:r>
          </w:p>
          <w:p w14:paraId="259F873B">
            <w:pPr>
              <w:pStyle w:val="238"/>
              <w:keepNext w:val="0"/>
              <w:keepLines w:val="0"/>
              <w:suppressLineNumbers w:val="0"/>
              <w:spacing w:before="0" w:beforeAutospacing="0" w:after="0" w:afterAutospacing="0"/>
              <w:ind w:left="0" w:right="0" w:firstLine="480"/>
              <w:rPr>
                <w:rFonts w:hint="default" w:ascii="Times New Roman" w:hAnsi="Times New Roman" w:cs="Times New Roman"/>
                <w:snapToGrid w:val="0"/>
              </w:rPr>
            </w:pPr>
            <w:r>
              <w:rPr>
                <w:rFonts w:hint="default" w:ascii="Times New Roman" w:hAnsi="Times New Roman" w:cs="Times New Roman"/>
                <w:snapToGrid w:val="0"/>
              </w:rPr>
              <w:t>①指向性校正</w:t>
            </w:r>
          </w:p>
          <w:p w14:paraId="381DEE6D">
            <w:pPr>
              <w:pStyle w:val="238"/>
              <w:keepNext w:val="0"/>
              <w:keepLines w:val="0"/>
              <w:suppressLineNumbers w:val="0"/>
              <w:spacing w:before="0" w:beforeAutospacing="0" w:after="0" w:afterAutospacing="0"/>
              <w:ind w:left="0" w:right="0" w:firstLine="480"/>
              <w:rPr>
                <w:rFonts w:hint="default" w:ascii="Times New Roman" w:hAnsi="Times New Roman" w:cs="Times New Roman"/>
                <w:snapToGrid w:val="0"/>
              </w:rPr>
            </w:pPr>
            <w:r>
              <w:rPr>
                <w:rFonts w:hint="default" w:ascii="Times New Roman" w:hAnsi="Times New Roman" w:cs="Times New Roman"/>
                <w:snapToGrid w:val="0"/>
              </w:rPr>
              <w:t>本次评价忽略。</w:t>
            </w:r>
          </w:p>
          <w:p w14:paraId="33EEE669">
            <w:pPr>
              <w:pStyle w:val="238"/>
              <w:keepNext w:val="0"/>
              <w:keepLines w:val="0"/>
              <w:suppressLineNumbers w:val="0"/>
              <w:spacing w:before="0" w:beforeAutospacing="0" w:after="0" w:afterAutospacing="0"/>
              <w:ind w:left="0" w:right="0" w:firstLine="480"/>
              <w:rPr>
                <w:rFonts w:hint="default" w:ascii="Times New Roman" w:hAnsi="Times New Roman" w:cs="Times New Roman"/>
                <w:snapToGrid w:val="0"/>
              </w:rPr>
            </w:pPr>
            <w:r>
              <w:rPr>
                <w:rFonts w:hint="default" w:ascii="Times New Roman" w:hAnsi="Times New Roman" w:cs="Times New Roman"/>
                <w:snapToGrid w:val="0"/>
              </w:rPr>
              <w:t>②几何发散引起的衰减</w:t>
            </w:r>
          </w:p>
          <w:p w14:paraId="586887B9">
            <w:pPr>
              <w:pStyle w:val="238"/>
              <w:keepNext w:val="0"/>
              <w:keepLines w:val="0"/>
              <w:suppressLineNumbers w:val="0"/>
              <w:spacing w:before="0" w:beforeAutospacing="0" w:after="0" w:afterAutospacing="0"/>
              <w:ind w:left="0" w:right="0" w:firstLine="480"/>
              <w:rPr>
                <w:rFonts w:hint="default" w:ascii="Times New Roman" w:hAnsi="Times New Roman" w:cs="Times New Roman"/>
                <w:snapToGrid w:val="0"/>
                <w:sz w:val="24"/>
                <w:szCs w:val="24"/>
              </w:rPr>
            </w:pPr>
            <w:r>
              <w:rPr>
                <w:rFonts w:hint="default" w:ascii="Times New Roman" w:hAnsi="Times New Roman" w:cs="Times New Roman"/>
                <w:snapToGrid w:val="0"/>
              </w:rPr>
              <w:t>对于室外点声源</w:t>
            </w:r>
            <w:r>
              <w:rPr>
                <w:rFonts w:hint="default" w:ascii="Times New Roman" w:hAnsi="Times New Roman" w:cs="Times New Roman"/>
                <w:snapToGrid w:val="0"/>
                <w:sz w:val="24"/>
                <w:szCs w:val="24"/>
              </w:rPr>
              <w:t>，不考虑其指向性，几何发散衰减计算公式为：</w:t>
            </w:r>
          </w:p>
          <w:p w14:paraId="33FFD0DB">
            <w:pPr>
              <w:pStyle w:val="13"/>
              <w:keepNext w:val="0"/>
              <w:keepLines w:val="0"/>
              <w:suppressLineNumbers w:val="0"/>
              <w:spacing w:before="0" w:beforeAutospacing="0" w:after="0" w:afterAutospacing="0"/>
              <w:ind w:left="0" w:right="0"/>
              <w:rPr>
                <w:rFonts w:hint="default" w:ascii="Times New Roman" w:hAnsi="Times New Roman" w:cs="Times New Roman"/>
                <w:snapToGrid w:val="0"/>
                <w:sz w:val="24"/>
                <w:szCs w:val="24"/>
              </w:rPr>
            </w:pPr>
            <w:r>
              <w:rPr>
                <w:rFonts w:hint="default" w:ascii="Times New Roman" w:hAnsi="Times New Roman" w:cs="Times New Roman"/>
                <w:snapToGrid w:val="0"/>
                <w:sz w:val="24"/>
                <w:szCs w:val="24"/>
              </w:rPr>
              <w:t>Lp(r)=Lp(r0)－20Lg(r/r0)</w:t>
            </w:r>
          </w:p>
          <w:p w14:paraId="38D5CADC">
            <w:pPr>
              <w:pStyle w:val="238"/>
              <w:keepNext w:val="0"/>
              <w:keepLines w:val="0"/>
              <w:suppressLineNumbers w:val="0"/>
              <w:spacing w:before="0" w:beforeAutospacing="0" w:after="0" w:afterAutospacing="0"/>
              <w:ind w:left="0" w:right="0" w:firstLine="480"/>
              <w:rPr>
                <w:rFonts w:hint="default" w:ascii="Times New Roman" w:hAnsi="Times New Roman" w:cs="Times New Roman"/>
                <w:snapToGrid w:val="0"/>
                <w:sz w:val="24"/>
                <w:szCs w:val="24"/>
              </w:rPr>
            </w:pPr>
            <w:r>
              <w:rPr>
                <w:rFonts w:hint="default" w:ascii="Times New Roman" w:hAnsi="Times New Roman" w:cs="Times New Roman"/>
                <w:snapToGrid w:val="0"/>
                <w:sz w:val="24"/>
                <w:szCs w:val="24"/>
              </w:rPr>
              <w:t>③大气吸收引起的衰减</w:t>
            </w:r>
          </w:p>
          <w:p w14:paraId="024781B8">
            <w:pPr>
              <w:pStyle w:val="238"/>
              <w:keepNext w:val="0"/>
              <w:keepLines w:val="0"/>
              <w:suppressLineNumbers w:val="0"/>
              <w:spacing w:before="0" w:beforeAutospacing="0" w:after="0" w:afterAutospacing="0"/>
              <w:ind w:left="0" w:right="0" w:firstLine="480"/>
              <w:rPr>
                <w:rFonts w:hint="default" w:ascii="Times New Roman" w:hAnsi="Times New Roman" w:cs="Times New Roman"/>
                <w:snapToGrid w:val="0"/>
              </w:rPr>
            </w:pPr>
            <w:r>
              <w:rPr>
                <w:rFonts w:hint="default" w:ascii="Times New Roman" w:hAnsi="Times New Roman" w:cs="Times New Roman"/>
                <w:snapToGrid w:val="0"/>
              </w:rPr>
              <w:t>大气吸收引起的衰减按下式计算：</w:t>
            </w:r>
          </w:p>
          <w:p w14:paraId="2A35C91E">
            <w:pPr>
              <w:keepNext w:val="0"/>
              <w:keepLines w:val="0"/>
              <w:widowControl/>
              <w:suppressLineNumbers w:val="0"/>
              <w:spacing w:before="0" w:beforeAutospacing="0" w:after="0" w:afterAutospacing="0"/>
              <w:ind w:left="0" w:right="0"/>
              <w:jc w:val="center"/>
              <w:rPr>
                <w:rFonts w:hint="default" w:ascii="Times New Roman" w:hAnsi="Times New Roman" w:cs="Times New Roman"/>
                <w:kern w:val="0"/>
                <w:sz w:val="24"/>
              </w:rPr>
            </w:pPr>
            <w:r>
              <w:rPr>
                <w:rFonts w:hint="default" w:ascii="Times New Roman" w:hAnsi="Times New Roman" w:cs="Times New Roman"/>
                <w:kern w:val="0"/>
                <w:sz w:val="24"/>
              </w:rPr>
              <w:drawing>
                <wp:inline distT="0" distB="0" distL="114300" distR="114300">
                  <wp:extent cx="1036320" cy="335280"/>
                  <wp:effectExtent l="0" t="0" r="0" b="0"/>
                  <wp:docPr id="1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6"/>
                          <pic:cNvPicPr>
                            <a:picLocks noChangeAspect="1"/>
                          </pic:cNvPicPr>
                        </pic:nvPicPr>
                        <pic:blipFill>
                          <a:blip r:embed="rId19"/>
                          <a:stretch>
                            <a:fillRect/>
                          </a:stretch>
                        </pic:blipFill>
                        <pic:spPr>
                          <a:xfrm>
                            <a:off x="0" y="0"/>
                            <a:ext cx="1036320" cy="335280"/>
                          </a:xfrm>
                          <a:prstGeom prst="rect">
                            <a:avLst/>
                          </a:prstGeom>
                          <a:noFill/>
                          <a:ln>
                            <a:noFill/>
                          </a:ln>
                        </pic:spPr>
                      </pic:pic>
                    </a:graphicData>
                  </a:graphic>
                </wp:inline>
              </w:drawing>
            </w:r>
          </w:p>
          <w:p w14:paraId="6857E62B">
            <w:pPr>
              <w:pStyle w:val="238"/>
              <w:keepNext w:val="0"/>
              <w:keepLines w:val="0"/>
              <w:suppressLineNumbers w:val="0"/>
              <w:spacing w:before="0" w:beforeAutospacing="0" w:after="0" w:afterAutospacing="0"/>
              <w:ind w:left="0" w:right="0" w:firstLine="480"/>
              <w:rPr>
                <w:rFonts w:hint="default" w:ascii="Times New Roman" w:hAnsi="Times New Roman" w:cs="Times New Roman"/>
                <w:snapToGrid w:val="0"/>
              </w:rPr>
            </w:pPr>
            <w:r>
              <w:rPr>
                <w:rFonts w:hint="default" w:ascii="Times New Roman" w:hAnsi="Times New Roman" w:cs="Times New Roman"/>
                <w:snapToGrid w:val="0"/>
              </w:rPr>
              <w:t>式中：A</w:t>
            </w:r>
            <w:r>
              <w:rPr>
                <w:rFonts w:hint="default" w:ascii="Times New Roman" w:hAnsi="Times New Roman" w:cs="Times New Roman"/>
                <w:snapToGrid w:val="0"/>
                <w:vertAlign w:val="subscript"/>
              </w:rPr>
              <w:t>atm</w:t>
            </w:r>
            <w:r>
              <w:rPr>
                <w:rFonts w:hint="default" w:ascii="Times New Roman" w:hAnsi="Times New Roman" w:cs="Times New Roman"/>
                <w:snapToGrid w:val="0"/>
              </w:rPr>
              <w:t>—大气吸收引起的衰减，dB；</w:t>
            </w:r>
          </w:p>
          <w:p w14:paraId="441FAFE7">
            <w:pPr>
              <w:pStyle w:val="238"/>
              <w:keepNext w:val="0"/>
              <w:keepLines w:val="0"/>
              <w:suppressLineNumbers w:val="0"/>
              <w:spacing w:before="0" w:beforeAutospacing="0" w:after="0" w:afterAutospacing="0"/>
              <w:ind w:left="0" w:right="0" w:firstLine="480"/>
              <w:rPr>
                <w:rFonts w:hint="default" w:ascii="Times New Roman" w:hAnsi="Times New Roman" w:cs="Times New Roman"/>
                <w:snapToGrid w:val="0"/>
              </w:rPr>
            </w:pPr>
            <w:r>
              <w:rPr>
                <w:rFonts w:hint="default" w:ascii="Times New Roman" w:hAnsi="Times New Roman" w:cs="Times New Roman"/>
                <w:snapToGrid w:val="0"/>
              </w:rPr>
              <w:t>α—与温度、湿度和声波频率有关的大气吸收衰减系数，预测计算中一般根据建设项目所处区域常年平均气温和湿度选择相应的大气吸收衰减系数。</w:t>
            </w:r>
          </w:p>
          <w:p w14:paraId="336BE0E6">
            <w:pPr>
              <w:pStyle w:val="238"/>
              <w:keepNext w:val="0"/>
              <w:keepLines w:val="0"/>
              <w:suppressLineNumbers w:val="0"/>
              <w:spacing w:before="0" w:beforeAutospacing="0" w:after="0" w:afterAutospacing="0"/>
              <w:ind w:left="0" w:right="0" w:firstLine="480"/>
              <w:rPr>
                <w:rFonts w:hint="default" w:ascii="Times New Roman" w:hAnsi="Times New Roman" w:cs="Times New Roman"/>
                <w:snapToGrid w:val="0"/>
              </w:rPr>
            </w:pPr>
            <w:r>
              <w:rPr>
                <w:rFonts w:hint="default" w:ascii="Times New Roman" w:hAnsi="Times New Roman" w:cs="Times New Roman"/>
                <w:snapToGrid w:val="0"/>
              </w:rPr>
              <w:t>r—预测点距声源的距离，m；</w:t>
            </w:r>
          </w:p>
          <w:p w14:paraId="0B03B937">
            <w:pPr>
              <w:pStyle w:val="238"/>
              <w:keepNext w:val="0"/>
              <w:keepLines w:val="0"/>
              <w:suppressLineNumbers w:val="0"/>
              <w:spacing w:before="0" w:beforeAutospacing="0" w:after="0" w:afterAutospacing="0"/>
              <w:ind w:left="0" w:right="0" w:firstLine="480"/>
              <w:rPr>
                <w:rFonts w:hint="default" w:ascii="Times New Roman" w:hAnsi="Times New Roman" w:cs="Times New Roman"/>
                <w:snapToGrid w:val="0"/>
              </w:rPr>
            </w:pPr>
            <w:r>
              <w:rPr>
                <w:rFonts w:hint="default" w:ascii="Times New Roman" w:hAnsi="Times New Roman" w:cs="Times New Roman"/>
                <w:snapToGrid w:val="0"/>
              </w:rPr>
              <w:t>r</w:t>
            </w:r>
            <w:r>
              <w:rPr>
                <w:rFonts w:hint="default" w:ascii="Times New Roman" w:hAnsi="Times New Roman" w:cs="Times New Roman"/>
                <w:snapToGrid w:val="0"/>
                <w:vertAlign w:val="subscript"/>
              </w:rPr>
              <w:t>0</w:t>
            </w:r>
            <w:r>
              <w:rPr>
                <w:rFonts w:hint="default" w:ascii="Times New Roman" w:hAnsi="Times New Roman" w:cs="Times New Roman"/>
                <w:snapToGrid w:val="0"/>
              </w:rPr>
              <w:t>—参考位置距声源的距离，m；</w:t>
            </w:r>
          </w:p>
          <w:p w14:paraId="37C6ECFA">
            <w:pPr>
              <w:pStyle w:val="238"/>
              <w:keepNext w:val="0"/>
              <w:keepLines w:val="0"/>
              <w:suppressLineNumbers w:val="0"/>
              <w:spacing w:before="0" w:beforeAutospacing="0" w:after="0" w:afterAutospacing="0"/>
              <w:ind w:left="0" w:right="0" w:firstLine="480"/>
              <w:rPr>
                <w:rFonts w:hint="default" w:ascii="Times New Roman" w:hAnsi="Times New Roman" w:cs="Times New Roman"/>
                <w:snapToGrid w:val="0"/>
              </w:rPr>
            </w:pPr>
            <w:r>
              <w:rPr>
                <w:rFonts w:hint="default" w:ascii="Times New Roman" w:hAnsi="Times New Roman" w:cs="Times New Roman"/>
                <w:snapToGrid w:val="0"/>
              </w:rPr>
              <w:t>④地面效应引起的衰减</w:t>
            </w:r>
          </w:p>
          <w:p w14:paraId="360F16EF">
            <w:pPr>
              <w:pStyle w:val="238"/>
              <w:keepNext w:val="0"/>
              <w:keepLines w:val="0"/>
              <w:suppressLineNumbers w:val="0"/>
              <w:spacing w:before="0" w:beforeAutospacing="0" w:after="0" w:afterAutospacing="0"/>
              <w:ind w:left="0" w:right="0" w:firstLine="480"/>
              <w:rPr>
                <w:rFonts w:hint="default" w:ascii="Times New Roman" w:hAnsi="Times New Roman" w:cs="Times New Roman"/>
                <w:snapToGrid w:val="0"/>
              </w:rPr>
            </w:pPr>
            <w:r>
              <w:rPr>
                <w:rFonts w:hint="default" w:ascii="Times New Roman" w:hAnsi="Times New Roman" w:cs="Times New Roman"/>
                <w:snapToGrid w:val="0"/>
              </w:rPr>
              <w:t>地面类型可分为：</w:t>
            </w:r>
          </w:p>
          <w:p w14:paraId="567771D6">
            <w:pPr>
              <w:pStyle w:val="238"/>
              <w:keepNext w:val="0"/>
              <w:keepLines w:val="0"/>
              <w:suppressLineNumbers w:val="0"/>
              <w:spacing w:before="0" w:beforeAutospacing="0" w:after="0" w:afterAutospacing="0"/>
              <w:ind w:left="0" w:right="0" w:firstLine="480"/>
              <w:rPr>
                <w:rFonts w:hint="default" w:ascii="Times New Roman" w:hAnsi="Times New Roman" w:cs="Times New Roman"/>
                <w:snapToGrid w:val="0"/>
              </w:rPr>
            </w:pPr>
            <w:r>
              <w:rPr>
                <w:rFonts w:hint="default" w:ascii="Times New Roman" w:hAnsi="Times New Roman" w:cs="Times New Roman"/>
                <w:snapToGrid w:val="0"/>
              </w:rPr>
              <w:t>a）坚实地面，包括铺筑过的路面、水面、冰面以及夯实地面；</w:t>
            </w:r>
          </w:p>
          <w:p w14:paraId="083F7B04">
            <w:pPr>
              <w:pStyle w:val="238"/>
              <w:keepNext w:val="0"/>
              <w:keepLines w:val="0"/>
              <w:suppressLineNumbers w:val="0"/>
              <w:spacing w:before="0" w:beforeAutospacing="0" w:after="0" w:afterAutospacing="0"/>
              <w:ind w:left="0" w:right="0" w:firstLine="480"/>
              <w:rPr>
                <w:rFonts w:hint="default" w:ascii="Times New Roman" w:hAnsi="Times New Roman" w:cs="Times New Roman"/>
                <w:snapToGrid w:val="0"/>
              </w:rPr>
            </w:pPr>
            <w:r>
              <w:rPr>
                <w:rFonts w:hint="default" w:ascii="Times New Roman" w:hAnsi="Times New Roman" w:cs="Times New Roman"/>
                <w:snapToGrid w:val="0"/>
              </w:rPr>
              <w:t>b）疏松地面，包括被草或其他植物覆盖的地面，以及农田等适合于植物生长的地面；</w:t>
            </w:r>
          </w:p>
          <w:p w14:paraId="5A997316">
            <w:pPr>
              <w:pStyle w:val="238"/>
              <w:keepNext w:val="0"/>
              <w:keepLines w:val="0"/>
              <w:suppressLineNumbers w:val="0"/>
              <w:spacing w:before="0" w:beforeAutospacing="0" w:after="0" w:afterAutospacing="0"/>
              <w:ind w:left="0" w:right="0" w:firstLine="480"/>
              <w:rPr>
                <w:rFonts w:hint="default" w:ascii="Times New Roman" w:hAnsi="Times New Roman" w:cs="Times New Roman"/>
                <w:snapToGrid w:val="0"/>
              </w:rPr>
            </w:pPr>
            <w:r>
              <w:rPr>
                <w:rFonts w:hint="default" w:ascii="Times New Roman" w:hAnsi="Times New Roman" w:cs="Times New Roman"/>
                <w:snapToGrid w:val="0"/>
              </w:rPr>
              <w:t>c）混合地面，由坚实地面和疏松地面组成。</w:t>
            </w:r>
          </w:p>
          <w:p w14:paraId="14E0AAF5">
            <w:pPr>
              <w:pStyle w:val="238"/>
              <w:keepNext w:val="0"/>
              <w:keepLines w:val="0"/>
              <w:suppressLineNumbers w:val="0"/>
              <w:spacing w:before="0" w:beforeAutospacing="0" w:after="0" w:afterAutospacing="0"/>
              <w:ind w:left="0" w:right="0" w:firstLine="480"/>
              <w:rPr>
                <w:rFonts w:hint="default" w:ascii="Times New Roman" w:hAnsi="Times New Roman" w:cs="Times New Roman"/>
                <w:snapToGrid w:val="0"/>
              </w:rPr>
            </w:pPr>
            <w:r>
              <w:rPr>
                <w:rFonts w:hint="default" w:ascii="Times New Roman" w:hAnsi="Times New Roman" w:cs="Times New Roman"/>
                <w:snapToGrid w:val="0"/>
              </w:rPr>
              <w:t>声波掠过疏松地面传播时，或大部分为疏松地面的混合地面，在预测点仅计算A声级前提下，地面效应引起的倍频带衰减可用下式计算。</w:t>
            </w:r>
          </w:p>
          <w:p w14:paraId="7555582B">
            <w:pPr>
              <w:keepNext w:val="0"/>
              <w:keepLines w:val="0"/>
              <w:widowControl/>
              <w:suppressLineNumbers w:val="0"/>
              <w:spacing w:before="0" w:beforeAutospacing="0" w:after="0" w:afterAutospacing="0"/>
              <w:ind w:left="0" w:right="0"/>
              <w:jc w:val="center"/>
              <w:rPr>
                <w:rFonts w:hint="default" w:ascii="Times New Roman" w:hAnsi="Times New Roman" w:cs="Times New Roman"/>
                <w:kern w:val="0"/>
                <w:sz w:val="24"/>
              </w:rPr>
            </w:pPr>
            <w:r>
              <w:rPr>
                <w:rFonts w:hint="default" w:ascii="Times New Roman" w:hAnsi="Times New Roman" w:cs="Times New Roman"/>
                <w:kern w:val="0"/>
                <w:sz w:val="24"/>
              </w:rPr>
              <w:drawing>
                <wp:inline distT="0" distB="0" distL="114300" distR="114300">
                  <wp:extent cx="1767840" cy="434340"/>
                  <wp:effectExtent l="0" t="0" r="0" b="0"/>
                  <wp:docPr id="1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5"/>
                          <pic:cNvPicPr>
                            <a:picLocks noChangeAspect="1"/>
                          </pic:cNvPicPr>
                        </pic:nvPicPr>
                        <pic:blipFill>
                          <a:blip r:embed="rId20"/>
                          <a:stretch>
                            <a:fillRect/>
                          </a:stretch>
                        </pic:blipFill>
                        <pic:spPr>
                          <a:xfrm>
                            <a:off x="0" y="0"/>
                            <a:ext cx="1767840" cy="434340"/>
                          </a:xfrm>
                          <a:prstGeom prst="rect">
                            <a:avLst/>
                          </a:prstGeom>
                          <a:noFill/>
                          <a:ln>
                            <a:noFill/>
                          </a:ln>
                        </pic:spPr>
                      </pic:pic>
                    </a:graphicData>
                  </a:graphic>
                </wp:inline>
              </w:drawing>
            </w:r>
          </w:p>
          <w:p w14:paraId="7DEA8DB6">
            <w:pPr>
              <w:pStyle w:val="238"/>
              <w:keepNext w:val="0"/>
              <w:keepLines w:val="0"/>
              <w:suppressLineNumbers w:val="0"/>
              <w:spacing w:before="0" w:beforeAutospacing="0" w:after="0" w:afterAutospacing="0"/>
              <w:ind w:left="0" w:right="0" w:firstLine="480"/>
              <w:rPr>
                <w:rFonts w:hint="default" w:ascii="Times New Roman" w:hAnsi="Times New Roman" w:cs="Times New Roman"/>
                <w:snapToGrid w:val="0"/>
              </w:rPr>
            </w:pPr>
            <w:r>
              <w:rPr>
                <w:rFonts w:hint="default" w:ascii="Times New Roman" w:hAnsi="Times New Roman" w:cs="Times New Roman"/>
                <w:snapToGrid w:val="0"/>
              </w:rPr>
              <w:t>式中：</w:t>
            </w:r>
          </w:p>
          <w:p w14:paraId="6D207F9A">
            <w:pPr>
              <w:pStyle w:val="238"/>
              <w:keepNext w:val="0"/>
              <w:keepLines w:val="0"/>
              <w:suppressLineNumbers w:val="0"/>
              <w:spacing w:before="0" w:beforeAutospacing="0" w:after="0" w:afterAutospacing="0"/>
              <w:ind w:left="0" w:right="0" w:firstLine="480"/>
              <w:rPr>
                <w:rFonts w:hint="default" w:ascii="Times New Roman" w:hAnsi="Times New Roman" w:cs="Times New Roman"/>
                <w:snapToGrid w:val="0"/>
              </w:rPr>
            </w:pPr>
            <w:r>
              <w:rPr>
                <w:rFonts w:hint="default" w:ascii="Times New Roman" w:hAnsi="Times New Roman" w:cs="Times New Roman"/>
                <w:snapToGrid w:val="0"/>
              </w:rPr>
              <w:t>A</w:t>
            </w:r>
            <w:r>
              <w:rPr>
                <w:rFonts w:hint="default" w:ascii="Times New Roman" w:hAnsi="Times New Roman" w:cs="Times New Roman"/>
                <w:snapToGrid w:val="0"/>
                <w:vertAlign w:val="subscript"/>
              </w:rPr>
              <w:t>gr</w:t>
            </w:r>
            <w:r>
              <w:rPr>
                <w:rFonts w:hint="default" w:ascii="Times New Roman" w:hAnsi="Times New Roman" w:cs="Times New Roman"/>
                <w:snapToGrid w:val="0"/>
              </w:rPr>
              <w:t>—地面效应引起的衰减，dB；</w:t>
            </w:r>
          </w:p>
          <w:p w14:paraId="40BA5EB2">
            <w:pPr>
              <w:pStyle w:val="238"/>
              <w:keepNext w:val="0"/>
              <w:keepLines w:val="0"/>
              <w:suppressLineNumbers w:val="0"/>
              <w:spacing w:before="0" w:beforeAutospacing="0" w:after="0" w:afterAutospacing="0"/>
              <w:ind w:left="0" w:right="0" w:firstLine="480"/>
              <w:rPr>
                <w:rFonts w:hint="default" w:ascii="Times New Roman" w:hAnsi="Times New Roman" w:cs="Times New Roman"/>
                <w:snapToGrid w:val="0"/>
              </w:rPr>
            </w:pPr>
            <w:r>
              <w:rPr>
                <w:rFonts w:hint="default" w:ascii="Times New Roman" w:hAnsi="Times New Roman" w:cs="Times New Roman"/>
                <w:snapToGrid w:val="0"/>
              </w:rPr>
              <w:t>r—预测点距声源的距离，m；</w:t>
            </w:r>
          </w:p>
          <w:p w14:paraId="316EC37B">
            <w:pPr>
              <w:pStyle w:val="238"/>
              <w:keepNext w:val="0"/>
              <w:keepLines w:val="0"/>
              <w:suppressLineNumbers w:val="0"/>
              <w:spacing w:before="0" w:beforeAutospacing="0" w:after="0" w:afterAutospacing="0"/>
              <w:ind w:left="0" w:right="0" w:firstLine="480"/>
              <w:rPr>
                <w:rFonts w:hint="default" w:ascii="Times New Roman" w:hAnsi="Times New Roman" w:cs="Times New Roman"/>
                <w:snapToGrid w:val="0"/>
              </w:rPr>
            </w:pPr>
            <w:r>
              <w:rPr>
                <w:rFonts w:hint="default" w:ascii="Times New Roman" w:hAnsi="Times New Roman" w:cs="Times New Roman"/>
                <w:snapToGrid w:val="0"/>
              </w:rPr>
              <w:t>hm—传播路径的平均离地高度，m；可按图A.4进行计算，hm=F/r；F：面积，m</w:t>
            </w:r>
            <w:r>
              <w:rPr>
                <w:rFonts w:hint="default" w:ascii="Times New Roman" w:hAnsi="Times New Roman" w:cs="Times New Roman"/>
                <w:snapToGrid w:val="0"/>
                <w:vertAlign w:val="superscript"/>
              </w:rPr>
              <w:t>2</w:t>
            </w:r>
            <w:r>
              <w:rPr>
                <w:rFonts w:hint="default" w:ascii="Times New Roman" w:hAnsi="Times New Roman" w:cs="Times New Roman"/>
                <w:snapToGrid w:val="0"/>
              </w:rPr>
              <w:t>；若A</w:t>
            </w:r>
            <w:r>
              <w:rPr>
                <w:rFonts w:hint="default" w:ascii="Times New Roman" w:hAnsi="Times New Roman" w:cs="Times New Roman"/>
                <w:snapToGrid w:val="0"/>
                <w:vertAlign w:val="subscript"/>
              </w:rPr>
              <w:t>gr</w:t>
            </w:r>
            <w:r>
              <w:rPr>
                <w:rFonts w:hint="default" w:ascii="Times New Roman" w:hAnsi="Times New Roman" w:cs="Times New Roman"/>
                <w:snapToGrid w:val="0"/>
              </w:rPr>
              <w:t>计算出负值，则A</w:t>
            </w:r>
            <w:r>
              <w:rPr>
                <w:rFonts w:hint="default" w:ascii="Times New Roman" w:hAnsi="Times New Roman" w:cs="Times New Roman"/>
                <w:snapToGrid w:val="0"/>
                <w:vertAlign w:val="subscript"/>
              </w:rPr>
              <w:t>gr</w:t>
            </w:r>
            <w:r>
              <w:rPr>
                <w:rFonts w:hint="default" w:ascii="Times New Roman" w:hAnsi="Times New Roman" w:cs="Times New Roman"/>
                <w:snapToGrid w:val="0"/>
              </w:rPr>
              <w:t>可用“0”代替。</w:t>
            </w:r>
          </w:p>
          <w:p w14:paraId="4C01EF7F">
            <w:pPr>
              <w:pStyle w:val="238"/>
              <w:keepNext w:val="0"/>
              <w:keepLines w:val="0"/>
              <w:suppressLineNumbers w:val="0"/>
              <w:spacing w:before="0" w:beforeAutospacing="0" w:after="0" w:afterAutospacing="0"/>
              <w:ind w:left="0" w:right="0" w:firstLine="480"/>
              <w:rPr>
                <w:rFonts w:hint="default" w:ascii="Times New Roman" w:hAnsi="Times New Roman" w:cs="Times New Roman"/>
                <w:snapToGrid w:val="0"/>
              </w:rPr>
            </w:pPr>
            <w:r>
              <w:rPr>
                <w:rFonts w:hint="default" w:ascii="Times New Roman" w:hAnsi="Times New Roman" w:cs="Times New Roman"/>
                <w:snapToGrid w:val="0"/>
              </w:rPr>
              <w:t>⑤障碍物屏蔽引起的衰减</w:t>
            </w:r>
          </w:p>
          <w:p w14:paraId="424DE172">
            <w:pPr>
              <w:pStyle w:val="238"/>
              <w:keepNext w:val="0"/>
              <w:keepLines w:val="0"/>
              <w:suppressLineNumbers w:val="0"/>
              <w:spacing w:before="0" w:beforeAutospacing="0" w:after="0" w:afterAutospacing="0"/>
              <w:ind w:left="0" w:right="0" w:firstLine="480"/>
              <w:rPr>
                <w:rFonts w:hint="default" w:ascii="Times New Roman" w:hAnsi="Times New Roman" w:cs="Times New Roman"/>
                <w:snapToGrid w:val="0"/>
              </w:rPr>
            </w:pPr>
            <w:r>
              <w:rPr>
                <w:rFonts w:hint="default" w:ascii="Times New Roman" w:hAnsi="Times New Roman" w:cs="Times New Roman"/>
                <w:snapToGrid w:val="0"/>
              </w:rPr>
              <w:t>遮挡物引起的衰减，只考虑各声源所在厂房围护结构的屏蔽效应。屏蔽衰减在单绕射（即薄屏障）情况，衰减最大取20dB；屏蔽衰减在双绕射（即厚屏障）情况，衰减最大取25dB。</w:t>
            </w:r>
          </w:p>
          <w:p w14:paraId="1EB91750">
            <w:pPr>
              <w:pStyle w:val="238"/>
              <w:keepNext w:val="0"/>
              <w:keepLines w:val="0"/>
              <w:suppressLineNumbers w:val="0"/>
              <w:spacing w:before="0" w:beforeAutospacing="0" w:after="0" w:afterAutospacing="0"/>
              <w:ind w:left="0" w:right="0" w:firstLine="480"/>
              <w:rPr>
                <w:rFonts w:hint="default" w:ascii="Times New Roman" w:hAnsi="Times New Roman" w:cs="Times New Roman"/>
                <w:snapToGrid w:val="0"/>
              </w:rPr>
            </w:pPr>
            <w:r>
              <w:rPr>
                <w:rFonts w:hint="default" w:ascii="Times New Roman" w:hAnsi="Times New Roman" w:cs="Times New Roman"/>
                <w:snapToGrid w:val="0"/>
              </w:rPr>
              <w:t>⑥其它多方面原因引起的衰减</w:t>
            </w:r>
          </w:p>
          <w:p w14:paraId="673B88A9">
            <w:pPr>
              <w:pStyle w:val="238"/>
              <w:keepNext w:val="0"/>
              <w:keepLines w:val="0"/>
              <w:suppressLineNumbers w:val="0"/>
              <w:spacing w:before="0" w:beforeAutospacing="0" w:after="0" w:afterAutospacing="0"/>
              <w:ind w:left="0" w:right="0" w:firstLine="480"/>
              <w:rPr>
                <w:rFonts w:hint="default" w:ascii="Times New Roman" w:hAnsi="Times New Roman" w:cs="Times New Roman"/>
                <w:snapToGrid w:val="0"/>
              </w:rPr>
            </w:pPr>
            <w:r>
              <w:rPr>
                <w:rFonts w:hint="default" w:ascii="Times New Roman" w:hAnsi="Times New Roman" w:cs="Times New Roman"/>
                <w:snapToGrid w:val="0"/>
              </w:rPr>
              <w:t>其它衰减包括通过工业场所的衰减；通过房屋群的衰减等。在声环境影响评价中，一般不考虑风、温度梯度以及雾的变化引起的附加修正。</w:t>
            </w:r>
          </w:p>
          <w:p w14:paraId="7396113C">
            <w:pPr>
              <w:pStyle w:val="238"/>
              <w:keepNext w:val="0"/>
              <w:keepLines w:val="0"/>
              <w:suppressLineNumbers w:val="0"/>
              <w:spacing w:before="0" w:beforeAutospacing="0" w:after="0" w:afterAutospacing="0"/>
              <w:ind w:left="0" w:right="0" w:firstLine="480"/>
              <w:rPr>
                <w:rFonts w:hint="default" w:ascii="Times New Roman" w:hAnsi="Times New Roman" w:cs="Times New Roman"/>
              </w:rPr>
            </w:pPr>
            <w:r>
              <w:rPr>
                <w:rFonts w:hint="default" w:ascii="Times New Roman" w:hAnsi="Times New Roman" w:cs="Times New Roman"/>
                <w:snapToGrid w:val="0"/>
              </w:rPr>
              <w:t>工业场所的衰减、房屋群的衰减等可参照GB/T17247.2进行计算。</w:t>
            </w:r>
          </w:p>
          <w:p w14:paraId="09A7E460">
            <w:pPr>
              <w:keepNext w:val="0"/>
              <w:keepLines w:val="0"/>
              <w:suppressLineNumbers w:val="0"/>
              <w:adjustRightInd w:val="0"/>
              <w:snapToGrid w:val="0"/>
              <w:spacing w:before="0" w:beforeAutospacing="0" w:after="0" w:afterAutospacing="0" w:line="480" w:lineRule="atLeast"/>
              <w:ind w:left="0" w:right="0" w:firstLine="480"/>
              <w:rPr>
                <w:rFonts w:hint="default" w:ascii="Times New Roman" w:hAnsi="Times New Roman" w:cs="Times New Roman"/>
                <w:sz w:val="24"/>
              </w:rPr>
            </w:pPr>
            <w:r>
              <w:rPr>
                <w:rFonts w:hint="default" w:ascii="Times New Roman" w:hAnsi="Times New Roman" w:cs="Times New Roman"/>
                <w:sz w:val="24"/>
              </w:rPr>
              <w:t>2）室内声源</w:t>
            </w:r>
          </w:p>
          <w:p w14:paraId="6F83ACFB">
            <w:pPr>
              <w:pStyle w:val="238"/>
              <w:keepNext w:val="0"/>
              <w:keepLines w:val="0"/>
              <w:suppressLineNumbers w:val="0"/>
              <w:spacing w:before="0" w:beforeAutospacing="0" w:after="0" w:afterAutospacing="0"/>
              <w:ind w:left="0" w:right="0" w:firstLine="480"/>
              <w:rPr>
                <w:rFonts w:hint="default" w:ascii="Times New Roman" w:hAnsi="Times New Roman" w:cs="Times New Roman"/>
                <w:snapToGrid w:val="0"/>
              </w:rPr>
            </w:pPr>
            <w:r>
              <w:rPr>
                <w:rFonts w:hint="default" w:ascii="Times New Roman" w:hAnsi="Times New Roman" w:cs="Times New Roman"/>
                <w:snapToGrid w:val="0"/>
              </w:rPr>
              <w:t>室内声源首先换算为等效室外声源，再按各类声源模式计算。</w:t>
            </w:r>
          </w:p>
          <w:p w14:paraId="36C27359">
            <w:pPr>
              <w:pStyle w:val="238"/>
              <w:keepNext w:val="0"/>
              <w:keepLines w:val="0"/>
              <w:suppressLineNumbers w:val="0"/>
              <w:spacing w:before="0" w:beforeAutospacing="0" w:after="0" w:afterAutospacing="0"/>
              <w:ind w:left="0" w:right="0" w:firstLine="480"/>
              <w:rPr>
                <w:rFonts w:hint="default" w:ascii="Times New Roman" w:hAnsi="Times New Roman" w:cs="Times New Roman"/>
                <w:snapToGrid w:val="0"/>
              </w:rPr>
            </w:pPr>
            <w:r>
              <w:rPr>
                <w:rFonts w:hint="default" w:ascii="Times New Roman" w:hAnsi="Times New Roman" w:cs="Times New Roman"/>
                <w:snapToGrid w:val="0"/>
              </w:rPr>
              <w:t>①首先计算出某个室内声源靠近围护结构处的倍频带声压级：</w:t>
            </w:r>
          </w:p>
          <w:p w14:paraId="31600F96">
            <w:pPr>
              <w:keepNext w:val="0"/>
              <w:keepLines w:val="0"/>
              <w:widowControl/>
              <w:suppressLineNumbers w:val="0"/>
              <w:spacing w:before="0" w:beforeAutospacing="0" w:after="0" w:afterAutospacing="0"/>
              <w:ind w:left="0" w:right="0"/>
              <w:jc w:val="center"/>
              <w:rPr>
                <w:rFonts w:hint="default" w:ascii="Times New Roman" w:hAnsi="Times New Roman" w:cs="Times New Roman"/>
                <w:kern w:val="0"/>
                <w:sz w:val="24"/>
              </w:rPr>
            </w:pPr>
            <w:r>
              <w:rPr>
                <w:rFonts w:hint="default" w:ascii="Times New Roman" w:hAnsi="Times New Roman" w:cs="Times New Roman"/>
                <w:kern w:val="0"/>
                <w:sz w:val="24"/>
              </w:rPr>
              <w:drawing>
                <wp:inline distT="0" distB="0" distL="114300" distR="114300">
                  <wp:extent cx="1844040" cy="457200"/>
                  <wp:effectExtent l="0" t="0" r="0" b="0"/>
                  <wp:docPr id="2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4"/>
                          <pic:cNvPicPr>
                            <a:picLocks noChangeAspect="1"/>
                          </pic:cNvPicPr>
                        </pic:nvPicPr>
                        <pic:blipFill>
                          <a:blip r:embed="rId21"/>
                          <a:stretch>
                            <a:fillRect/>
                          </a:stretch>
                        </pic:blipFill>
                        <pic:spPr>
                          <a:xfrm>
                            <a:off x="0" y="0"/>
                            <a:ext cx="1844040" cy="457200"/>
                          </a:xfrm>
                          <a:prstGeom prst="rect">
                            <a:avLst/>
                          </a:prstGeom>
                          <a:noFill/>
                          <a:ln>
                            <a:noFill/>
                          </a:ln>
                        </pic:spPr>
                      </pic:pic>
                    </a:graphicData>
                  </a:graphic>
                </wp:inline>
              </w:drawing>
            </w:r>
          </w:p>
          <w:p w14:paraId="288AF5A5">
            <w:pPr>
              <w:pStyle w:val="238"/>
              <w:keepNext w:val="0"/>
              <w:keepLines w:val="0"/>
              <w:suppressLineNumbers w:val="0"/>
              <w:spacing w:before="0" w:beforeAutospacing="0" w:after="0" w:afterAutospacing="0"/>
              <w:ind w:left="0" w:right="0" w:firstLine="480"/>
              <w:rPr>
                <w:rFonts w:hint="default" w:ascii="Times New Roman" w:hAnsi="Times New Roman" w:cs="Times New Roman"/>
                <w:snapToGrid w:val="0"/>
              </w:rPr>
            </w:pPr>
            <w:r>
              <w:rPr>
                <w:rFonts w:hint="default" w:ascii="Times New Roman" w:hAnsi="Times New Roman" w:cs="Times New Roman"/>
                <w:snapToGrid w:val="0"/>
              </w:rPr>
              <w:t>式中：</w:t>
            </w:r>
          </w:p>
          <w:p w14:paraId="0B39CAAF">
            <w:pPr>
              <w:pStyle w:val="238"/>
              <w:keepNext w:val="0"/>
              <w:keepLines w:val="0"/>
              <w:suppressLineNumbers w:val="0"/>
              <w:spacing w:before="0" w:beforeAutospacing="0" w:after="0" w:afterAutospacing="0"/>
              <w:ind w:left="0" w:right="0" w:firstLine="480"/>
              <w:rPr>
                <w:rFonts w:hint="default" w:ascii="Times New Roman" w:hAnsi="Times New Roman" w:cs="Times New Roman"/>
                <w:snapToGrid w:val="0"/>
              </w:rPr>
            </w:pPr>
            <w:r>
              <w:rPr>
                <w:rFonts w:hint="default" w:ascii="Times New Roman" w:hAnsi="Times New Roman" w:cs="Times New Roman"/>
                <w:snapToGrid w:val="0"/>
              </w:rPr>
              <w:t>L</w:t>
            </w:r>
            <w:r>
              <w:rPr>
                <w:rFonts w:hint="default" w:ascii="Times New Roman" w:hAnsi="Times New Roman" w:cs="Times New Roman"/>
                <w:snapToGrid w:val="0"/>
                <w:vertAlign w:val="subscript"/>
              </w:rPr>
              <w:t>p1</w:t>
            </w:r>
            <w:r>
              <w:rPr>
                <w:rFonts w:hint="default" w:ascii="Times New Roman" w:hAnsi="Times New Roman" w:cs="Times New Roman"/>
                <w:snapToGrid w:val="0"/>
              </w:rPr>
              <w:t>—靠近开口处（或窗户）室内某倍频带的声压级或A声级，dB；</w:t>
            </w:r>
          </w:p>
          <w:p w14:paraId="231704CA">
            <w:pPr>
              <w:pStyle w:val="238"/>
              <w:keepNext w:val="0"/>
              <w:keepLines w:val="0"/>
              <w:suppressLineNumbers w:val="0"/>
              <w:spacing w:before="0" w:beforeAutospacing="0" w:after="0" w:afterAutospacing="0"/>
              <w:ind w:left="0" w:right="0" w:firstLine="480"/>
              <w:rPr>
                <w:rFonts w:hint="default" w:ascii="Times New Roman" w:hAnsi="Times New Roman" w:cs="Times New Roman"/>
                <w:snapToGrid w:val="0"/>
              </w:rPr>
            </w:pPr>
            <w:r>
              <w:rPr>
                <w:rFonts w:hint="default" w:ascii="Times New Roman" w:hAnsi="Times New Roman" w:cs="Times New Roman"/>
                <w:snapToGrid w:val="0"/>
              </w:rPr>
              <w:t>L</w:t>
            </w:r>
            <w:r>
              <w:rPr>
                <w:rFonts w:hint="default" w:ascii="Times New Roman" w:hAnsi="Times New Roman" w:cs="Times New Roman"/>
                <w:snapToGrid w:val="0"/>
                <w:vertAlign w:val="subscript"/>
              </w:rPr>
              <w:t>w</w:t>
            </w:r>
            <w:r>
              <w:rPr>
                <w:rFonts w:hint="default" w:ascii="Times New Roman" w:hAnsi="Times New Roman" w:cs="Times New Roman"/>
                <w:snapToGrid w:val="0"/>
              </w:rPr>
              <w:t>—点声源声功率级（A计权或倍频带），dB；</w:t>
            </w:r>
          </w:p>
          <w:p w14:paraId="636E7E00">
            <w:pPr>
              <w:pStyle w:val="238"/>
              <w:keepNext w:val="0"/>
              <w:keepLines w:val="0"/>
              <w:suppressLineNumbers w:val="0"/>
              <w:spacing w:before="0" w:beforeAutospacing="0" w:after="0" w:afterAutospacing="0"/>
              <w:ind w:left="0" w:right="0" w:firstLine="480"/>
              <w:rPr>
                <w:rFonts w:hint="default" w:ascii="Times New Roman" w:hAnsi="Times New Roman" w:cs="Times New Roman"/>
                <w:snapToGrid w:val="0"/>
              </w:rPr>
            </w:pPr>
            <w:r>
              <w:rPr>
                <w:rFonts w:hint="default" w:ascii="Times New Roman" w:hAnsi="Times New Roman" w:cs="Times New Roman"/>
                <w:snapToGrid w:val="0"/>
              </w:rPr>
              <w:t>Q：指向性因数，通常对无指向性声源，当声源放在房间中心时，Q=1，当放在一面墙的中心时，Q=2，当放在两面墙夹角处时，Q=4，当放在三面墙夹角处时，Q=8；</w:t>
            </w:r>
          </w:p>
          <w:p w14:paraId="7D6073AA">
            <w:pPr>
              <w:pStyle w:val="238"/>
              <w:keepNext w:val="0"/>
              <w:keepLines w:val="0"/>
              <w:suppressLineNumbers w:val="0"/>
              <w:spacing w:before="0" w:beforeAutospacing="0" w:after="0" w:afterAutospacing="0"/>
              <w:ind w:left="0" w:right="0" w:firstLine="480"/>
              <w:rPr>
                <w:rFonts w:hint="default" w:ascii="Times New Roman" w:hAnsi="Times New Roman" w:cs="Times New Roman"/>
                <w:snapToGrid w:val="0"/>
              </w:rPr>
            </w:pPr>
            <w:r>
              <w:rPr>
                <w:rFonts w:hint="default" w:ascii="Times New Roman" w:hAnsi="Times New Roman" w:cs="Times New Roman"/>
                <w:snapToGrid w:val="0"/>
              </w:rPr>
              <w:t>R—房间常数；R=Sα/(1-α)，S为房间内表面面积，单位m</w:t>
            </w:r>
            <w:r>
              <w:rPr>
                <w:rFonts w:hint="default" w:ascii="Times New Roman" w:hAnsi="Times New Roman" w:cs="Times New Roman"/>
                <w:snapToGrid w:val="0"/>
                <w:vertAlign w:val="superscript"/>
              </w:rPr>
              <w:t>2</w:t>
            </w:r>
            <w:r>
              <w:rPr>
                <w:rFonts w:hint="default" w:ascii="Times New Roman" w:hAnsi="Times New Roman" w:cs="Times New Roman"/>
                <w:snapToGrid w:val="0"/>
              </w:rPr>
              <w:t>；α为平均吸声系数。</w:t>
            </w:r>
          </w:p>
          <w:p w14:paraId="1854881D">
            <w:pPr>
              <w:pStyle w:val="238"/>
              <w:keepNext w:val="0"/>
              <w:keepLines w:val="0"/>
              <w:suppressLineNumbers w:val="0"/>
              <w:spacing w:before="0" w:beforeAutospacing="0" w:after="0" w:afterAutospacing="0"/>
              <w:ind w:left="0" w:right="0" w:firstLine="480"/>
              <w:rPr>
                <w:rFonts w:hint="default" w:ascii="Times New Roman" w:hAnsi="Times New Roman" w:cs="Times New Roman"/>
                <w:snapToGrid w:val="0"/>
              </w:rPr>
            </w:pPr>
            <w:r>
              <w:rPr>
                <w:rFonts w:hint="default" w:ascii="Times New Roman" w:hAnsi="Times New Roman" w:cs="Times New Roman"/>
                <w:snapToGrid w:val="0"/>
              </w:rPr>
              <w:t>r—声源到靠近围护结构某点处的距离，单位m。</w:t>
            </w:r>
          </w:p>
          <w:p w14:paraId="53EE2CA6">
            <w:pPr>
              <w:pStyle w:val="238"/>
              <w:keepNext w:val="0"/>
              <w:keepLines w:val="0"/>
              <w:suppressLineNumbers w:val="0"/>
              <w:spacing w:before="0" w:beforeAutospacing="0" w:after="0" w:afterAutospacing="0"/>
              <w:ind w:left="0" w:right="0" w:firstLine="480"/>
              <w:rPr>
                <w:rFonts w:hint="default" w:ascii="Times New Roman" w:hAnsi="Times New Roman" w:cs="Times New Roman"/>
                <w:snapToGrid w:val="0"/>
              </w:rPr>
            </w:pPr>
            <w:r>
              <w:rPr>
                <w:rFonts w:hint="default" w:ascii="Times New Roman" w:hAnsi="Times New Roman" w:cs="Times New Roman"/>
                <w:snapToGrid w:val="0"/>
              </w:rPr>
              <w:t>②计算出所有室内声源在围护结构处产生的倍频带叠加声压级：</w:t>
            </w:r>
          </w:p>
          <w:p w14:paraId="3F0B1540">
            <w:pPr>
              <w:keepNext w:val="0"/>
              <w:keepLines w:val="0"/>
              <w:widowControl/>
              <w:suppressLineNumbers w:val="0"/>
              <w:spacing w:before="0" w:beforeAutospacing="0" w:after="0" w:afterAutospacing="0"/>
              <w:ind w:left="0" w:right="0"/>
              <w:jc w:val="center"/>
              <w:rPr>
                <w:rFonts w:hint="default" w:ascii="Times New Roman" w:hAnsi="Times New Roman" w:cs="Times New Roman"/>
                <w:kern w:val="0"/>
                <w:sz w:val="24"/>
              </w:rPr>
            </w:pPr>
            <w:r>
              <w:rPr>
                <w:rFonts w:hint="default" w:ascii="Times New Roman" w:hAnsi="Times New Roman" w:cs="Times New Roman"/>
                <w:kern w:val="0"/>
                <w:sz w:val="24"/>
              </w:rPr>
              <w:drawing>
                <wp:inline distT="0" distB="0" distL="114300" distR="114300">
                  <wp:extent cx="1699260" cy="441960"/>
                  <wp:effectExtent l="0" t="0" r="0" b="0"/>
                  <wp:docPr id="2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3"/>
                          <pic:cNvPicPr>
                            <a:picLocks noChangeAspect="1"/>
                          </pic:cNvPicPr>
                        </pic:nvPicPr>
                        <pic:blipFill>
                          <a:blip r:embed="rId22"/>
                          <a:stretch>
                            <a:fillRect/>
                          </a:stretch>
                        </pic:blipFill>
                        <pic:spPr>
                          <a:xfrm>
                            <a:off x="0" y="0"/>
                            <a:ext cx="1699260" cy="441960"/>
                          </a:xfrm>
                          <a:prstGeom prst="rect">
                            <a:avLst/>
                          </a:prstGeom>
                          <a:noFill/>
                          <a:ln>
                            <a:noFill/>
                          </a:ln>
                        </pic:spPr>
                      </pic:pic>
                    </a:graphicData>
                  </a:graphic>
                </wp:inline>
              </w:drawing>
            </w:r>
          </w:p>
          <w:p w14:paraId="68C6403F">
            <w:pPr>
              <w:pStyle w:val="238"/>
              <w:keepNext w:val="0"/>
              <w:keepLines w:val="0"/>
              <w:suppressLineNumbers w:val="0"/>
              <w:spacing w:before="0" w:beforeAutospacing="0" w:after="0" w:afterAutospacing="0"/>
              <w:ind w:left="0" w:right="0" w:firstLine="480"/>
              <w:rPr>
                <w:rFonts w:hint="default" w:ascii="Times New Roman" w:hAnsi="Times New Roman" w:cs="Times New Roman"/>
                <w:snapToGrid w:val="0"/>
              </w:rPr>
            </w:pPr>
            <w:r>
              <w:rPr>
                <w:rFonts w:hint="default" w:ascii="Times New Roman" w:hAnsi="Times New Roman" w:cs="Times New Roman"/>
                <w:snapToGrid w:val="0"/>
              </w:rPr>
              <w:t>式中：</w:t>
            </w:r>
          </w:p>
          <w:p w14:paraId="2FBEF87C">
            <w:pPr>
              <w:pStyle w:val="238"/>
              <w:keepNext w:val="0"/>
              <w:keepLines w:val="0"/>
              <w:suppressLineNumbers w:val="0"/>
              <w:spacing w:before="0" w:beforeAutospacing="0" w:after="0" w:afterAutospacing="0"/>
              <w:ind w:left="0" w:right="0" w:firstLine="480"/>
              <w:rPr>
                <w:rFonts w:hint="default" w:ascii="Times New Roman" w:hAnsi="Times New Roman" w:cs="Times New Roman"/>
                <w:snapToGrid w:val="0"/>
              </w:rPr>
            </w:pPr>
            <w:r>
              <w:rPr>
                <w:rFonts w:hint="default" w:ascii="Times New Roman" w:hAnsi="Times New Roman" w:cs="Times New Roman"/>
                <w:snapToGrid w:val="0"/>
              </w:rPr>
              <w:t>L</w:t>
            </w:r>
            <w:r>
              <w:rPr>
                <w:rFonts w:hint="default" w:ascii="Times New Roman" w:hAnsi="Times New Roman" w:cs="Times New Roman"/>
                <w:snapToGrid w:val="0"/>
                <w:vertAlign w:val="subscript"/>
              </w:rPr>
              <w:t>P1i</w:t>
            </w:r>
            <w:r>
              <w:rPr>
                <w:rFonts w:hint="default" w:ascii="Times New Roman" w:hAnsi="Times New Roman" w:cs="Times New Roman"/>
                <w:snapToGrid w:val="0"/>
              </w:rPr>
              <w:t>(T)—靠近围护结构处室内N个声源倍频带的叠加声压级；</w:t>
            </w:r>
          </w:p>
          <w:p w14:paraId="67238B0A">
            <w:pPr>
              <w:pStyle w:val="238"/>
              <w:keepNext w:val="0"/>
              <w:keepLines w:val="0"/>
              <w:suppressLineNumbers w:val="0"/>
              <w:spacing w:before="0" w:beforeAutospacing="0" w:after="0" w:afterAutospacing="0"/>
              <w:ind w:left="0" w:right="0" w:firstLine="480"/>
              <w:rPr>
                <w:rFonts w:hint="default" w:ascii="Times New Roman" w:hAnsi="Times New Roman" w:cs="Times New Roman"/>
                <w:snapToGrid w:val="0"/>
              </w:rPr>
            </w:pPr>
            <w:r>
              <w:rPr>
                <w:rFonts w:hint="default" w:ascii="Times New Roman" w:hAnsi="Times New Roman" w:cs="Times New Roman"/>
                <w:snapToGrid w:val="0"/>
              </w:rPr>
              <w:t>L</w:t>
            </w:r>
            <w:r>
              <w:rPr>
                <w:rFonts w:hint="default" w:ascii="Times New Roman" w:hAnsi="Times New Roman" w:cs="Times New Roman"/>
                <w:snapToGrid w:val="0"/>
                <w:vertAlign w:val="subscript"/>
              </w:rPr>
              <w:t>P1ij</w:t>
            </w:r>
            <w:r>
              <w:rPr>
                <w:rFonts w:hint="default" w:ascii="Times New Roman" w:hAnsi="Times New Roman" w:cs="Times New Roman"/>
                <w:snapToGrid w:val="0"/>
              </w:rPr>
              <w:t>—室内j声源i倍频带的声压级；</w:t>
            </w:r>
          </w:p>
          <w:p w14:paraId="12CB3EAC">
            <w:pPr>
              <w:pStyle w:val="238"/>
              <w:keepNext w:val="0"/>
              <w:keepLines w:val="0"/>
              <w:suppressLineNumbers w:val="0"/>
              <w:spacing w:before="0" w:beforeAutospacing="0" w:after="0" w:afterAutospacing="0"/>
              <w:ind w:left="0" w:right="0" w:firstLine="480"/>
              <w:rPr>
                <w:rFonts w:hint="default" w:ascii="Times New Roman" w:hAnsi="Times New Roman" w:cs="Times New Roman"/>
                <w:snapToGrid w:val="0"/>
              </w:rPr>
            </w:pPr>
            <w:r>
              <w:rPr>
                <w:rFonts w:hint="default" w:ascii="Times New Roman" w:hAnsi="Times New Roman" w:cs="Times New Roman"/>
                <w:snapToGrid w:val="0"/>
              </w:rPr>
              <w:t>N—室内声源总数。</w:t>
            </w:r>
          </w:p>
          <w:p w14:paraId="79062139">
            <w:pPr>
              <w:pStyle w:val="238"/>
              <w:keepNext w:val="0"/>
              <w:keepLines w:val="0"/>
              <w:suppressLineNumbers w:val="0"/>
              <w:spacing w:before="0" w:beforeAutospacing="0" w:after="0" w:afterAutospacing="0"/>
              <w:ind w:left="0" w:right="0" w:firstLine="480"/>
              <w:rPr>
                <w:rFonts w:hint="default" w:ascii="Times New Roman" w:hAnsi="Times New Roman" w:cs="Times New Roman"/>
                <w:snapToGrid w:val="0"/>
              </w:rPr>
            </w:pPr>
            <w:r>
              <w:rPr>
                <w:rFonts w:hint="default" w:ascii="Times New Roman" w:hAnsi="Times New Roman" w:cs="Times New Roman"/>
                <w:snapToGrid w:val="0"/>
              </w:rPr>
              <w:t>③计算出靠近室外围护结构处的声压级</w:t>
            </w:r>
          </w:p>
          <w:p w14:paraId="11A22A6A">
            <w:pPr>
              <w:keepNext w:val="0"/>
              <w:keepLines w:val="0"/>
              <w:widowControl/>
              <w:suppressLineNumbers w:val="0"/>
              <w:spacing w:before="0" w:beforeAutospacing="0" w:after="0" w:afterAutospacing="0"/>
              <w:ind w:left="0" w:right="0"/>
              <w:jc w:val="center"/>
              <w:rPr>
                <w:rFonts w:hint="default" w:ascii="Times New Roman" w:hAnsi="Times New Roman" w:cs="Times New Roman"/>
                <w:kern w:val="0"/>
                <w:sz w:val="24"/>
              </w:rPr>
            </w:pPr>
            <w:r>
              <w:rPr>
                <w:rFonts w:hint="default" w:ascii="Times New Roman" w:hAnsi="Times New Roman" w:cs="Times New Roman"/>
                <w:kern w:val="0"/>
                <w:sz w:val="24"/>
              </w:rPr>
              <w:drawing>
                <wp:inline distT="0" distB="0" distL="114300" distR="114300">
                  <wp:extent cx="1706880" cy="320040"/>
                  <wp:effectExtent l="0" t="0" r="0" b="0"/>
                  <wp:docPr id="2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
                          <pic:cNvPicPr>
                            <a:picLocks noChangeAspect="1"/>
                          </pic:cNvPicPr>
                        </pic:nvPicPr>
                        <pic:blipFill>
                          <a:blip r:embed="rId23"/>
                          <a:stretch>
                            <a:fillRect/>
                          </a:stretch>
                        </pic:blipFill>
                        <pic:spPr>
                          <a:xfrm>
                            <a:off x="0" y="0"/>
                            <a:ext cx="1706880" cy="320040"/>
                          </a:xfrm>
                          <a:prstGeom prst="rect">
                            <a:avLst/>
                          </a:prstGeom>
                          <a:noFill/>
                          <a:ln>
                            <a:noFill/>
                          </a:ln>
                        </pic:spPr>
                      </pic:pic>
                    </a:graphicData>
                  </a:graphic>
                </wp:inline>
              </w:drawing>
            </w:r>
          </w:p>
          <w:p w14:paraId="1F00DB82">
            <w:pPr>
              <w:pStyle w:val="238"/>
              <w:keepNext w:val="0"/>
              <w:keepLines w:val="0"/>
              <w:suppressLineNumbers w:val="0"/>
              <w:spacing w:before="0" w:beforeAutospacing="0" w:after="0" w:afterAutospacing="0"/>
              <w:ind w:left="0" w:right="0" w:firstLine="480"/>
              <w:rPr>
                <w:rFonts w:hint="default" w:ascii="Times New Roman" w:hAnsi="Times New Roman" w:cs="Times New Roman"/>
                <w:snapToGrid w:val="0"/>
              </w:rPr>
            </w:pPr>
            <w:r>
              <w:rPr>
                <w:rFonts w:hint="default" w:ascii="Times New Roman" w:hAnsi="Times New Roman" w:cs="Times New Roman"/>
                <w:snapToGrid w:val="0"/>
              </w:rPr>
              <w:t>式中：</w:t>
            </w:r>
          </w:p>
          <w:p w14:paraId="0507AA1B">
            <w:pPr>
              <w:pStyle w:val="238"/>
              <w:keepNext w:val="0"/>
              <w:keepLines w:val="0"/>
              <w:suppressLineNumbers w:val="0"/>
              <w:spacing w:before="0" w:beforeAutospacing="0" w:after="0" w:afterAutospacing="0"/>
              <w:ind w:left="0" w:right="0" w:firstLine="480"/>
              <w:rPr>
                <w:rFonts w:hint="default" w:ascii="Times New Roman" w:hAnsi="Times New Roman" w:cs="Times New Roman"/>
                <w:snapToGrid w:val="0"/>
              </w:rPr>
            </w:pPr>
            <w:r>
              <w:rPr>
                <w:rFonts w:hint="default" w:ascii="Times New Roman" w:hAnsi="Times New Roman" w:cs="Times New Roman"/>
                <w:snapToGrid w:val="0"/>
              </w:rPr>
              <w:t>L</w:t>
            </w:r>
            <w:r>
              <w:rPr>
                <w:rFonts w:hint="default" w:ascii="Times New Roman" w:hAnsi="Times New Roman" w:cs="Times New Roman"/>
                <w:snapToGrid w:val="0"/>
                <w:vertAlign w:val="subscript"/>
              </w:rPr>
              <w:t>P2i</w:t>
            </w:r>
            <w:r>
              <w:rPr>
                <w:rFonts w:hint="default" w:ascii="Times New Roman" w:hAnsi="Times New Roman" w:cs="Times New Roman"/>
                <w:snapToGrid w:val="0"/>
              </w:rPr>
              <w:t>(T)—靠近围护结构处室外N个声源倍频带的叠加声压级，单位dB；</w:t>
            </w:r>
          </w:p>
          <w:p w14:paraId="50D39382">
            <w:pPr>
              <w:pStyle w:val="238"/>
              <w:keepNext w:val="0"/>
              <w:keepLines w:val="0"/>
              <w:suppressLineNumbers w:val="0"/>
              <w:spacing w:before="0" w:beforeAutospacing="0" w:after="0" w:afterAutospacing="0"/>
              <w:ind w:left="0" w:right="0" w:firstLine="480"/>
              <w:rPr>
                <w:rFonts w:hint="default" w:ascii="Times New Roman" w:hAnsi="Times New Roman" w:cs="Times New Roman"/>
                <w:snapToGrid w:val="0"/>
              </w:rPr>
            </w:pPr>
            <w:r>
              <w:rPr>
                <w:rFonts w:hint="default" w:ascii="Times New Roman" w:hAnsi="Times New Roman" w:cs="Times New Roman"/>
                <w:snapToGrid w:val="0"/>
              </w:rPr>
              <w:t>TL</w:t>
            </w:r>
            <w:r>
              <w:rPr>
                <w:rFonts w:hint="default" w:ascii="Times New Roman" w:hAnsi="Times New Roman" w:cs="Times New Roman"/>
                <w:snapToGrid w:val="0"/>
                <w:vertAlign w:val="subscript"/>
              </w:rPr>
              <w:t>i</w:t>
            </w:r>
            <w:r>
              <w:rPr>
                <w:rFonts w:hint="default" w:ascii="Times New Roman" w:hAnsi="Times New Roman" w:cs="Times New Roman"/>
                <w:snapToGrid w:val="0"/>
              </w:rPr>
              <w:t>—围护结构i倍频带的隔声量，单位dB。</w:t>
            </w:r>
          </w:p>
          <w:p w14:paraId="45B900A4">
            <w:pPr>
              <w:pStyle w:val="238"/>
              <w:keepNext w:val="0"/>
              <w:keepLines w:val="0"/>
              <w:suppressLineNumbers w:val="0"/>
              <w:spacing w:before="0" w:beforeAutospacing="0" w:after="0" w:afterAutospacing="0"/>
              <w:ind w:left="0" w:right="0" w:firstLine="480"/>
              <w:rPr>
                <w:rFonts w:hint="default" w:ascii="Times New Roman" w:hAnsi="Times New Roman" w:cs="Times New Roman"/>
                <w:snapToGrid w:val="0"/>
              </w:rPr>
            </w:pPr>
            <w:r>
              <w:rPr>
                <w:rFonts w:hint="default" w:ascii="Times New Roman" w:hAnsi="Times New Roman" w:cs="Times New Roman"/>
                <w:snapToGrid w:val="0"/>
              </w:rPr>
              <w:t>④将室外声级和透声面积换算成等效的室外声源，计算出等效声源第N个倍频带的声功率级：</w:t>
            </w:r>
          </w:p>
          <w:p w14:paraId="7810DEA9">
            <w:pPr>
              <w:keepNext w:val="0"/>
              <w:keepLines w:val="0"/>
              <w:widowControl/>
              <w:suppressLineNumbers w:val="0"/>
              <w:spacing w:before="0" w:beforeAutospacing="0" w:after="0" w:afterAutospacing="0" w:line="460" w:lineRule="atLeast"/>
              <w:ind w:left="0" w:right="0"/>
              <w:jc w:val="center"/>
              <w:rPr>
                <w:rFonts w:hint="default" w:ascii="Times New Roman" w:hAnsi="Times New Roman" w:cs="Times New Roman"/>
                <w:kern w:val="0"/>
                <w:sz w:val="24"/>
              </w:rPr>
            </w:pPr>
            <w:r>
              <w:rPr>
                <w:rFonts w:hint="default" w:ascii="Times New Roman" w:hAnsi="Times New Roman" w:cs="Times New Roman"/>
                <w:kern w:val="0"/>
                <w:sz w:val="24"/>
              </w:rPr>
              <w:drawing>
                <wp:inline distT="0" distB="0" distL="114300" distR="114300">
                  <wp:extent cx="1386840" cy="304800"/>
                  <wp:effectExtent l="0" t="0" r="0" b="0"/>
                  <wp:docPr id="2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
                          <pic:cNvPicPr>
                            <a:picLocks noChangeAspect="1"/>
                          </pic:cNvPicPr>
                        </pic:nvPicPr>
                        <pic:blipFill>
                          <a:blip r:embed="rId24"/>
                          <a:stretch>
                            <a:fillRect/>
                          </a:stretch>
                        </pic:blipFill>
                        <pic:spPr>
                          <a:xfrm>
                            <a:off x="0" y="0"/>
                            <a:ext cx="1386840" cy="304800"/>
                          </a:xfrm>
                          <a:prstGeom prst="rect">
                            <a:avLst/>
                          </a:prstGeom>
                          <a:noFill/>
                          <a:ln>
                            <a:noFill/>
                          </a:ln>
                        </pic:spPr>
                      </pic:pic>
                    </a:graphicData>
                  </a:graphic>
                </wp:inline>
              </w:drawing>
            </w:r>
          </w:p>
          <w:p w14:paraId="564F4F34">
            <w:pPr>
              <w:pStyle w:val="238"/>
              <w:keepNext w:val="0"/>
              <w:keepLines w:val="0"/>
              <w:suppressLineNumbers w:val="0"/>
              <w:spacing w:before="0" w:beforeAutospacing="0" w:after="0" w:afterAutospacing="0"/>
              <w:ind w:left="0" w:right="0" w:firstLine="480"/>
              <w:rPr>
                <w:rFonts w:hint="default" w:ascii="Times New Roman" w:hAnsi="Times New Roman" w:cs="Times New Roman"/>
                <w:snapToGrid w:val="0"/>
                <w:sz w:val="24"/>
                <w:szCs w:val="24"/>
              </w:rPr>
            </w:pPr>
            <w:r>
              <w:rPr>
                <w:rFonts w:hint="default" w:ascii="Times New Roman" w:hAnsi="Times New Roman" w:cs="Times New Roman"/>
                <w:snapToGrid w:val="0"/>
              </w:rPr>
              <w:t>式中：S为透声</w:t>
            </w:r>
            <w:r>
              <w:rPr>
                <w:rFonts w:hint="default" w:ascii="Times New Roman" w:hAnsi="Times New Roman" w:cs="Times New Roman"/>
                <w:snapToGrid w:val="0"/>
                <w:sz w:val="24"/>
                <w:szCs w:val="24"/>
              </w:rPr>
              <w:t>面积，m</w:t>
            </w:r>
            <w:r>
              <w:rPr>
                <w:rFonts w:hint="default" w:ascii="Times New Roman" w:hAnsi="Times New Roman" w:cs="Times New Roman"/>
                <w:snapToGrid w:val="0"/>
                <w:sz w:val="24"/>
                <w:szCs w:val="24"/>
                <w:vertAlign w:val="superscript"/>
              </w:rPr>
              <w:t>2</w:t>
            </w:r>
            <w:r>
              <w:rPr>
                <w:rFonts w:hint="default" w:ascii="Times New Roman" w:hAnsi="Times New Roman" w:cs="Times New Roman"/>
                <w:snapToGrid w:val="0"/>
                <w:sz w:val="24"/>
                <w:szCs w:val="24"/>
              </w:rPr>
              <w:t>。</w:t>
            </w:r>
          </w:p>
          <w:p w14:paraId="5F2D64F6">
            <w:pPr>
              <w:keepNext w:val="0"/>
              <w:keepLines w:val="0"/>
              <w:suppressLineNumbers w:val="0"/>
              <w:spacing w:before="0" w:beforeLines="50" w:beforeAutospacing="0" w:after="0" w:afterAutospacing="0" w:line="360" w:lineRule="auto"/>
              <w:ind w:left="0" w:right="0" w:firstLine="480" w:firstLineChars="200"/>
              <w:rPr>
                <w:rFonts w:hint="default" w:ascii="Times New Roman" w:hAnsi="Times New Roman" w:cs="Times New Roman"/>
                <w:color w:val="auto"/>
                <w:sz w:val="24"/>
                <w:szCs w:val="24"/>
                <w:lang w:val="en-GB"/>
              </w:rPr>
            </w:pPr>
            <w:r>
              <w:rPr>
                <w:rFonts w:hint="default" w:ascii="Times New Roman" w:hAnsi="Times New Roman" w:cs="Times New Roman"/>
                <w:snapToGrid w:val="0"/>
                <w:sz w:val="24"/>
                <w:szCs w:val="24"/>
              </w:rPr>
              <w:t>然后按室外声源预测方法计算预测点处的A声级</w:t>
            </w:r>
            <w:r>
              <w:rPr>
                <w:rFonts w:hint="default" w:ascii="Times New Roman" w:hAnsi="Times New Roman" w:cs="Times New Roman"/>
                <w:sz w:val="24"/>
                <w:szCs w:val="24"/>
              </w:rPr>
              <w:t>。</w:t>
            </w:r>
          </w:p>
          <w:p w14:paraId="096D62F9">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b w:val="0"/>
                <w:bCs w:val="0"/>
                <w:snapToGrid w:val="0"/>
                <w:color w:val="auto"/>
                <w:sz w:val="24"/>
                <w:szCs w:val="22"/>
              </w:rPr>
            </w:pPr>
            <w:r>
              <w:rPr>
                <w:rFonts w:hint="default" w:ascii="Times New Roman" w:hAnsi="Times New Roman" w:cs="Times New Roman"/>
                <w:b w:val="0"/>
                <w:bCs w:val="0"/>
                <w:snapToGrid w:val="0"/>
                <w:color w:val="auto"/>
                <w:sz w:val="24"/>
                <w:szCs w:val="22"/>
                <w:lang w:eastAsia="zh-CN"/>
              </w:rPr>
              <w:t>（</w:t>
            </w:r>
            <w:r>
              <w:rPr>
                <w:rFonts w:hint="default" w:ascii="Times New Roman" w:hAnsi="Times New Roman" w:cs="Times New Roman"/>
                <w:b w:val="0"/>
                <w:bCs w:val="0"/>
                <w:snapToGrid w:val="0"/>
                <w:color w:val="auto"/>
                <w:sz w:val="24"/>
                <w:szCs w:val="22"/>
                <w:lang w:val="en-US" w:eastAsia="zh-CN"/>
              </w:rPr>
              <w:t>3</w:t>
            </w:r>
            <w:r>
              <w:rPr>
                <w:rFonts w:hint="default" w:ascii="Times New Roman" w:hAnsi="Times New Roman" w:cs="Times New Roman"/>
                <w:b w:val="0"/>
                <w:bCs w:val="0"/>
                <w:snapToGrid w:val="0"/>
                <w:color w:val="auto"/>
                <w:sz w:val="24"/>
                <w:szCs w:val="22"/>
                <w:lang w:eastAsia="zh-CN"/>
              </w:rPr>
              <w:t>）</w:t>
            </w:r>
            <w:r>
              <w:rPr>
                <w:rFonts w:hint="default" w:ascii="Times New Roman" w:hAnsi="Times New Roman" w:cs="Times New Roman"/>
                <w:b w:val="0"/>
                <w:bCs w:val="0"/>
                <w:snapToGrid w:val="0"/>
                <w:color w:val="auto"/>
                <w:sz w:val="24"/>
                <w:szCs w:val="22"/>
              </w:rPr>
              <w:t>达标分析</w:t>
            </w:r>
          </w:p>
          <w:p w14:paraId="4041EA14">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szCs w:val="20"/>
              </w:rPr>
            </w:pPr>
            <w:r>
              <w:rPr>
                <w:rFonts w:hint="default" w:ascii="Times New Roman" w:hAnsi="Times New Roman" w:cs="Times New Roman"/>
                <w:color w:val="auto"/>
                <w:sz w:val="24"/>
                <w:szCs w:val="20"/>
              </w:rPr>
              <w:t>根据</w:t>
            </w:r>
            <w:r>
              <w:rPr>
                <w:rFonts w:hint="default" w:ascii="Times New Roman" w:hAnsi="Times New Roman" w:cs="Times New Roman"/>
                <w:color w:val="auto"/>
                <w:sz w:val="24"/>
              </w:rPr>
              <w:t>《环境影响评价技术导则 声环境》（HJ 2.4—2021）</w:t>
            </w:r>
            <w:r>
              <w:rPr>
                <w:rFonts w:hint="default" w:ascii="Times New Roman" w:hAnsi="Times New Roman" w:cs="Times New Roman"/>
                <w:color w:val="auto"/>
                <w:sz w:val="24"/>
                <w:szCs w:val="20"/>
              </w:rPr>
              <w:t>计算出本项目所有噪声源的噪声贡献值</w:t>
            </w:r>
            <w:r>
              <w:rPr>
                <w:rFonts w:hint="default" w:ascii="Times New Roman" w:hAnsi="Times New Roman" w:cs="Times New Roman"/>
                <w:snapToGrid w:val="0"/>
                <w:color w:val="auto"/>
                <w:sz w:val="24"/>
                <w:szCs w:val="22"/>
              </w:rPr>
              <w:t>。</w:t>
            </w:r>
            <w:r>
              <w:rPr>
                <w:rFonts w:hint="default" w:cs="Times New Roman"/>
                <w:snapToGrid w:val="0"/>
                <w:color w:val="auto"/>
                <w:sz w:val="24"/>
                <w:szCs w:val="22"/>
                <w:lang w:eastAsia="zh-CN"/>
              </w:rPr>
              <w:t>现有工程噪声背景值来自</w:t>
            </w:r>
            <w:r>
              <w:rPr>
                <w:rFonts w:hint="default" w:cs="Times New Roman"/>
                <w:snapToGrid w:val="0"/>
                <w:color w:val="auto"/>
                <w:sz w:val="24"/>
                <w:szCs w:val="22"/>
                <w:lang w:val="en-US" w:eastAsia="zh-CN"/>
              </w:rPr>
              <w:t>天津东海检测技术有限公司出具的检测报告（报告编号：津东海检251015S-06号）</w:t>
            </w:r>
            <w:r>
              <w:rPr>
                <w:rFonts w:hint="default" w:cs="Times New Roman"/>
                <w:snapToGrid w:val="0"/>
                <w:color w:val="auto"/>
                <w:sz w:val="24"/>
                <w:szCs w:val="22"/>
                <w:lang w:eastAsia="zh-CN"/>
              </w:rPr>
              <w:t>，北厂界、西厂界、南厂界不具备检测条件，噪声值参考东厂界噪声值，</w:t>
            </w:r>
            <w:r>
              <w:rPr>
                <w:rFonts w:hint="default" w:ascii="Times New Roman" w:hAnsi="Times New Roman" w:cs="Times New Roman"/>
                <w:color w:val="auto"/>
                <w:sz w:val="24"/>
                <w:szCs w:val="20"/>
              </w:rPr>
              <w:t>预测结果详见</w:t>
            </w:r>
            <w:r>
              <w:rPr>
                <w:rFonts w:hint="default" w:ascii="Times New Roman" w:hAnsi="Times New Roman" w:cs="Times New Roman"/>
                <w:color w:val="auto"/>
                <w:sz w:val="24"/>
                <w:szCs w:val="20"/>
                <w:lang w:eastAsia="zh-CN"/>
              </w:rPr>
              <w:t>下表</w:t>
            </w:r>
            <w:r>
              <w:rPr>
                <w:rFonts w:hint="default" w:ascii="Times New Roman" w:hAnsi="Times New Roman" w:cs="Times New Roman"/>
                <w:color w:val="auto"/>
                <w:sz w:val="24"/>
                <w:szCs w:val="20"/>
              </w:rPr>
              <w:t>。</w:t>
            </w:r>
          </w:p>
          <w:p w14:paraId="03786ACC">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Autospacing="0"/>
              <w:ind w:left="0" w:right="0" w:firstLine="422" w:firstLineChars="200"/>
              <w:jc w:val="center"/>
              <w:textAlignment w:val="baseline"/>
              <w:rPr>
                <w:rFonts w:hint="default" w:ascii="Times New Roman" w:hAnsi="Times New Roman" w:cs="Times New Roman"/>
                <w:b/>
                <w:bCs/>
                <w:color w:val="auto"/>
              </w:rPr>
            </w:pPr>
            <w:r>
              <w:rPr>
                <w:rFonts w:hint="default" w:ascii="Times New Roman" w:hAnsi="Times New Roman" w:cs="Times New Roman"/>
                <w:b/>
                <w:bCs/>
                <w:color w:val="auto"/>
                <w:lang w:val="en-US" w:eastAsia="zh-CN"/>
              </w:rPr>
              <w:t>厂</w:t>
            </w:r>
            <w:r>
              <w:rPr>
                <w:rFonts w:hint="default" w:ascii="Times New Roman" w:hAnsi="Times New Roman" w:cs="Times New Roman"/>
                <w:b/>
                <w:bCs/>
                <w:color w:val="auto"/>
              </w:rPr>
              <w:t>界噪声预测值   单位dB（A）</w:t>
            </w:r>
          </w:p>
          <w:tbl>
            <w:tblPr>
              <w:tblStyle w:val="38"/>
              <w:tblW w:w="79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03"/>
              <w:gridCol w:w="708"/>
              <w:gridCol w:w="708"/>
              <w:gridCol w:w="708"/>
              <w:gridCol w:w="708"/>
              <w:gridCol w:w="708"/>
              <w:gridCol w:w="708"/>
              <w:gridCol w:w="708"/>
              <w:gridCol w:w="708"/>
            </w:tblGrid>
            <w:tr w14:paraId="6BF15D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7" w:hRule="atLeast"/>
                <w:jc w:val="center"/>
              </w:trPr>
              <w:tc>
                <w:tcPr>
                  <w:tcW w:w="2303" w:type="dxa"/>
                  <w:vMerge w:val="restart"/>
                  <w:tcBorders>
                    <w:tl2br w:val="single" w:color="auto" w:sz="4" w:space="0"/>
                  </w:tcBorders>
                  <w:noWrap w:val="0"/>
                  <w:vAlign w:val="center"/>
                </w:tcPr>
                <w:p w14:paraId="710CE2A4">
                  <w:pPr>
                    <w:keepNext w:val="0"/>
                    <w:keepLines w:val="0"/>
                    <w:suppressLineNumbers w:val="0"/>
                    <w:snapToGrid w:val="0"/>
                    <w:spacing w:before="0" w:beforeAutospacing="0" w:after="0" w:afterAutospacing="0" w:line="260" w:lineRule="exact"/>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 xml:space="preserve">       预测点</w:t>
                  </w:r>
                </w:p>
                <w:p w14:paraId="46FEA19F">
                  <w:pPr>
                    <w:keepNext w:val="0"/>
                    <w:keepLines w:val="0"/>
                    <w:suppressLineNumbers w:val="0"/>
                    <w:snapToGrid w:val="0"/>
                    <w:spacing w:before="0" w:beforeAutospacing="0" w:after="0" w:afterAutospacing="0" w:line="260" w:lineRule="exact"/>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时间</w:t>
                  </w:r>
                </w:p>
              </w:tc>
              <w:tc>
                <w:tcPr>
                  <w:tcW w:w="5664" w:type="dxa"/>
                  <w:gridSpan w:val="8"/>
                  <w:noWrap w:val="0"/>
                  <w:vAlign w:val="center"/>
                </w:tcPr>
                <w:p w14:paraId="140410BF">
                  <w:pPr>
                    <w:keepNext w:val="0"/>
                    <w:keepLines w:val="0"/>
                    <w:suppressLineNumbers w:val="0"/>
                    <w:snapToGrid w:val="0"/>
                    <w:spacing w:before="0" w:beforeAutospacing="0" w:after="0" w:afterAutospacing="0" w:line="260" w:lineRule="exact"/>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预测值</w:t>
                  </w:r>
                </w:p>
              </w:tc>
            </w:tr>
            <w:tr w14:paraId="2959FB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9" w:hRule="atLeast"/>
                <w:jc w:val="center"/>
              </w:trPr>
              <w:tc>
                <w:tcPr>
                  <w:tcW w:w="2303" w:type="dxa"/>
                  <w:vMerge w:val="continue"/>
                  <w:noWrap w:val="0"/>
                  <w:vAlign w:val="center"/>
                </w:tcPr>
                <w:p w14:paraId="35DE9942">
                  <w:pPr>
                    <w:keepNext w:val="0"/>
                    <w:keepLines w:val="0"/>
                    <w:suppressLineNumbers w:val="0"/>
                    <w:snapToGrid w:val="0"/>
                    <w:spacing w:before="0" w:beforeAutospacing="0" w:after="0" w:afterAutospacing="0" w:line="260" w:lineRule="exact"/>
                    <w:ind w:left="0" w:right="0"/>
                    <w:jc w:val="center"/>
                    <w:rPr>
                      <w:rFonts w:hint="default" w:ascii="Times New Roman" w:hAnsi="Times New Roman" w:cs="Times New Roman"/>
                      <w:color w:val="auto"/>
                      <w:szCs w:val="21"/>
                      <w:highlight w:val="none"/>
                    </w:rPr>
                  </w:pPr>
                </w:p>
              </w:tc>
              <w:tc>
                <w:tcPr>
                  <w:tcW w:w="1416" w:type="dxa"/>
                  <w:gridSpan w:val="2"/>
                  <w:noWrap w:val="0"/>
                  <w:vAlign w:val="center"/>
                </w:tcPr>
                <w:p w14:paraId="4656402E">
                  <w:pPr>
                    <w:keepNext w:val="0"/>
                    <w:keepLines w:val="0"/>
                    <w:suppressLineNumbers w:val="0"/>
                    <w:snapToGrid w:val="0"/>
                    <w:spacing w:before="0" w:beforeAutospacing="0" w:after="0" w:afterAutospacing="0" w:line="260" w:lineRule="exact"/>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东厂界</w:t>
                  </w:r>
                </w:p>
              </w:tc>
              <w:tc>
                <w:tcPr>
                  <w:tcW w:w="1416" w:type="dxa"/>
                  <w:gridSpan w:val="2"/>
                  <w:noWrap w:val="0"/>
                  <w:vAlign w:val="center"/>
                </w:tcPr>
                <w:p w14:paraId="54B7BCCC">
                  <w:pPr>
                    <w:keepNext w:val="0"/>
                    <w:keepLines w:val="0"/>
                    <w:suppressLineNumbers w:val="0"/>
                    <w:snapToGrid w:val="0"/>
                    <w:spacing w:before="0" w:beforeAutospacing="0" w:after="0" w:afterAutospacing="0" w:line="260" w:lineRule="exact"/>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南厂界</w:t>
                  </w:r>
                </w:p>
              </w:tc>
              <w:tc>
                <w:tcPr>
                  <w:tcW w:w="1416" w:type="dxa"/>
                  <w:gridSpan w:val="2"/>
                  <w:noWrap w:val="0"/>
                  <w:vAlign w:val="center"/>
                </w:tcPr>
                <w:p w14:paraId="780CEEAF">
                  <w:pPr>
                    <w:keepNext w:val="0"/>
                    <w:keepLines w:val="0"/>
                    <w:suppressLineNumbers w:val="0"/>
                    <w:snapToGrid w:val="0"/>
                    <w:spacing w:before="0" w:beforeAutospacing="0" w:after="0" w:afterAutospacing="0" w:line="260" w:lineRule="exact"/>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西厂界</w:t>
                  </w:r>
                </w:p>
              </w:tc>
              <w:tc>
                <w:tcPr>
                  <w:tcW w:w="1416" w:type="dxa"/>
                  <w:gridSpan w:val="2"/>
                  <w:noWrap w:val="0"/>
                  <w:vAlign w:val="center"/>
                </w:tcPr>
                <w:p w14:paraId="10C7E200">
                  <w:pPr>
                    <w:keepNext w:val="0"/>
                    <w:keepLines w:val="0"/>
                    <w:suppressLineNumbers w:val="0"/>
                    <w:snapToGrid w:val="0"/>
                    <w:spacing w:before="0" w:beforeAutospacing="0" w:after="0" w:afterAutospacing="0" w:line="260" w:lineRule="exact"/>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北厂界</w:t>
                  </w:r>
                </w:p>
              </w:tc>
            </w:tr>
            <w:tr w14:paraId="40212B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7" w:hRule="atLeast"/>
                <w:jc w:val="center"/>
              </w:trPr>
              <w:tc>
                <w:tcPr>
                  <w:tcW w:w="2303" w:type="dxa"/>
                  <w:vMerge w:val="continue"/>
                  <w:noWrap w:val="0"/>
                  <w:vAlign w:val="center"/>
                </w:tcPr>
                <w:p w14:paraId="593728D8">
                  <w:pPr>
                    <w:keepNext w:val="0"/>
                    <w:keepLines w:val="0"/>
                    <w:suppressLineNumbers w:val="0"/>
                    <w:snapToGrid w:val="0"/>
                    <w:spacing w:before="0" w:beforeAutospacing="0" w:after="0" w:afterAutospacing="0" w:line="260" w:lineRule="exact"/>
                    <w:ind w:left="0" w:right="0"/>
                    <w:jc w:val="center"/>
                    <w:rPr>
                      <w:rFonts w:hint="default" w:ascii="Times New Roman" w:hAnsi="Times New Roman" w:cs="Times New Roman"/>
                      <w:color w:val="auto"/>
                      <w:szCs w:val="21"/>
                      <w:highlight w:val="none"/>
                    </w:rPr>
                  </w:pPr>
                </w:p>
              </w:tc>
              <w:tc>
                <w:tcPr>
                  <w:tcW w:w="708" w:type="dxa"/>
                  <w:noWrap w:val="0"/>
                  <w:vAlign w:val="center"/>
                </w:tcPr>
                <w:p w14:paraId="561F0252">
                  <w:pPr>
                    <w:keepNext w:val="0"/>
                    <w:keepLines w:val="0"/>
                    <w:suppressLineNumbers w:val="0"/>
                    <w:snapToGrid w:val="0"/>
                    <w:spacing w:before="0" w:beforeAutospacing="0" w:after="0" w:afterAutospacing="0" w:line="260" w:lineRule="exact"/>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昼间</w:t>
                  </w:r>
                </w:p>
              </w:tc>
              <w:tc>
                <w:tcPr>
                  <w:tcW w:w="708" w:type="dxa"/>
                  <w:noWrap w:val="0"/>
                  <w:vAlign w:val="center"/>
                </w:tcPr>
                <w:p w14:paraId="27A59917">
                  <w:pPr>
                    <w:keepNext w:val="0"/>
                    <w:keepLines w:val="0"/>
                    <w:suppressLineNumbers w:val="0"/>
                    <w:snapToGrid w:val="0"/>
                    <w:spacing w:before="0" w:beforeAutospacing="0" w:after="0" w:afterAutospacing="0" w:line="260" w:lineRule="exact"/>
                    <w:ind w:left="0" w:right="0"/>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夜间</w:t>
                  </w:r>
                </w:p>
              </w:tc>
              <w:tc>
                <w:tcPr>
                  <w:tcW w:w="708" w:type="dxa"/>
                  <w:noWrap w:val="0"/>
                  <w:vAlign w:val="center"/>
                </w:tcPr>
                <w:p w14:paraId="1F6FA062">
                  <w:pPr>
                    <w:keepNext w:val="0"/>
                    <w:keepLines w:val="0"/>
                    <w:suppressLineNumbers w:val="0"/>
                    <w:snapToGrid w:val="0"/>
                    <w:spacing w:before="0" w:beforeAutospacing="0" w:after="0" w:afterAutospacing="0" w:line="260" w:lineRule="exac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lang w:val="en-US" w:eastAsia="zh-CN"/>
                    </w:rPr>
                    <w:t>昼间</w:t>
                  </w:r>
                </w:p>
              </w:tc>
              <w:tc>
                <w:tcPr>
                  <w:tcW w:w="708" w:type="dxa"/>
                  <w:noWrap w:val="0"/>
                  <w:vAlign w:val="center"/>
                </w:tcPr>
                <w:p w14:paraId="0D099BB0">
                  <w:pPr>
                    <w:keepNext w:val="0"/>
                    <w:keepLines w:val="0"/>
                    <w:suppressLineNumbers w:val="0"/>
                    <w:snapToGrid w:val="0"/>
                    <w:spacing w:before="0" w:beforeAutospacing="0" w:after="0" w:afterAutospacing="0" w:line="260" w:lineRule="exact"/>
                    <w:ind w:left="0" w:right="0"/>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夜间</w:t>
                  </w:r>
                </w:p>
              </w:tc>
              <w:tc>
                <w:tcPr>
                  <w:tcW w:w="708" w:type="dxa"/>
                  <w:noWrap w:val="0"/>
                  <w:vAlign w:val="center"/>
                </w:tcPr>
                <w:p w14:paraId="694FA89B">
                  <w:pPr>
                    <w:keepNext w:val="0"/>
                    <w:keepLines w:val="0"/>
                    <w:suppressLineNumbers w:val="0"/>
                    <w:snapToGrid w:val="0"/>
                    <w:spacing w:before="0" w:beforeAutospacing="0" w:after="0" w:afterAutospacing="0" w:line="260" w:lineRule="exac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lang w:val="en-US" w:eastAsia="zh-CN"/>
                    </w:rPr>
                    <w:t>昼间</w:t>
                  </w:r>
                </w:p>
              </w:tc>
              <w:tc>
                <w:tcPr>
                  <w:tcW w:w="708" w:type="dxa"/>
                  <w:noWrap w:val="0"/>
                  <w:vAlign w:val="center"/>
                </w:tcPr>
                <w:p w14:paraId="42F7A6CD">
                  <w:pPr>
                    <w:keepNext w:val="0"/>
                    <w:keepLines w:val="0"/>
                    <w:suppressLineNumbers w:val="0"/>
                    <w:snapToGrid w:val="0"/>
                    <w:spacing w:before="0" w:beforeAutospacing="0" w:after="0" w:afterAutospacing="0" w:line="260" w:lineRule="exact"/>
                    <w:ind w:left="0" w:right="0"/>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夜间</w:t>
                  </w:r>
                </w:p>
              </w:tc>
              <w:tc>
                <w:tcPr>
                  <w:tcW w:w="708" w:type="dxa"/>
                  <w:noWrap w:val="0"/>
                  <w:vAlign w:val="center"/>
                </w:tcPr>
                <w:p w14:paraId="02D84DF7">
                  <w:pPr>
                    <w:keepNext w:val="0"/>
                    <w:keepLines w:val="0"/>
                    <w:suppressLineNumbers w:val="0"/>
                    <w:snapToGrid w:val="0"/>
                    <w:spacing w:before="0" w:beforeAutospacing="0" w:after="0" w:afterAutospacing="0" w:line="260" w:lineRule="exac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lang w:val="en-US" w:eastAsia="zh-CN"/>
                    </w:rPr>
                    <w:t>昼间</w:t>
                  </w:r>
                </w:p>
              </w:tc>
              <w:tc>
                <w:tcPr>
                  <w:tcW w:w="708" w:type="dxa"/>
                  <w:noWrap w:val="0"/>
                  <w:vAlign w:val="center"/>
                </w:tcPr>
                <w:p w14:paraId="7E6506A9">
                  <w:pPr>
                    <w:keepNext w:val="0"/>
                    <w:keepLines w:val="0"/>
                    <w:suppressLineNumbers w:val="0"/>
                    <w:snapToGrid w:val="0"/>
                    <w:spacing w:before="0" w:beforeAutospacing="0" w:after="0" w:afterAutospacing="0" w:line="260" w:lineRule="exact"/>
                    <w:ind w:left="0" w:right="0"/>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夜间</w:t>
                  </w:r>
                </w:p>
              </w:tc>
            </w:tr>
            <w:tr w14:paraId="660959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7" w:hRule="atLeast"/>
                <w:jc w:val="center"/>
              </w:trPr>
              <w:tc>
                <w:tcPr>
                  <w:tcW w:w="2303" w:type="dxa"/>
                  <w:noWrap w:val="0"/>
                  <w:vAlign w:val="center"/>
                </w:tcPr>
                <w:p w14:paraId="1342590D">
                  <w:pPr>
                    <w:keepNext w:val="0"/>
                    <w:keepLines w:val="0"/>
                    <w:suppressLineNumbers w:val="0"/>
                    <w:snapToGrid w:val="0"/>
                    <w:spacing w:before="0" w:beforeAutospacing="0" w:after="0" w:afterAutospacing="0" w:line="260" w:lineRule="exact"/>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贡献值dB(A)</w:t>
                  </w:r>
                </w:p>
              </w:tc>
              <w:tc>
                <w:tcPr>
                  <w:tcW w:w="708" w:type="dxa"/>
                  <w:noWrap w:val="0"/>
                  <w:vAlign w:val="center"/>
                </w:tcPr>
                <w:p w14:paraId="5B14EC2A">
                  <w:pPr>
                    <w:keepNext w:val="0"/>
                    <w:keepLines w:val="0"/>
                    <w:suppressLineNumbers w:val="0"/>
                    <w:snapToGrid w:val="0"/>
                    <w:spacing w:before="0" w:beforeAutospacing="0" w:after="0" w:afterAutospacing="0" w:line="260" w:lineRule="exact"/>
                    <w:ind w:left="0" w:right="0"/>
                    <w:jc w:val="center"/>
                    <w:rPr>
                      <w:rFonts w:hint="default" w:ascii="Times New Roman" w:hAnsi="Times New Roman" w:eastAsia="宋体" w:cs="Times New Roman"/>
                      <w:color w:val="auto"/>
                      <w:szCs w:val="21"/>
                      <w:highlight w:val="none"/>
                      <w:lang w:val="en-US" w:eastAsia="zh-CN"/>
                    </w:rPr>
                  </w:pPr>
                  <w:r>
                    <w:rPr>
                      <w:rFonts w:hint="default" w:cs="Times New Roman"/>
                      <w:color w:val="auto"/>
                      <w:szCs w:val="21"/>
                      <w:highlight w:val="none"/>
                      <w:lang w:val="en-US" w:eastAsia="zh-CN"/>
                    </w:rPr>
                    <w:t>15.83</w:t>
                  </w:r>
                </w:p>
              </w:tc>
              <w:tc>
                <w:tcPr>
                  <w:tcW w:w="708" w:type="dxa"/>
                  <w:noWrap w:val="0"/>
                  <w:vAlign w:val="center"/>
                </w:tcPr>
                <w:p w14:paraId="59FED71A">
                  <w:pPr>
                    <w:keepNext w:val="0"/>
                    <w:keepLines w:val="0"/>
                    <w:suppressLineNumbers w:val="0"/>
                    <w:snapToGrid w:val="0"/>
                    <w:spacing w:before="0" w:beforeAutospacing="0" w:after="0" w:afterAutospacing="0" w:line="260" w:lineRule="exact"/>
                    <w:ind w:left="0" w:right="0"/>
                    <w:jc w:val="center"/>
                    <w:rPr>
                      <w:rFonts w:hint="default" w:ascii="Times New Roman" w:hAnsi="Times New Roman" w:cs="Times New Roman"/>
                      <w:color w:val="auto"/>
                      <w:szCs w:val="21"/>
                      <w:highlight w:val="none"/>
                      <w:lang w:val="en-US" w:eastAsia="zh-CN"/>
                    </w:rPr>
                  </w:pPr>
                  <w:r>
                    <w:rPr>
                      <w:rFonts w:hint="default" w:cs="Times New Roman"/>
                      <w:color w:val="auto"/>
                      <w:szCs w:val="21"/>
                      <w:highlight w:val="none"/>
                      <w:lang w:val="en-US" w:eastAsia="zh-CN"/>
                    </w:rPr>
                    <w:t>15.83</w:t>
                  </w:r>
                </w:p>
              </w:tc>
              <w:tc>
                <w:tcPr>
                  <w:tcW w:w="708" w:type="dxa"/>
                  <w:noWrap w:val="0"/>
                  <w:vAlign w:val="center"/>
                </w:tcPr>
                <w:p w14:paraId="4D3CF509">
                  <w:pPr>
                    <w:keepNext w:val="0"/>
                    <w:keepLines w:val="0"/>
                    <w:suppressLineNumbers w:val="0"/>
                    <w:snapToGrid w:val="0"/>
                    <w:spacing w:before="0" w:beforeAutospacing="0" w:after="0" w:afterAutospacing="0" w:line="260" w:lineRule="exact"/>
                    <w:ind w:left="0" w:right="0"/>
                    <w:jc w:val="center"/>
                    <w:rPr>
                      <w:rFonts w:hint="default" w:ascii="Times New Roman" w:hAnsi="Times New Roman" w:eastAsia="宋体" w:cs="Times New Roman"/>
                      <w:color w:val="auto"/>
                      <w:szCs w:val="21"/>
                      <w:highlight w:val="none"/>
                      <w:lang w:val="en-US" w:eastAsia="zh-CN"/>
                    </w:rPr>
                  </w:pPr>
                  <w:r>
                    <w:rPr>
                      <w:rFonts w:hint="default" w:cs="Times New Roman"/>
                      <w:color w:val="auto"/>
                      <w:szCs w:val="21"/>
                      <w:highlight w:val="none"/>
                      <w:lang w:val="en-US" w:eastAsia="zh-CN"/>
                    </w:rPr>
                    <w:t>28.90</w:t>
                  </w:r>
                </w:p>
              </w:tc>
              <w:tc>
                <w:tcPr>
                  <w:tcW w:w="708" w:type="dxa"/>
                  <w:noWrap w:val="0"/>
                  <w:vAlign w:val="center"/>
                </w:tcPr>
                <w:p w14:paraId="18BAC8CB">
                  <w:pPr>
                    <w:keepNext w:val="0"/>
                    <w:keepLines w:val="0"/>
                    <w:suppressLineNumbers w:val="0"/>
                    <w:snapToGrid w:val="0"/>
                    <w:spacing w:before="0" w:beforeAutospacing="0" w:after="0" w:afterAutospacing="0" w:line="260" w:lineRule="exact"/>
                    <w:ind w:left="0" w:right="0"/>
                    <w:jc w:val="center"/>
                    <w:rPr>
                      <w:rFonts w:hint="default" w:ascii="Times New Roman" w:hAnsi="Times New Roman" w:cs="Times New Roman"/>
                      <w:color w:val="auto"/>
                      <w:highlight w:val="none"/>
                      <w:lang w:val="en-US" w:eastAsia="zh-CN"/>
                    </w:rPr>
                  </w:pPr>
                  <w:r>
                    <w:rPr>
                      <w:rFonts w:hint="default" w:cs="Times New Roman"/>
                      <w:color w:val="auto"/>
                      <w:szCs w:val="21"/>
                      <w:highlight w:val="none"/>
                      <w:lang w:val="en-US" w:eastAsia="zh-CN"/>
                    </w:rPr>
                    <w:t>28.90</w:t>
                  </w:r>
                </w:p>
              </w:tc>
              <w:tc>
                <w:tcPr>
                  <w:tcW w:w="708" w:type="dxa"/>
                  <w:noWrap w:val="0"/>
                  <w:vAlign w:val="center"/>
                </w:tcPr>
                <w:p w14:paraId="4161519B">
                  <w:pPr>
                    <w:keepNext w:val="0"/>
                    <w:keepLines w:val="0"/>
                    <w:suppressLineNumbers w:val="0"/>
                    <w:snapToGrid w:val="0"/>
                    <w:spacing w:before="0" w:beforeAutospacing="0" w:after="0" w:afterAutospacing="0" w:line="260" w:lineRule="exact"/>
                    <w:ind w:left="0" w:right="0"/>
                    <w:jc w:val="center"/>
                    <w:rPr>
                      <w:rFonts w:hint="default" w:ascii="Times New Roman" w:hAnsi="Times New Roman" w:eastAsia="宋体" w:cs="Times New Roman"/>
                      <w:color w:val="auto"/>
                      <w:szCs w:val="21"/>
                      <w:highlight w:val="none"/>
                      <w:lang w:val="en-US" w:eastAsia="zh-CN"/>
                    </w:rPr>
                  </w:pPr>
                  <w:r>
                    <w:rPr>
                      <w:rFonts w:hint="default" w:cs="Times New Roman"/>
                      <w:color w:val="auto"/>
                      <w:szCs w:val="21"/>
                      <w:highlight w:val="none"/>
                      <w:lang w:val="en-US" w:eastAsia="zh-CN"/>
                    </w:rPr>
                    <w:t>21.98</w:t>
                  </w:r>
                </w:p>
              </w:tc>
              <w:tc>
                <w:tcPr>
                  <w:tcW w:w="708" w:type="dxa"/>
                  <w:noWrap w:val="0"/>
                  <w:vAlign w:val="center"/>
                </w:tcPr>
                <w:p w14:paraId="20CC476C">
                  <w:pPr>
                    <w:keepNext w:val="0"/>
                    <w:keepLines w:val="0"/>
                    <w:suppressLineNumbers w:val="0"/>
                    <w:snapToGrid w:val="0"/>
                    <w:spacing w:before="0" w:beforeAutospacing="0" w:after="0" w:afterAutospacing="0" w:line="260" w:lineRule="exact"/>
                    <w:ind w:left="0" w:right="0"/>
                    <w:jc w:val="center"/>
                    <w:rPr>
                      <w:rFonts w:hint="default" w:ascii="Times New Roman" w:hAnsi="Times New Roman" w:cs="Times New Roman"/>
                      <w:color w:val="auto"/>
                      <w:szCs w:val="21"/>
                      <w:highlight w:val="none"/>
                      <w:lang w:val="en-US" w:eastAsia="zh-CN"/>
                    </w:rPr>
                  </w:pPr>
                  <w:r>
                    <w:rPr>
                      <w:rFonts w:hint="default" w:cs="Times New Roman"/>
                      <w:color w:val="auto"/>
                      <w:szCs w:val="21"/>
                      <w:highlight w:val="none"/>
                      <w:lang w:val="en-US" w:eastAsia="zh-CN"/>
                    </w:rPr>
                    <w:t>21.98</w:t>
                  </w:r>
                </w:p>
              </w:tc>
              <w:tc>
                <w:tcPr>
                  <w:tcW w:w="708" w:type="dxa"/>
                  <w:noWrap w:val="0"/>
                  <w:vAlign w:val="center"/>
                </w:tcPr>
                <w:p w14:paraId="18C1EE4D">
                  <w:pPr>
                    <w:keepNext w:val="0"/>
                    <w:keepLines w:val="0"/>
                    <w:suppressLineNumbers w:val="0"/>
                    <w:snapToGrid w:val="0"/>
                    <w:spacing w:before="0" w:beforeAutospacing="0" w:after="0" w:afterAutospacing="0" w:line="260" w:lineRule="exact"/>
                    <w:ind w:left="0" w:right="0"/>
                    <w:jc w:val="center"/>
                    <w:rPr>
                      <w:rFonts w:hint="default" w:ascii="Times New Roman" w:hAnsi="Times New Roman" w:eastAsia="宋体" w:cs="Times New Roman"/>
                      <w:color w:val="auto"/>
                      <w:szCs w:val="21"/>
                      <w:highlight w:val="none"/>
                      <w:lang w:val="en-US" w:eastAsia="zh-CN"/>
                    </w:rPr>
                  </w:pPr>
                  <w:r>
                    <w:rPr>
                      <w:rFonts w:hint="default" w:cs="Times New Roman"/>
                      <w:color w:val="auto"/>
                      <w:szCs w:val="21"/>
                      <w:highlight w:val="none"/>
                      <w:lang w:val="en-US" w:eastAsia="zh-CN"/>
                    </w:rPr>
                    <w:t>29.50</w:t>
                  </w:r>
                </w:p>
              </w:tc>
              <w:tc>
                <w:tcPr>
                  <w:tcW w:w="708" w:type="dxa"/>
                  <w:noWrap w:val="0"/>
                  <w:vAlign w:val="center"/>
                </w:tcPr>
                <w:p w14:paraId="68A239F2">
                  <w:pPr>
                    <w:keepNext w:val="0"/>
                    <w:keepLines w:val="0"/>
                    <w:suppressLineNumbers w:val="0"/>
                    <w:snapToGrid w:val="0"/>
                    <w:spacing w:before="0" w:beforeAutospacing="0" w:after="0" w:afterAutospacing="0" w:line="260" w:lineRule="exact"/>
                    <w:ind w:left="0" w:right="0"/>
                    <w:jc w:val="center"/>
                    <w:rPr>
                      <w:rFonts w:hint="default" w:ascii="Times New Roman" w:hAnsi="Times New Roman" w:cs="Times New Roman"/>
                      <w:color w:val="auto"/>
                      <w:szCs w:val="21"/>
                      <w:highlight w:val="none"/>
                      <w:lang w:val="en-US" w:eastAsia="zh-CN"/>
                    </w:rPr>
                  </w:pPr>
                  <w:r>
                    <w:rPr>
                      <w:rFonts w:hint="default" w:cs="Times New Roman"/>
                      <w:color w:val="auto"/>
                      <w:szCs w:val="21"/>
                      <w:highlight w:val="none"/>
                      <w:lang w:val="en-US" w:eastAsia="zh-CN"/>
                    </w:rPr>
                    <w:t>29.50</w:t>
                  </w:r>
                </w:p>
              </w:tc>
            </w:tr>
            <w:tr w14:paraId="455D56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3" w:hRule="atLeast"/>
                <w:jc w:val="center"/>
              </w:trPr>
              <w:tc>
                <w:tcPr>
                  <w:tcW w:w="2303" w:type="dxa"/>
                  <w:noWrap w:val="0"/>
                  <w:vAlign w:val="center"/>
                </w:tcPr>
                <w:p w14:paraId="7F7A7750">
                  <w:pPr>
                    <w:keepNext w:val="0"/>
                    <w:keepLines w:val="0"/>
                    <w:suppressLineNumbers w:val="0"/>
                    <w:snapToGrid w:val="0"/>
                    <w:spacing w:before="0" w:beforeAutospacing="0" w:after="0" w:afterAutospacing="0" w:line="260" w:lineRule="exact"/>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背景值dB(A)</w:t>
                  </w:r>
                </w:p>
              </w:tc>
              <w:tc>
                <w:tcPr>
                  <w:tcW w:w="708" w:type="dxa"/>
                  <w:shd w:val="clear" w:color="auto" w:fill="auto"/>
                  <w:noWrap w:val="0"/>
                  <w:vAlign w:val="center"/>
                </w:tcPr>
                <w:p w14:paraId="7A105CD8">
                  <w:pPr>
                    <w:keepNext w:val="0"/>
                    <w:keepLines w:val="0"/>
                    <w:suppressLineNumbers w:val="0"/>
                    <w:snapToGrid w:val="0"/>
                    <w:spacing w:before="0" w:beforeAutospacing="0" w:after="0" w:afterAutospacing="0" w:line="26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cs="Times New Roman"/>
                      <w:color w:val="auto"/>
                      <w:szCs w:val="21"/>
                      <w:highlight w:val="none"/>
                      <w:lang w:val="en-US" w:eastAsia="zh-CN"/>
                    </w:rPr>
                    <w:t>57</w:t>
                  </w:r>
                </w:p>
              </w:tc>
              <w:tc>
                <w:tcPr>
                  <w:tcW w:w="708" w:type="dxa"/>
                  <w:shd w:val="clear" w:color="auto" w:fill="auto"/>
                  <w:noWrap w:val="0"/>
                  <w:vAlign w:val="center"/>
                </w:tcPr>
                <w:p w14:paraId="15F919ED">
                  <w:pPr>
                    <w:keepNext w:val="0"/>
                    <w:keepLines w:val="0"/>
                    <w:suppressLineNumbers w:val="0"/>
                    <w:snapToGrid w:val="0"/>
                    <w:spacing w:before="0" w:beforeAutospacing="0" w:after="0" w:afterAutospacing="0" w:line="26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cs="Times New Roman"/>
                      <w:color w:val="auto"/>
                      <w:szCs w:val="21"/>
                      <w:highlight w:val="none"/>
                      <w:lang w:val="en-US" w:eastAsia="zh-CN"/>
                    </w:rPr>
                    <w:t>48</w:t>
                  </w:r>
                </w:p>
              </w:tc>
              <w:tc>
                <w:tcPr>
                  <w:tcW w:w="708" w:type="dxa"/>
                  <w:shd w:val="clear" w:color="auto" w:fill="auto"/>
                  <w:noWrap w:val="0"/>
                  <w:vAlign w:val="center"/>
                </w:tcPr>
                <w:p w14:paraId="29FEE07A">
                  <w:pPr>
                    <w:keepNext w:val="0"/>
                    <w:keepLines w:val="0"/>
                    <w:suppressLineNumbers w:val="0"/>
                    <w:snapToGrid w:val="0"/>
                    <w:spacing w:before="0" w:beforeAutospacing="0" w:after="0" w:afterAutospacing="0" w:line="26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cs="Times New Roman"/>
                      <w:color w:val="auto"/>
                      <w:szCs w:val="21"/>
                      <w:highlight w:val="none"/>
                      <w:lang w:val="en-US" w:eastAsia="zh-CN"/>
                    </w:rPr>
                    <w:t>57</w:t>
                  </w:r>
                </w:p>
              </w:tc>
              <w:tc>
                <w:tcPr>
                  <w:tcW w:w="708" w:type="dxa"/>
                  <w:shd w:val="clear" w:color="auto" w:fill="auto"/>
                  <w:noWrap w:val="0"/>
                  <w:vAlign w:val="center"/>
                </w:tcPr>
                <w:p w14:paraId="3D0B7E75">
                  <w:pPr>
                    <w:keepNext w:val="0"/>
                    <w:keepLines w:val="0"/>
                    <w:suppressLineNumbers w:val="0"/>
                    <w:snapToGrid w:val="0"/>
                    <w:spacing w:before="0" w:beforeAutospacing="0" w:after="0" w:afterAutospacing="0" w:line="26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cs="Times New Roman"/>
                      <w:color w:val="auto"/>
                      <w:szCs w:val="21"/>
                      <w:highlight w:val="none"/>
                      <w:lang w:val="en-US" w:eastAsia="zh-CN"/>
                    </w:rPr>
                    <w:t>48</w:t>
                  </w:r>
                </w:p>
              </w:tc>
              <w:tc>
                <w:tcPr>
                  <w:tcW w:w="708" w:type="dxa"/>
                  <w:shd w:val="clear" w:color="auto" w:fill="auto"/>
                  <w:noWrap w:val="0"/>
                  <w:vAlign w:val="center"/>
                </w:tcPr>
                <w:p w14:paraId="6B131CF3">
                  <w:pPr>
                    <w:keepNext w:val="0"/>
                    <w:keepLines w:val="0"/>
                    <w:suppressLineNumbers w:val="0"/>
                    <w:snapToGrid w:val="0"/>
                    <w:spacing w:before="0" w:beforeAutospacing="0" w:after="0" w:afterAutospacing="0" w:line="26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cs="Times New Roman"/>
                      <w:color w:val="auto"/>
                      <w:szCs w:val="21"/>
                      <w:highlight w:val="none"/>
                      <w:lang w:val="en-US" w:eastAsia="zh-CN"/>
                    </w:rPr>
                    <w:t>57</w:t>
                  </w:r>
                </w:p>
              </w:tc>
              <w:tc>
                <w:tcPr>
                  <w:tcW w:w="708" w:type="dxa"/>
                  <w:shd w:val="clear" w:color="auto" w:fill="auto"/>
                  <w:noWrap w:val="0"/>
                  <w:vAlign w:val="center"/>
                </w:tcPr>
                <w:p w14:paraId="2400E340">
                  <w:pPr>
                    <w:keepNext w:val="0"/>
                    <w:keepLines w:val="0"/>
                    <w:suppressLineNumbers w:val="0"/>
                    <w:snapToGrid w:val="0"/>
                    <w:spacing w:before="0" w:beforeAutospacing="0" w:after="0" w:afterAutospacing="0" w:line="26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cs="Times New Roman"/>
                      <w:color w:val="auto"/>
                      <w:szCs w:val="21"/>
                      <w:highlight w:val="none"/>
                      <w:lang w:val="en-US" w:eastAsia="zh-CN"/>
                    </w:rPr>
                    <w:t>48</w:t>
                  </w:r>
                </w:p>
              </w:tc>
              <w:tc>
                <w:tcPr>
                  <w:tcW w:w="708" w:type="dxa"/>
                  <w:shd w:val="clear" w:color="auto" w:fill="auto"/>
                  <w:noWrap w:val="0"/>
                  <w:vAlign w:val="center"/>
                </w:tcPr>
                <w:p w14:paraId="7DEF5E32">
                  <w:pPr>
                    <w:keepNext w:val="0"/>
                    <w:keepLines w:val="0"/>
                    <w:suppressLineNumbers w:val="0"/>
                    <w:snapToGrid w:val="0"/>
                    <w:spacing w:before="0" w:beforeAutospacing="0" w:after="0" w:afterAutospacing="0" w:line="26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cs="Times New Roman"/>
                      <w:color w:val="auto"/>
                      <w:szCs w:val="21"/>
                      <w:highlight w:val="none"/>
                      <w:lang w:val="en-US" w:eastAsia="zh-CN"/>
                    </w:rPr>
                    <w:t>57</w:t>
                  </w:r>
                </w:p>
              </w:tc>
              <w:tc>
                <w:tcPr>
                  <w:tcW w:w="708" w:type="dxa"/>
                  <w:shd w:val="clear" w:color="auto" w:fill="auto"/>
                  <w:noWrap w:val="0"/>
                  <w:vAlign w:val="center"/>
                </w:tcPr>
                <w:p w14:paraId="7645684A">
                  <w:pPr>
                    <w:keepNext w:val="0"/>
                    <w:keepLines w:val="0"/>
                    <w:suppressLineNumbers w:val="0"/>
                    <w:snapToGrid w:val="0"/>
                    <w:spacing w:before="0" w:beforeAutospacing="0" w:after="0" w:afterAutospacing="0" w:line="26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cs="Times New Roman"/>
                      <w:color w:val="auto"/>
                      <w:szCs w:val="21"/>
                      <w:highlight w:val="none"/>
                      <w:lang w:val="en-US" w:eastAsia="zh-CN"/>
                    </w:rPr>
                    <w:t>48</w:t>
                  </w:r>
                </w:p>
              </w:tc>
            </w:tr>
            <w:tr w14:paraId="1DB8A6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6" w:hRule="atLeast"/>
                <w:jc w:val="center"/>
              </w:trPr>
              <w:tc>
                <w:tcPr>
                  <w:tcW w:w="2303" w:type="dxa"/>
                  <w:noWrap w:val="0"/>
                  <w:vAlign w:val="center"/>
                </w:tcPr>
                <w:p w14:paraId="534F97F9">
                  <w:pPr>
                    <w:keepNext w:val="0"/>
                    <w:keepLines w:val="0"/>
                    <w:suppressLineNumbers w:val="0"/>
                    <w:snapToGrid w:val="0"/>
                    <w:spacing w:before="0" w:beforeAutospacing="0" w:after="0" w:afterAutospacing="0" w:line="260" w:lineRule="exact"/>
                    <w:ind w:left="0" w:right="0"/>
                    <w:jc w:val="center"/>
                    <w:rPr>
                      <w:rFonts w:hint="default" w:ascii="Times New Roman" w:hAnsi="Times New Roman" w:cs="Times New Roman"/>
                      <w:color w:val="auto"/>
                      <w:szCs w:val="21"/>
                      <w:highlight w:val="none"/>
                    </w:rPr>
                  </w:pPr>
                  <w:r>
                    <w:rPr>
                      <w:rFonts w:hint="eastAsia" w:cs="Times New Roman"/>
                      <w:color w:val="auto"/>
                      <w:szCs w:val="21"/>
                      <w:highlight w:val="none"/>
                      <w:lang w:eastAsia="zh-CN"/>
                    </w:rPr>
                    <w:t>预测</w:t>
                  </w:r>
                  <w:r>
                    <w:rPr>
                      <w:rFonts w:hint="default" w:ascii="Times New Roman" w:hAnsi="Times New Roman" w:cs="Times New Roman"/>
                      <w:color w:val="auto"/>
                      <w:szCs w:val="21"/>
                      <w:highlight w:val="none"/>
                    </w:rPr>
                    <w:t>值dB(A)</w:t>
                  </w:r>
                </w:p>
              </w:tc>
              <w:tc>
                <w:tcPr>
                  <w:tcW w:w="708" w:type="dxa"/>
                  <w:noWrap w:val="0"/>
                  <w:vAlign w:val="center"/>
                </w:tcPr>
                <w:p w14:paraId="672D3FD4">
                  <w:pPr>
                    <w:keepNext w:val="0"/>
                    <w:keepLines w:val="0"/>
                    <w:suppressLineNumbers w:val="0"/>
                    <w:snapToGrid w:val="0"/>
                    <w:spacing w:before="0" w:beforeAutospacing="0" w:after="0" w:afterAutospacing="0" w:line="260" w:lineRule="exact"/>
                    <w:ind w:left="0" w:right="0"/>
                    <w:jc w:val="center"/>
                    <w:rPr>
                      <w:rFonts w:hint="default" w:ascii="Times New Roman" w:hAnsi="Times New Roman" w:eastAsia="宋体" w:cs="Times New Roman"/>
                      <w:color w:val="auto"/>
                      <w:szCs w:val="21"/>
                      <w:highlight w:val="none"/>
                      <w:lang w:val="en-US" w:eastAsia="zh-CN"/>
                    </w:rPr>
                  </w:pPr>
                  <w:r>
                    <w:rPr>
                      <w:rFonts w:hint="default" w:cs="Times New Roman"/>
                      <w:color w:val="auto"/>
                      <w:szCs w:val="21"/>
                      <w:highlight w:val="none"/>
                      <w:lang w:val="en-US" w:eastAsia="zh-CN"/>
                    </w:rPr>
                    <w:t>57.00</w:t>
                  </w:r>
                </w:p>
              </w:tc>
              <w:tc>
                <w:tcPr>
                  <w:tcW w:w="708" w:type="dxa"/>
                  <w:noWrap w:val="0"/>
                  <w:vAlign w:val="center"/>
                </w:tcPr>
                <w:p w14:paraId="45981E21">
                  <w:pPr>
                    <w:keepNext w:val="0"/>
                    <w:keepLines w:val="0"/>
                    <w:suppressLineNumbers w:val="0"/>
                    <w:snapToGrid w:val="0"/>
                    <w:spacing w:before="0" w:beforeAutospacing="0" w:after="0" w:afterAutospacing="0" w:line="260" w:lineRule="exact"/>
                    <w:ind w:left="0" w:right="0"/>
                    <w:jc w:val="center"/>
                    <w:rPr>
                      <w:rFonts w:hint="default" w:ascii="Times New Roman" w:hAnsi="Times New Roman" w:cs="Times New Roman"/>
                      <w:color w:val="auto"/>
                      <w:szCs w:val="21"/>
                      <w:highlight w:val="none"/>
                      <w:lang w:val="en-US" w:eastAsia="zh-CN"/>
                    </w:rPr>
                  </w:pPr>
                  <w:r>
                    <w:rPr>
                      <w:rFonts w:hint="default" w:cs="Times New Roman"/>
                      <w:color w:val="auto"/>
                      <w:szCs w:val="21"/>
                      <w:highlight w:val="none"/>
                      <w:lang w:val="en-US" w:eastAsia="zh-CN"/>
                    </w:rPr>
                    <w:t>48.00</w:t>
                  </w:r>
                </w:p>
              </w:tc>
              <w:tc>
                <w:tcPr>
                  <w:tcW w:w="708" w:type="dxa"/>
                  <w:noWrap w:val="0"/>
                  <w:vAlign w:val="center"/>
                </w:tcPr>
                <w:p w14:paraId="41B6F92A">
                  <w:pPr>
                    <w:keepNext w:val="0"/>
                    <w:keepLines w:val="0"/>
                    <w:suppressLineNumbers w:val="0"/>
                    <w:snapToGrid w:val="0"/>
                    <w:spacing w:before="0" w:beforeAutospacing="0" w:after="0" w:afterAutospacing="0" w:line="260" w:lineRule="exac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cs="Times New Roman"/>
                      <w:color w:val="auto"/>
                      <w:kern w:val="2"/>
                      <w:sz w:val="21"/>
                      <w:szCs w:val="21"/>
                      <w:highlight w:val="none"/>
                      <w:lang w:val="en-US" w:eastAsia="zh-CN" w:bidi="ar-SA"/>
                    </w:rPr>
                    <w:t>57.01</w:t>
                  </w:r>
                </w:p>
              </w:tc>
              <w:tc>
                <w:tcPr>
                  <w:tcW w:w="708" w:type="dxa"/>
                  <w:noWrap w:val="0"/>
                  <w:vAlign w:val="center"/>
                </w:tcPr>
                <w:p w14:paraId="4E4561A9">
                  <w:pPr>
                    <w:keepNext w:val="0"/>
                    <w:keepLines w:val="0"/>
                    <w:suppressLineNumbers w:val="0"/>
                    <w:snapToGrid w:val="0"/>
                    <w:spacing w:before="0" w:beforeAutospacing="0" w:after="0" w:afterAutospacing="0" w:line="260" w:lineRule="exact"/>
                    <w:ind w:left="0" w:right="0"/>
                    <w:jc w:val="center"/>
                    <w:rPr>
                      <w:rFonts w:hint="default" w:ascii="Times New Roman" w:hAnsi="Times New Roman" w:cs="Times New Roman"/>
                      <w:color w:val="auto"/>
                      <w:szCs w:val="21"/>
                      <w:highlight w:val="none"/>
                      <w:lang w:val="en-US" w:eastAsia="zh-CN"/>
                    </w:rPr>
                  </w:pPr>
                  <w:r>
                    <w:rPr>
                      <w:rFonts w:hint="default" w:cs="Times New Roman"/>
                      <w:color w:val="auto"/>
                      <w:szCs w:val="21"/>
                      <w:highlight w:val="none"/>
                      <w:lang w:val="en-US" w:eastAsia="zh-CN"/>
                    </w:rPr>
                    <w:t>48.05</w:t>
                  </w:r>
                </w:p>
              </w:tc>
              <w:tc>
                <w:tcPr>
                  <w:tcW w:w="708" w:type="dxa"/>
                  <w:noWrap w:val="0"/>
                  <w:vAlign w:val="center"/>
                </w:tcPr>
                <w:p w14:paraId="18AF5802">
                  <w:pPr>
                    <w:keepNext w:val="0"/>
                    <w:keepLines w:val="0"/>
                    <w:suppressLineNumbers w:val="0"/>
                    <w:snapToGrid w:val="0"/>
                    <w:spacing w:before="0" w:beforeAutospacing="0" w:after="0" w:afterAutospacing="0" w:line="260" w:lineRule="exac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cs="Times New Roman"/>
                      <w:color w:val="auto"/>
                      <w:kern w:val="2"/>
                      <w:sz w:val="21"/>
                      <w:szCs w:val="21"/>
                      <w:highlight w:val="none"/>
                      <w:lang w:val="en-US" w:eastAsia="zh-CN" w:bidi="ar-SA"/>
                    </w:rPr>
                    <w:t>57.00</w:t>
                  </w:r>
                </w:p>
              </w:tc>
              <w:tc>
                <w:tcPr>
                  <w:tcW w:w="708" w:type="dxa"/>
                  <w:noWrap w:val="0"/>
                  <w:vAlign w:val="center"/>
                </w:tcPr>
                <w:p w14:paraId="16478026">
                  <w:pPr>
                    <w:keepNext w:val="0"/>
                    <w:keepLines w:val="0"/>
                    <w:suppressLineNumbers w:val="0"/>
                    <w:snapToGrid w:val="0"/>
                    <w:spacing w:before="0" w:beforeAutospacing="0" w:after="0" w:afterAutospacing="0" w:line="260" w:lineRule="exact"/>
                    <w:ind w:left="0" w:right="0"/>
                    <w:jc w:val="center"/>
                    <w:rPr>
                      <w:rFonts w:hint="default" w:ascii="Times New Roman" w:hAnsi="Times New Roman" w:cs="Times New Roman"/>
                      <w:color w:val="auto"/>
                      <w:szCs w:val="21"/>
                      <w:highlight w:val="none"/>
                      <w:lang w:val="en-US" w:eastAsia="zh-CN"/>
                    </w:rPr>
                  </w:pPr>
                  <w:r>
                    <w:rPr>
                      <w:rFonts w:hint="default" w:cs="Times New Roman"/>
                      <w:color w:val="auto"/>
                      <w:szCs w:val="21"/>
                      <w:highlight w:val="none"/>
                      <w:lang w:val="en-US" w:eastAsia="zh-CN"/>
                    </w:rPr>
                    <w:t>48.01</w:t>
                  </w:r>
                </w:p>
              </w:tc>
              <w:tc>
                <w:tcPr>
                  <w:tcW w:w="708" w:type="dxa"/>
                  <w:noWrap w:val="0"/>
                  <w:vAlign w:val="center"/>
                </w:tcPr>
                <w:p w14:paraId="520597ED">
                  <w:pPr>
                    <w:keepNext w:val="0"/>
                    <w:keepLines w:val="0"/>
                    <w:suppressLineNumbers w:val="0"/>
                    <w:snapToGrid w:val="0"/>
                    <w:spacing w:before="0" w:beforeAutospacing="0" w:after="0" w:afterAutospacing="0" w:line="260" w:lineRule="exac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cs="Times New Roman"/>
                      <w:color w:val="auto"/>
                      <w:kern w:val="2"/>
                      <w:sz w:val="21"/>
                      <w:szCs w:val="21"/>
                      <w:highlight w:val="none"/>
                      <w:lang w:val="en-US" w:eastAsia="zh-CN" w:bidi="ar-SA"/>
                    </w:rPr>
                    <w:t>57.01</w:t>
                  </w:r>
                </w:p>
              </w:tc>
              <w:tc>
                <w:tcPr>
                  <w:tcW w:w="708" w:type="dxa"/>
                  <w:noWrap w:val="0"/>
                  <w:vAlign w:val="center"/>
                </w:tcPr>
                <w:p w14:paraId="3DFE6637">
                  <w:pPr>
                    <w:keepNext w:val="0"/>
                    <w:keepLines w:val="0"/>
                    <w:suppressLineNumbers w:val="0"/>
                    <w:snapToGrid w:val="0"/>
                    <w:spacing w:before="0" w:beforeAutospacing="0" w:after="0" w:afterAutospacing="0" w:line="260" w:lineRule="exact"/>
                    <w:ind w:left="0" w:right="0"/>
                    <w:jc w:val="center"/>
                    <w:rPr>
                      <w:rFonts w:hint="default" w:ascii="Times New Roman" w:hAnsi="Times New Roman" w:cs="Times New Roman"/>
                      <w:color w:val="auto"/>
                      <w:szCs w:val="21"/>
                      <w:highlight w:val="none"/>
                      <w:lang w:val="en-US" w:eastAsia="zh-CN"/>
                    </w:rPr>
                  </w:pPr>
                  <w:r>
                    <w:rPr>
                      <w:rFonts w:hint="default" w:cs="Times New Roman"/>
                      <w:color w:val="auto"/>
                      <w:szCs w:val="21"/>
                      <w:highlight w:val="none"/>
                      <w:lang w:val="en-US" w:eastAsia="zh-CN"/>
                    </w:rPr>
                    <w:t>48.06</w:t>
                  </w:r>
                </w:p>
              </w:tc>
            </w:tr>
            <w:tr w14:paraId="78B8C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7" w:hRule="atLeast"/>
                <w:jc w:val="center"/>
              </w:trPr>
              <w:tc>
                <w:tcPr>
                  <w:tcW w:w="2303" w:type="dxa"/>
                  <w:noWrap w:val="0"/>
                  <w:vAlign w:val="center"/>
                </w:tcPr>
                <w:p w14:paraId="0CB43AED">
                  <w:pPr>
                    <w:keepNext w:val="0"/>
                    <w:keepLines w:val="0"/>
                    <w:suppressLineNumbers w:val="0"/>
                    <w:snapToGrid w:val="0"/>
                    <w:spacing w:before="0" w:beforeAutospacing="0" w:after="0" w:afterAutospacing="0" w:line="260" w:lineRule="exact"/>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评价标准dB(A)</w:t>
                  </w:r>
                </w:p>
              </w:tc>
              <w:tc>
                <w:tcPr>
                  <w:tcW w:w="708" w:type="dxa"/>
                  <w:noWrap w:val="0"/>
                  <w:vAlign w:val="center"/>
                </w:tcPr>
                <w:p w14:paraId="300E14E3">
                  <w:pPr>
                    <w:keepNext w:val="0"/>
                    <w:keepLines w:val="0"/>
                    <w:suppressLineNumbers w:val="0"/>
                    <w:snapToGrid w:val="0"/>
                    <w:spacing w:before="0" w:beforeAutospacing="0" w:after="0" w:afterAutospacing="0" w:line="260" w:lineRule="exact"/>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65</w:t>
                  </w:r>
                </w:p>
              </w:tc>
              <w:tc>
                <w:tcPr>
                  <w:tcW w:w="708" w:type="dxa"/>
                  <w:noWrap w:val="0"/>
                  <w:vAlign w:val="center"/>
                </w:tcPr>
                <w:p w14:paraId="387BEBF2">
                  <w:pPr>
                    <w:keepNext w:val="0"/>
                    <w:keepLines w:val="0"/>
                    <w:suppressLineNumbers w:val="0"/>
                    <w:snapToGrid w:val="0"/>
                    <w:spacing w:before="0" w:beforeAutospacing="0" w:after="0" w:afterAutospacing="0" w:line="260" w:lineRule="exact"/>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55</w:t>
                  </w:r>
                </w:p>
              </w:tc>
              <w:tc>
                <w:tcPr>
                  <w:tcW w:w="708" w:type="dxa"/>
                  <w:noWrap w:val="0"/>
                  <w:vAlign w:val="center"/>
                </w:tcPr>
                <w:p w14:paraId="385FD928">
                  <w:pPr>
                    <w:keepNext w:val="0"/>
                    <w:keepLines w:val="0"/>
                    <w:suppressLineNumbers w:val="0"/>
                    <w:snapToGrid w:val="0"/>
                    <w:spacing w:before="0" w:beforeAutospacing="0" w:after="0" w:afterAutospacing="0" w:line="260" w:lineRule="exac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65</w:t>
                  </w:r>
                </w:p>
              </w:tc>
              <w:tc>
                <w:tcPr>
                  <w:tcW w:w="708" w:type="dxa"/>
                  <w:noWrap w:val="0"/>
                  <w:vAlign w:val="center"/>
                </w:tcPr>
                <w:p w14:paraId="170E0DB4">
                  <w:pPr>
                    <w:keepNext w:val="0"/>
                    <w:keepLines w:val="0"/>
                    <w:suppressLineNumbers w:val="0"/>
                    <w:snapToGrid w:val="0"/>
                    <w:spacing w:before="0" w:beforeAutospacing="0" w:after="0" w:afterAutospacing="0" w:line="260" w:lineRule="exac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55</w:t>
                  </w:r>
                </w:p>
              </w:tc>
              <w:tc>
                <w:tcPr>
                  <w:tcW w:w="708" w:type="dxa"/>
                  <w:noWrap w:val="0"/>
                  <w:vAlign w:val="center"/>
                </w:tcPr>
                <w:p w14:paraId="6EE1810B">
                  <w:pPr>
                    <w:keepNext w:val="0"/>
                    <w:keepLines w:val="0"/>
                    <w:suppressLineNumbers w:val="0"/>
                    <w:snapToGrid w:val="0"/>
                    <w:spacing w:before="0" w:beforeAutospacing="0" w:after="0" w:afterAutospacing="0" w:line="260" w:lineRule="exac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65</w:t>
                  </w:r>
                </w:p>
              </w:tc>
              <w:tc>
                <w:tcPr>
                  <w:tcW w:w="708" w:type="dxa"/>
                  <w:noWrap w:val="0"/>
                  <w:vAlign w:val="center"/>
                </w:tcPr>
                <w:p w14:paraId="0601D6FE">
                  <w:pPr>
                    <w:keepNext w:val="0"/>
                    <w:keepLines w:val="0"/>
                    <w:suppressLineNumbers w:val="0"/>
                    <w:snapToGrid w:val="0"/>
                    <w:spacing w:before="0" w:beforeAutospacing="0" w:after="0" w:afterAutospacing="0" w:line="260" w:lineRule="exac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55</w:t>
                  </w:r>
                </w:p>
              </w:tc>
              <w:tc>
                <w:tcPr>
                  <w:tcW w:w="708" w:type="dxa"/>
                  <w:noWrap w:val="0"/>
                  <w:vAlign w:val="center"/>
                </w:tcPr>
                <w:p w14:paraId="26EB991F">
                  <w:pPr>
                    <w:keepNext w:val="0"/>
                    <w:keepLines w:val="0"/>
                    <w:suppressLineNumbers w:val="0"/>
                    <w:snapToGrid w:val="0"/>
                    <w:spacing w:before="0" w:beforeAutospacing="0" w:after="0" w:afterAutospacing="0" w:line="260" w:lineRule="exac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65</w:t>
                  </w:r>
                </w:p>
              </w:tc>
              <w:tc>
                <w:tcPr>
                  <w:tcW w:w="708" w:type="dxa"/>
                  <w:noWrap w:val="0"/>
                  <w:vAlign w:val="center"/>
                </w:tcPr>
                <w:p w14:paraId="1C0A7A0B">
                  <w:pPr>
                    <w:keepNext w:val="0"/>
                    <w:keepLines w:val="0"/>
                    <w:suppressLineNumbers w:val="0"/>
                    <w:snapToGrid w:val="0"/>
                    <w:spacing w:before="0" w:beforeAutospacing="0" w:after="0" w:afterAutospacing="0" w:line="260" w:lineRule="exac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55</w:t>
                  </w:r>
                </w:p>
              </w:tc>
            </w:tr>
            <w:tr w14:paraId="3435C2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9" w:hRule="atLeast"/>
                <w:jc w:val="center"/>
              </w:trPr>
              <w:tc>
                <w:tcPr>
                  <w:tcW w:w="2303" w:type="dxa"/>
                  <w:noWrap w:val="0"/>
                  <w:vAlign w:val="center"/>
                </w:tcPr>
                <w:p w14:paraId="1873411D">
                  <w:pPr>
                    <w:keepNext w:val="0"/>
                    <w:keepLines w:val="0"/>
                    <w:suppressLineNumbers w:val="0"/>
                    <w:snapToGrid w:val="0"/>
                    <w:spacing w:before="0" w:beforeAutospacing="0" w:after="0" w:afterAutospacing="0" w:line="260" w:lineRule="exact"/>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评价结果</w:t>
                  </w:r>
                </w:p>
              </w:tc>
              <w:tc>
                <w:tcPr>
                  <w:tcW w:w="708" w:type="dxa"/>
                  <w:noWrap w:val="0"/>
                  <w:vAlign w:val="center"/>
                </w:tcPr>
                <w:p w14:paraId="0D250F6F">
                  <w:pPr>
                    <w:keepNext w:val="0"/>
                    <w:keepLines w:val="0"/>
                    <w:suppressLineNumbers w:val="0"/>
                    <w:snapToGrid w:val="0"/>
                    <w:spacing w:before="0" w:beforeAutospacing="0" w:after="0" w:afterAutospacing="0" w:line="260" w:lineRule="exact"/>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达标</w:t>
                  </w:r>
                </w:p>
              </w:tc>
              <w:tc>
                <w:tcPr>
                  <w:tcW w:w="708" w:type="dxa"/>
                  <w:noWrap w:val="0"/>
                  <w:vAlign w:val="center"/>
                </w:tcPr>
                <w:p w14:paraId="6540BA86">
                  <w:pPr>
                    <w:keepNext w:val="0"/>
                    <w:keepLines w:val="0"/>
                    <w:suppressLineNumbers w:val="0"/>
                    <w:snapToGrid w:val="0"/>
                    <w:spacing w:before="0" w:beforeAutospacing="0" w:after="0" w:afterAutospacing="0" w:line="260" w:lineRule="exact"/>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达标</w:t>
                  </w:r>
                </w:p>
              </w:tc>
              <w:tc>
                <w:tcPr>
                  <w:tcW w:w="708" w:type="dxa"/>
                  <w:noWrap w:val="0"/>
                  <w:vAlign w:val="center"/>
                </w:tcPr>
                <w:p w14:paraId="3CEB0E7A">
                  <w:pPr>
                    <w:keepNext w:val="0"/>
                    <w:keepLines w:val="0"/>
                    <w:suppressLineNumbers w:val="0"/>
                    <w:snapToGrid w:val="0"/>
                    <w:spacing w:before="0" w:beforeAutospacing="0" w:after="0" w:afterAutospacing="0" w:line="260" w:lineRule="exact"/>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达标</w:t>
                  </w:r>
                </w:p>
              </w:tc>
              <w:tc>
                <w:tcPr>
                  <w:tcW w:w="708" w:type="dxa"/>
                  <w:noWrap w:val="0"/>
                  <w:vAlign w:val="center"/>
                </w:tcPr>
                <w:p w14:paraId="09712DB2">
                  <w:pPr>
                    <w:keepNext w:val="0"/>
                    <w:keepLines w:val="0"/>
                    <w:suppressLineNumbers w:val="0"/>
                    <w:snapToGrid w:val="0"/>
                    <w:spacing w:before="0" w:beforeAutospacing="0" w:after="0" w:afterAutospacing="0" w:line="260" w:lineRule="exact"/>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达标</w:t>
                  </w:r>
                </w:p>
              </w:tc>
              <w:tc>
                <w:tcPr>
                  <w:tcW w:w="708" w:type="dxa"/>
                  <w:noWrap w:val="0"/>
                  <w:vAlign w:val="center"/>
                </w:tcPr>
                <w:p w14:paraId="6F83D18F">
                  <w:pPr>
                    <w:keepNext w:val="0"/>
                    <w:keepLines w:val="0"/>
                    <w:suppressLineNumbers w:val="0"/>
                    <w:snapToGrid w:val="0"/>
                    <w:spacing w:before="0" w:beforeAutospacing="0" w:after="0" w:afterAutospacing="0" w:line="260" w:lineRule="exact"/>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达标</w:t>
                  </w:r>
                </w:p>
              </w:tc>
              <w:tc>
                <w:tcPr>
                  <w:tcW w:w="708" w:type="dxa"/>
                  <w:noWrap w:val="0"/>
                  <w:vAlign w:val="center"/>
                </w:tcPr>
                <w:p w14:paraId="2EE047A2">
                  <w:pPr>
                    <w:keepNext w:val="0"/>
                    <w:keepLines w:val="0"/>
                    <w:suppressLineNumbers w:val="0"/>
                    <w:snapToGrid w:val="0"/>
                    <w:spacing w:before="0" w:beforeAutospacing="0" w:after="0" w:afterAutospacing="0" w:line="260" w:lineRule="exact"/>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达标</w:t>
                  </w:r>
                </w:p>
              </w:tc>
              <w:tc>
                <w:tcPr>
                  <w:tcW w:w="708" w:type="dxa"/>
                  <w:noWrap w:val="0"/>
                  <w:vAlign w:val="center"/>
                </w:tcPr>
                <w:p w14:paraId="354AFD9A">
                  <w:pPr>
                    <w:keepNext w:val="0"/>
                    <w:keepLines w:val="0"/>
                    <w:suppressLineNumbers w:val="0"/>
                    <w:snapToGrid w:val="0"/>
                    <w:spacing w:before="0" w:beforeAutospacing="0" w:after="0" w:afterAutospacing="0" w:line="260" w:lineRule="exact"/>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达标</w:t>
                  </w:r>
                </w:p>
              </w:tc>
              <w:tc>
                <w:tcPr>
                  <w:tcW w:w="708" w:type="dxa"/>
                  <w:noWrap w:val="0"/>
                  <w:vAlign w:val="center"/>
                </w:tcPr>
                <w:p w14:paraId="4487E4A8">
                  <w:pPr>
                    <w:keepNext w:val="0"/>
                    <w:keepLines w:val="0"/>
                    <w:suppressLineNumbers w:val="0"/>
                    <w:snapToGrid w:val="0"/>
                    <w:spacing w:before="0" w:beforeAutospacing="0" w:after="0" w:afterAutospacing="0" w:line="260" w:lineRule="exact"/>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达标</w:t>
                  </w:r>
                </w:p>
              </w:tc>
            </w:tr>
          </w:tbl>
          <w:p w14:paraId="2C66FF7A">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firstLine="480" w:firstLineChars="200"/>
              <w:textAlignment w:val="auto"/>
              <w:rPr>
                <w:rFonts w:hint="default" w:ascii="Times New Roman" w:hAnsi="Times New Roman" w:cs="Times New Roman"/>
                <w:snapToGrid w:val="0"/>
                <w:sz w:val="24"/>
                <w:szCs w:val="22"/>
              </w:rPr>
            </w:pPr>
            <w:r>
              <w:rPr>
                <w:rFonts w:hint="default" w:ascii="Times New Roman" w:hAnsi="Times New Roman" w:cs="Times New Roman"/>
                <w:color w:val="auto"/>
                <w:sz w:val="24"/>
                <w:highlight w:val="none"/>
                <w:u w:val="none" w:color="000000"/>
              </w:rPr>
              <w:t>根据</w:t>
            </w:r>
            <w:r>
              <w:rPr>
                <w:rFonts w:hint="default" w:ascii="Times New Roman" w:hAnsi="Times New Roman" w:cs="Times New Roman"/>
                <w:color w:val="auto"/>
                <w:sz w:val="24"/>
                <w:highlight w:val="none"/>
                <w:u w:val="none" w:color="000000"/>
                <w:lang w:eastAsia="zh-CN"/>
              </w:rPr>
              <w:t>上表</w:t>
            </w:r>
            <w:r>
              <w:rPr>
                <w:rFonts w:hint="default" w:ascii="Times New Roman" w:hAnsi="Times New Roman" w:cs="Times New Roman"/>
                <w:color w:val="auto"/>
                <w:sz w:val="24"/>
                <w:highlight w:val="none"/>
                <w:u w:val="none" w:color="000000"/>
              </w:rPr>
              <w:t>可知，项目采取上述措施并经距离衰减，</w:t>
            </w:r>
            <w:r>
              <w:rPr>
                <w:rFonts w:hint="default" w:ascii="Times New Roman" w:hAnsi="Times New Roman" w:cs="Times New Roman"/>
                <w:color w:val="auto"/>
                <w:sz w:val="24"/>
                <w:highlight w:val="none"/>
                <w:u w:val="none" w:color="000000"/>
                <w:lang w:val="en-US" w:eastAsia="zh-CN"/>
              </w:rPr>
              <w:t>厂</w:t>
            </w:r>
            <w:r>
              <w:rPr>
                <w:rFonts w:hint="default" w:ascii="Times New Roman" w:hAnsi="Times New Roman" w:cs="Times New Roman"/>
                <w:color w:val="auto"/>
                <w:sz w:val="24"/>
                <w:highlight w:val="none"/>
                <w:u w:val="none" w:color="000000"/>
              </w:rPr>
              <w:t>界</w:t>
            </w:r>
            <w:r>
              <w:rPr>
                <w:rFonts w:hint="default" w:cs="Times New Roman"/>
                <w:color w:val="auto"/>
                <w:sz w:val="24"/>
                <w:highlight w:val="none"/>
                <w:u w:val="none" w:color="000000"/>
                <w:lang w:eastAsia="zh-CN"/>
              </w:rPr>
              <w:t>贡献值、叠加值</w:t>
            </w:r>
            <w:r>
              <w:rPr>
                <w:rFonts w:hint="default" w:cs="Times New Roman"/>
                <w:color w:val="auto"/>
                <w:sz w:val="24"/>
                <w:u w:val="none" w:color="000000"/>
                <w:lang w:eastAsia="zh-CN"/>
              </w:rPr>
              <w:t>均</w:t>
            </w:r>
            <w:r>
              <w:rPr>
                <w:rFonts w:hint="default" w:ascii="Times New Roman" w:hAnsi="Times New Roman" w:cs="Times New Roman"/>
                <w:color w:val="auto"/>
                <w:sz w:val="24"/>
                <w:u w:val="none" w:color="000000"/>
              </w:rPr>
              <w:t>可满足《工业企业厂界环境噪声排放标准》（GB12348-2008）</w:t>
            </w:r>
            <w:r>
              <w:rPr>
                <w:rFonts w:hint="default" w:ascii="Times New Roman" w:hAnsi="Times New Roman" w:cs="Times New Roman"/>
                <w:color w:val="auto"/>
                <w:sz w:val="24"/>
                <w:u w:val="none" w:color="000000"/>
                <w:lang w:val="en-US" w:eastAsia="zh-CN"/>
              </w:rPr>
              <w:t>3</w:t>
            </w:r>
            <w:r>
              <w:rPr>
                <w:rFonts w:hint="default" w:ascii="Times New Roman" w:hAnsi="Times New Roman" w:cs="Times New Roman"/>
                <w:color w:val="auto"/>
                <w:sz w:val="24"/>
                <w:u w:val="none" w:color="000000"/>
              </w:rPr>
              <w:t>类标准</w:t>
            </w:r>
            <w:r>
              <w:rPr>
                <w:rFonts w:hint="default" w:ascii="Times New Roman" w:hAnsi="Times New Roman" w:cs="Times New Roman"/>
                <w:color w:val="auto"/>
                <w:sz w:val="24"/>
                <w:u w:val="none" w:color="000000"/>
                <w:lang w:eastAsia="zh-CN"/>
              </w:rPr>
              <w:t>，</w:t>
            </w:r>
            <w:r>
              <w:rPr>
                <w:rFonts w:hint="default" w:ascii="Times New Roman" w:hAnsi="Times New Roman" w:cs="Times New Roman"/>
                <w:color w:val="auto"/>
                <w:sz w:val="24"/>
                <w:u w:val="none" w:color="000000"/>
              </w:rPr>
              <w:t>且</w:t>
            </w:r>
            <w:r>
              <w:rPr>
                <w:rFonts w:hint="default" w:ascii="Times New Roman" w:hAnsi="Times New Roman" w:cs="Times New Roman"/>
                <w:color w:val="auto"/>
                <w:sz w:val="24"/>
                <w:u w:val="none" w:color="000000"/>
                <w:lang w:val="en-US" w:eastAsia="zh-CN"/>
              </w:rPr>
              <w:t>厂界</w:t>
            </w:r>
            <w:r>
              <w:rPr>
                <w:rFonts w:hint="default" w:ascii="Times New Roman" w:hAnsi="Times New Roman" w:cs="Times New Roman"/>
                <w:color w:val="auto"/>
                <w:sz w:val="24"/>
                <w:u w:val="none" w:color="000000"/>
              </w:rPr>
              <w:t>外50m范围没有敏感目标，噪声对周围环境的影响较小</w:t>
            </w:r>
            <w:r>
              <w:rPr>
                <w:rFonts w:hint="default" w:ascii="Times New Roman" w:hAnsi="Times New Roman" w:cs="Times New Roman"/>
                <w:color w:val="auto"/>
                <w:sz w:val="24"/>
              </w:rPr>
              <w:t>。</w:t>
            </w:r>
          </w:p>
          <w:p w14:paraId="58C39E1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b/>
                <w:snapToGrid w:val="0"/>
                <w:sz w:val="24"/>
                <w:szCs w:val="22"/>
              </w:rPr>
            </w:pPr>
            <w:r>
              <w:rPr>
                <w:rFonts w:hint="default" w:ascii="Times New Roman" w:hAnsi="Times New Roman" w:cs="Times New Roman"/>
                <w:color w:val="000000"/>
                <w:sz w:val="24"/>
              </w:rPr>
              <w:t>（3）噪声监测计划</w:t>
            </w:r>
          </w:p>
          <w:p w14:paraId="4F0705F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sz w:val="24"/>
                <w:szCs w:val="22"/>
              </w:rPr>
            </w:pPr>
            <w:r>
              <w:rPr>
                <w:rFonts w:hint="default" w:ascii="Times New Roman" w:hAnsi="Times New Roman" w:cs="Times New Roman"/>
                <w:sz w:val="24"/>
                <w:szCs w:val="22"/>
              </w:rPr>
              <w:t>根据</w:t>
            </w:r>
            <w:r>
              <w:rPr>
                <w:rFonts w:hint="default" w:ascii="Times New Roman" w:hAnsi="Times New Roman" w:cs="Times New Roman"/>
                <w:sz w:val="24"/>
                <w:szCs w:val="22"/>
                <w:lang w:eastAsia="zh-CN"/>
              </w:rPr>
              <w:t>《</w:t>
            </w:r>
            <w:r>
              <w:rPr>
                <w:rFonts w:hint="default" w:ascii="Times New Roman" w:hAnsi="Times New Roman" w:cs="Times New Roman"/>
                <w:sz w:val="24"/>
                <w:szCs w:val="22"/>
                <w:lang w:eastAsia="zh-CN"/>
              </w:rPr>
              <w:fldChar w:fldCharType="begin"/>
            </w:r>
            <w:r>
              <w:rPr>
                <w:rFonts w:hint="default" w:ascii="Times New Roman" w:hAnsi="Times New Roman" w:cs="Times New Roman"/>
                <w:sz w:val="24"/>
                <w:szCs w:val="22"/>
                <w:lang w:eastAsia="zh-CN"/>
              </w:rPr>
              <w:instrText xml:space="preserve"> HYPERLINK "https://www.mee.gov.cn/ywgz/fgbz/bz/bzwb/pwxk/202308/W020230919349861394526.pdf" </w:instrText>
            </w:r>
            <w:r>
              <w:rPr>
                <w:rFonts w:hint="default" w:ascii="Times New Roman" w:hAnsi="Times New Roman" w:cs="Times New Roman"/>
                <w:sz w:val="24"/>
                <w:szCs w:val="22"/>
                <w:lang w:eastAsia="zh-CN"/>
              </w:rPr>
              <w:fldChar w:fldCharType="separate"/>
            </w:r>
            <w:r>
              <w:rPr>
                <w:rFonts w:hint="default" w:ascii="Times New Roman" w:hAnsi="Times New Roman" w:cs="Times New Roman"/>
                <w:sz w:val="24"/>
                <w:szCs w:val="22"/>
                <w:lang w:eastAsia="zh-CN"/>
              </w:rPr>
              <w:t>排污许可证申请与核发技术规范 工业噪声（HJ 1301</w:t>
            </w:r>
            <w:r>
              <w:rPr>
                <w:rFonts w:hint="default" w:ascii="Times New Roman" w:hAnsi="Times New Roman" w:cs="Times New Roman"/>
                <w:sz w:val="24"/>
                <w:szCs w:val="22"/>
                <w:lang w:val="en-US" w:eastAsia="zh-CN"/>
              </w:rPr>
              <w:t>-</w:t>
            </w:r>
            <w:r>
              <w:rPr>
                <w:rFonts w:hint="default" w:ascii="Times New Roman" w:hAnsi="Times New Roman" w:cs="Times New Roman"/>
                <w:sz w:val="24"/>
                <w:szCs w:val="22"/>
                <w:lang w:eastAsia="zh-CN"/>
              </w:rPr>
              <w:t>2023）</w:t>
            </w:r>
            <w:r>
              <w:rPr>
                <w:rFonts w:hint="default" w:ascii="Times New Roman" w:hAnsi="Times New Roman" w:cs="Times New Roman"/>
                <w:sz w:val="24"/>
                <w:szCs w:val="22"/>
                <w:lang w:eastAsia="zh-CN"/>
              </w:rPr>
              <w:fldChar w:fldCharType="end"/>
            </w:r>
            <w:r>
              <w:rPr>
                <w:rFonts w:hint="default" w:ascii="Times New Roman" w:hAnsi="Times New Roman" w:cs="Times New Roman"/>
                <w:sz w:val="24"/>
                <w:szCs w:val="22"/>
                <w:lang w:eastAsia="zh-CN"/>
              </w:rPr>
              <w:t>》及项目特点</w:t>
            </w:r>
            <w:r>
              <w:rPr>
                <w:rFonts w:hint="default" w:ascii="Times New Roman" w:hAnsi="Times New Roman" w:cs="Times New Roman"/>
                <w:sz w:val="24"/>
                <w:szCs w:val="22"/>
              </w:rPr>
              <w:t>，对本项目噪声的日常监测要求详见下表。</w:t>
            </w:r>
          </w:p>
          <w:p w14:paraId="5991D6CF">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Autospacing="0" w:line="240" w:lineRule="auto"/>
              <w:ind w:left="0" w:right="0" w:firstLine="422" w:firstLineChars="200"/>
              <w:jc w:val="center"/>
              <w:textAlignment w:val="auto"/>
              <w:rPr>
                <w:rFonts w:hint="default" w:ascii="Times New Roman" w:hAnsi="Times New Roman" w:cs="Times New Roman"/>
                <w:b/>
                <w:bCs/>
                <w:snapToGrid w:val="0"/>
                <w:sz w:val="21"/>
                <w:szCs w:val="21"/>
              </w:rPr>
            </w:pPr>
            <w:r>
              <w:rPr>
                <w:rFonts w:hint="default" w:ascii="Times New Roman" w:hAnsi="Times New Roman" w:eastAsia="宋体" w:cs="Times New Roman"/>
                <w:b/>
                <w:bCs/>
                <w:color w:val="000000"/>
                <w:kern w:val="0"/>
                <w:sz w:val="21"/>
                <w:szCs w:val="21"/>
                <w:lang w:val="en-US" w:eastAsia="zh-CN" w:bidi="ar-SA"/>
              </w:rPr>
              <w:t>噪声监测要求</w:t>
            </w:r>
          </w:p>
          <w:tbl>
            <w:tblPr>
              <w:tblStyle w:val="3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4"/>
              <w:gridCol w:w="2317"/>
              <w:gridCol w:w="2901"/>
              <w:gridCol w:w="1152"/>
            </w:tblGrid>
            <w:tr w14:paraId="7F41F5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7" w:type="pct"/>
                  <w:noWrap w:val="0"/>
                  <w:vAlign w:val="center"/>
                </w:tcPr>
                <w:p w14:paraId="2BE7C5E3">
                  <w:pPr>
                    <w:keepNext w:val="0"/>
                    <w:keepLines w:val="0"/>
                    <w:suppressLineNumbers w:val="0"/>
                    <w:overflowPunct w:val="0"/>
                    <w:adjustRightInd w:val="0"/>
                    <w:spacing w:before="0" w:beforeAutospacing="0" w:after="0" w:afterAutospacing="0"/>
                    <w:ind w:left="0" w:right="0"/>
                    <w:jc w:val="center"/>
                    <w:textAlignment w:val="baseline"/>
                    <w:rPr>
                      <w:rFonts w:hint="default" w:ascii="Times New Roman" w:hAnsi="Times New Roman" w:cs="Times New Roman"/>
                      <w:color w:val="000000"/>
                      <w:spacing w:val="-6"/>
                      <w:kern w:val="0"/>
                      <w:szCs w:val="21"/>
                    </w:rPr>
                  </w:pPr>
                  <w:r>
                    <w:rPr>
                      <w:rFonts w:hint="default" w:ascii="Times New Roman" w:hAnsi="Times New Roman" w:cs="Times New Roman"/>
                      <w:color w:val="000000"/>
                      <w:spacing w:val="-6"/>
                      <w:kern w:val="0"/>
                      <w:szCs w:val="21"/>
                    </w:rPr>
                    <w:t>污染源</w:t>
                  </w:r>
                </w:p>
              </w:tc>
              <w:tc>
                <w:tcPr>
                  <w:tcW w:w="1408" w:type="pct"/>
                  <w:noWrap w:val="0"/>
                  <w:vAlign w:val="center"/>
                </w:tcPr>
                <w:p w14:paraId="7F4DF4FA">
                  <w:pPr>
                    <w:keepNext w:val="0"/>
                    <w:keepLines w:val="0"/>
                    <w:suppressLineNumbers w:val="0"/>
                    <w:overflowPunct w:val="0"/>
                    <w:adjustRightInd w:val="0"/>
                    <w:spacing w:before="0" w:beforeAutospacing="0" w:after="0" w:afterAutospacing="0"/>
                    <w:ind w:left="0" w:right="0"/>
                    <w:jc w:val="center"/>
                    <w:textAlignment w:val="baseline"/>
                    <w:rPr>
                      <w:rFonts w:hint="default" w:ascii="Times New Roman" w:hAnsi="Times New Roman" w:cs="Times New Roman"/>
                      <w:color w:val="000000"/>
                      <w:spacing w:val="-6"/>
                      <w:kern w:val="0"/>
                      <w:szCs w:val="21"/>
                    </w:rPr>
                  </w:pPr>
                  <w:r>
                    <w:rPr>
                      <w:rFonts w:hint="default" w:ascii="Times New Roman" w:hAnsi="Times New Roman" w:cs="Times New Roman"/>
                      <w:color w:val="000000"/>
                      <w:spacing w:val="-6"/>
                      <w:kern w:val="0"/>
                      <w:szCs w:val="21"/>
                    </w:rPr>
                    <w:t>监测因子</w:t>
                  </w:r>
                </w:p>
              </w:tc>
              <w:tc>
                <w:tcPr>
                  <w:tcW w:w="1763" w:type="pct"/>
                  <w:noWrap w:val="0"/>
                  <w:vAlign w:val="center"/>
                </w:tcPr>
                <w:p w14:paraId="32C5D42A">
                  <w:pPr>
                    <w:keepNext w:val="0"/>
                    <w:keepLines w:val="0"/>
                    <w:suppressLineNumbers w:val="0"/>
                    <w:overflowPunct w:val="0"/>
                    <w:adjustRightInd w:val="0"/>
                    <w:spacing w:before="0" w:beforeAutospacing="0" w:after="0" w:afterAutospacing="0"/>
                    <w:ind w:left="0" w:right="0"/>
                    <w:jc w:val="center"/>
                    <w:textAlignment w:val="baseline"/>
                    <w:rPr>
                      <w:rFonts w:hint="default" w:ascii="Times New Roman" w:hAnsi="Times New Roman" w:cs="Times New Roman"/>
                      <w:color w:val="000000"/>
                      <w:spacing w:val="-6"/>
                      <w:kern w:val="0"/>
                      <w:szCs w:val="21"/>
                    </w:rPr>
                  </w:pPr>
                  <w:r>
                    <w:rPr>
                      <w:rFonts w:hint="default" w:ascii="Times New Roman" w:hAnsi="Times New Roman" w:cs="Times New Roman"/>
                      <w:color w:val="000000"/>
                      <w:spacing w:val="-6"/>
                      <w:kern w:val="0"/>
                      <w:szCs w:val="21"/>
                    </w:rPr>
                    <w:t>监测点位</w:t>
                  </w:r>
                </w:p>
              </w:tc>
              <w:tc>
                <w:tcPr>
                  <w:tcW w:w="700" w:type="pct"/>
                  <w:noWrap w:val="0"/>
                  <w:vAlign w:val="center"/>
                </w:tcPr>
                <w:p w14:paraId="216D614B">
                  <w:pPr>
                    <w:keepNext w:val="0"/>
                    <w:keepLines w:val="0"/>
                    <w:suppressLineNumbers w:val="0"/>
                    <w:overflowPunct w:val="0"/>
                    <w:adjustRightInd w:val="0"/>
                    <w:spacing w:before="0" w:beforeAutospacing="0" w:after="0" w:afterAutospacing="0"/>
                    <w:ind w:left="0" w:right="0"/>
                    <w:jc w:val="center"/>
                    <w:textAlignment w:val="baseline"/>
                    <w:rPr>
                      <w:rFonts w:hint="default" w:ascii="Times New Roman" w:hAnsi="Times New Roman" w:cs="Times New Roman"/>
                      <w:color w:val="000000"/>
                      <w:spacing w:val="-6"/>
                      <w:kern w:val="0"/>
                      <w:szCs w:val="21"/>
                    </w:rPr>
                  </w:pPr>
                  <w:r>
                    <w:rPr>
                      <w:rFonts w:hint="default" w:ascii="Times New Roman" w:hAnsi="Times New Roman" w:cs="Times New Roman"/>
                      <w:color w:val="000000"/>
                      <w:spacing w:val="-6"/>
                      <w:kern w:val="0"/>
                      <w:szCs w:val="21"/>
                    </w:rPr>
                    <w:t>监测频率</w:t>
                  </w:r>
                </w:p>
              </w:tc>
            </w:tr>
            <w:tr w14:paraId="164171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7" w:type="pct"/>
                  <w:noWrap w:val="0"/>
                  <w:vAlign w:val="center"/>
                </w:tcPr>
                <w:p w14:paraId="69B204C6">
                  <w:pPr>
                    <w:keepNext w:val="0"/>
                    <w:keepLines w:val="0"/>
                    <w:suppressLineNumbers w:val="0"/>
                    <w:overflowPunct w:val="0"/>
                    <w:adjustRightInd w:val="0"/>
                    <w:spacing w:before="0" w:beforeAutospacing="0" w:after="0" w:afterAutospacing="0"/>
                    <w:ind w:left="0" w:right="0"/>
                    <w:jc w:val="center"/>
                    <w:textAlignment w:val="baseline"/>
                    <w:rPr>
                      <w:rFonts w:hint="default" w:ascii="Times New Roman" w:hAnsi="Times New Roman" w:cs="Times New Roman"/>
                      <w:color w:val="000000"/>
                      <w:spacing w:val="-6"/>
                      <w:kern w:val="0"/>
                      <w:szCs w:val="21"/>
                    </w:rPr>
                  </w:pPr>
                  <w:r>
                    <w:rPr>
                      <w:rFonts w:hint="default" w:ascii="Times New Roman" w:hAnsi="Times New Roman" w:cs="Times New Roman"/>
                      <w:color w:val="000000"/>
                      <w:spacing w:val="-6"/>
                      <w:kern w:val="0"/>
                      <w:szCs w:val="21"/>
                    </w:rPr>
                    <w:t>设备噪声</w:t>
                  </w:r>
                </w:p>
              </w:tc>
              <w:tc>
                <w:tcPr>
                  <w:tcW w:w="1408" w:type="pct"/>
                  <w:noWrap w:val="0"/>
                  <w:vAlign w:val="center"/>
                </w:tcPr>
                <w:p w14:paraId="3036EB4C">
                  <w:pPr>
                    <w:keepNext w:val="0"/>
                    <w:keepLines w:val="0"/>
                    <w:suppressLineNumbers w:val="0"/>
                    <w:overflowPunct w:val="0"/>
                    <w:adjustRightInd w:val="0"/>
                    <w:spacing w:before="0" w:beforeAutospacing="0" w:after="0" w:afterAutospacing="0"/>
                    <w:ind w:left="0" w:right="0"/>
                    <w:jc w:val="center"/>
                    <w:textAlignment w:val="baseline"/>
                    <w:rPr>
                      <w:rFonts w:hint="default" w:ascii="Times New Roman" w:hAnsi="Times New Roman" w:eastAsia="宋体" w:cs="Times New Roman"/>
                      <w:color w:val="000000"/>
                      <w:spacing w:val="-6"/>
                      <w:kern w:val="0"/>
                      <w:szCs w:val="21"/>
                      <w:lang w:val="en-US" w:eastAsia="zh-CN"/>
                    </w:rPr>
                  </w:pPr>
                  <w:r>
                    <w:rPr>
                      <w:rFonts w:hint="default" w:ascii="Times New Roman" w:hAnsi="Times New Roman" w:cs="Times New Roman"/>
                      <w:color w:val="000000"/>
                      <w:spacing w:val="-6"/>
                      <w:kern w:val="0"/>
                      <w:szCs w:val="21"/>
                    </w:rPr>
                    <w:t>Leq(A)</w:t>
                  </w:r>
                  <w:r>
                    <w:rPr>
                      <w:rFonts w:hint="default"/>
                      <w:lang w:eastAsia="zh-CN"/>
                    </w:rPr>
                    <w:t>、</w:t>
                  </w:r>
                  <w:r>
                    <w:rPr>
                      <w:rFonts w:hint="default"/>
                      <w:lang w:val="en-US" w:eastAsia="zh-CN"/>
                    </w:rPr>
                    <w:t>Lmax</w:t>
                  </w:r>
                </w:p>
              </w:tc>
              <w:tc>
                <w:tcPr>
                  <w:tcW w:w="1763" w:type="pct"/>
                  <w:noWrap w:val="0"/>
                  <w:vAlign w:val="center"/>
                </w:tcPr>
                <w:p w14:paraId="5DA91516">
                  <w:pPr>
                    <w:keepNext w:val="0"/>
                    <w:keepLines w:val="0"/>
                    <w:suppressLineNumbers w:val="0"/>
                    <w:overflowPunct w:val="0"/>
                    <w:adjustRightInd w:val="0"/>
                    <w:spacing w:before="0" w:beforeAutospacing="0" w:after="0" w:afterAutospacing="0"/>
                    <w:ind w:left="0" w:right="0"/>
                    <w:jc w:val="center"/>
                    <w:textAlignment w:val="baseline"/>
                    <w:rPr>
                      <w:rFonts w:hint="default" w:ascii="Times New Roman" w:hAnsi="Times New Roman" w:cs="Times New Roman"/>
                      <w:color w:val="000000"/>
                      <w:spacing w:val="-6"/>
                      <w:kern w:val="0"/>
                      <w:szCs w:val="21"/>
                    </w:rPr>
                  </w:pPr>
                  <w:r>
                    <w:rPr>
                      <w:rFonts w:hint="default" w:ascii="Times New Roman" w:hAnsi="Times New Roman" w:cs="Times New Roman"/>
                      <w:color w:val="000000"/>
                      <w:spacing w:val="-6"/>
                      <w:kern w:val="0"/>
                      <w:szCs w:val="21"/>
                    </w:rPr>
                    <w:t>四周厂界外1m处</w:t>
                  </w:r>
                </w:p>
              </w:tc>
              <w:tc>
                <w:tcPr>
                  <w:tcW w:w="700" w:type="pct"/>
                  <w:noWrap w:val="0"/>
                  <w:vAlign w:val="center"/>
                </w:tcPr>
                <w:p w14:paraId="046D55AE">
                  <w:pPr>
                    <w:keepNext w:val="0"/>
                    <w:keepLines w:val="0"/>
                    <w:suppressLineNumbers w:val="0"/>
                    <w:overflowPunct w:val="0"/>
                    <w:adjustRightInd w:val="0"/>
                    <w:spacing w:before="0" w:beforeAutospacing="0" w:after="0" w:afterAutospacing="0"/>
                    <w:ind w:left="0" w:right="0"/>
                    <w:jc w:val="center"/>
                    <w:textAlignment w:val="baseline"/>
                    <w:rPr>
                      <w:rFonts w:hint="default" w:ascii="Times New Roman" w:hAnsi="Times New Roman" w:cs="Times New Roman"/>
                      <w:color w:val="000000"/>
                      <w:spacing w:val="-6"/>
                      <w:kern w:val="0"/>
                      <w:szCs w:val="21"/>
                    </w:rPr>
                  </w:pPr>
                  <w:r>
                    <w:rPr>
                      <w:rFonts w:hint="default" w:ascii="Times New Roman" w:hAnsi="Times New Roman" w:cs="Times New Roman"/>
                      <w:color w:val="000000"/>
                      <w:spacing w:val="-6"/>
                      <w:kern w:val="0"/>
                      <w:szCs w:val="21"/>
                    </w:rPr>
                    <w:t>1次/季度</w:t>
                  </w:r>
                </w:p>
              </w:tc>
            </w:tr>
          </w:tbl>
          <w:p w14:paraId="56647FB9">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jc w:val="left"/>
              <w:textAlignment w:val="auto"/>
              <w:rPr>
                <w:rFonts w:hint="default" w:ascii="Times New Roman" w:hAnsi="Times New Roman" w:cs="Times New Roman"/>
                <w:b/>
                <w:bCs/>
                <w:sz w:val="24"/>
                <w:szCs w:val="22"/>
              </w:rPr>
            </w:pPr>
            <w:r>
              <w:rPr>
                <w:rFonts w:hint="default" w:ascii="Times New Roman" w:hAnsi="Times New Roman" w:cs="Times New Roman"/>
                <w:b/>
                <w:bCs/>
                <w:sz w:val="24"/>
                <w:szCs w:val="22"/>
              </w:rPr>
              <w:t>4、固体废物</w:t>
            </w:r>
          </w:p>
          <w:p w14:paraId="516AFAE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cs="Times New Roman"/>
                <w:sz w:val="24"/>
                <w:szCs w:val="20"/>
                <w:lang w:eastAsia="zh-CN"/>
              </w:rPr>
            </w:pPr>
            <w:r>
              <w:rPr>
                <w:rFonts w:hint="default" w:ascii="Times New Roman" w:hAnsi="Times New Roman" w:cs="Times New Roman"/>
                <w:sz w:val="24"/>
                <w:szCs w:val="20"/>
                <w:lang w:eastAsia="zh-CN"/>
              </w:rPr>
              <w:t>因</w:t>
            </w:r>
            <w:r>
              <w:rPr>
                <w:rFonts w:hint="default" w:cs="Times New Roman"/>
                <w:sz w:val="24"/>
                <w:szCs w:val="20"/>
                <w:lang w:eastAsia="zh-CN"/>
              </w:rPr>
              <w:t>现有工程固体废物识别不完全</w:t>
            </w:r>
            <w:r>
              <w:rPr>
                <w:rFonts w:hint="default" w:ascii="Times New Roman" w:hAnsi="Times New Roman" w:cs="Times New Roman"/>
                <w:sz w:val="24"/>
                <w:szCs w:val="20"/>
                <w:lang w:eastAsia="zh-CN"/>
              </w:rPr>
              <w:t>，</w:t>
            </w:r>
            <w:r>
              <w:rPr>
                <w:rFonts w:hint="default" w:cs="Times New Roman"/>
                <w:sz w:val="24"/>
                <w:szCs w:val="20"/>
                <w:lang w:eastAsia="zh-CN"/>
              </w:rPr>
              <w:t>且技改完成后全厂原辅料使用总量不变，</w:t>
            </w:r>
            <w:r>
              <w:rPr>
                <w:rFonts w:hint="default" w:ascii="Times New Roman" w:hAnsi="Times New Roman" w:cs="Times New Roman"/>
                <w:sz w:val="24"/>
                <w:szCs w:val="20"/>
                <w:lang w:eastAsia="zh-CN"/>
              </w:rPr>
              <w:t>现对全厂固体废物进行</w:t>
            </w:r>
            <w:r>
              <w:rPr>
                <w:rFonts w:hint="default" w:cs="Times New Roman"/>
                <w:sz w:val="24"/>
                <w:szCs w:val="20"/>
                <w:lang w:eastAsia="zh-CN"/>
              </w:rPr>
              <w:t>整体</w:t>
            </w:r>
            <w:r>
              <w:rPr>
                <w:rFonts w:hint="default" w:ascii="Times New Roman" w:hAnsi="Times New Roman" w:cs="Times New Roman"/>
                <w:sz w:val="24"/>
                <w:szCs w:val="20"/>
                <w:lang w:eastAsia="zh-CN"/>
              </w:rPr>
              <w:t>识别。</w:t>
            </w:r>
          </w:p>
          <w:p w14:paraId="5E6F706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cs="Times New Roman"/>
                <w:sz w:val="24"/>
                <w:szCs w:val="20"/>
              </w:rPr>
            </w:pPr>
            <w:r>
              <w:rPr>
                <w:rFonts w:hint="default" w:ascii="Times New Roman" w:hAnsi="Times New Roman" w:cs="Times New Roman"/>
                <w:sz w:val="24"/>
                <w:szCs w:val="20"/>
                <w:lang w:eastAsia="zh-CN"/>
              </w:rPr>
              <w:t>技改完成后</w:t>
            </w:r>
            <w:r>
              <w:rPr>
                <w:rFonts w:hint="default" w:ascii="Times New Roman" w:hAnsi="Times New Roman" w:cs="Times New Roman"/>
                <w:sz w:val="24"/>
                <w:szCs w:val="20"/>
              </w:rPr>
              <w:t>产生的固废为</w:t>
            </w:r>
            <w:r>
              <w:rPr>
                <w:rFonts w:hint="default" w:ascii="Times New Roman" w:hAnsi="Times New Roman" w:cs="Times New Roman"/>
                <w:sz w:val="24"/>
                <w:szCs w:val="20"/>
                <w:lang w:eastAsia="zh-CN"/>
              </w:rPr>
              <w:t>：废</w:t>
            </w:r>
            <w:r>
              <w:rPr>
                <w:rFonts w:hint="default" w:cs="Times New Roman"/>
                <w:sz w:val="24"/>
                <w:szCs w:val="20"/>
                <w:lang w:eastAsia="zh-CN"/>
              </w:rPr>
              <w:t>水性</w:t>
            </w:r>
            <w:r>
              <w:rPr>
                <w:rFonts w:hint="default" w:ascii="Times New Roman" w:hAnsi="Times New Roman" w:cs="Times New Roman"/>
                <w:sz w:val="24"/>
                <w:szCs w:val="20"/>
                <w:lang w:eastAsia="zh-CN"/>
              </w:rPr>
              <w:t>油墨桶、</w:t>
            </w:r>
            <w:r>
              <w:rPr>
                <w:rFonts w:hint="default" w:cs="Times New Roman"/>
                <w:sz w:val="24"/>
                <w:szCs w:val="20"/>
                <w:lang w:eastAsia="zh-CN"/>
              </w:rPr>
              <w:t>废纯水桶、</w:t>
            </w:r>
            <w:r>
              <w:rPr>
                <w:rFonts w:hint="default" w:ascii="Times New Roman" w:hAnsi="Times New Roman" w:cs="Times New Roman"/>
                <w:sz w:val="24"/>
                <w:szCs w:val="20"/>
                <w:lang w:eastAsia="zh-CN"/>
              </w:rPr>
              <w:t>废抹布、废胶粘剂桶、废边角料、</w:t>
            </w:r>
            <w:r>
              <w:rPr>
                <w:rFonts w:hint="default" w:ascii="Times New Roman" w:hAnsi="Times New Roman" w:cs="Times New Roman"/>
                <w:sz w:val="24"/>
                <w:szCs w:val="20"/>
                <w:lang w:val="en-US" w:eastAsia="zh-CN"/>
              </w:rPr>
              <w:t>不合格品、废活性炭</w:t>
            </w:r>
            <w:r>
              <w:rPr>
                <w:rFonts w:hint="default" w:cs="Times New Roman"/>
                <w:sz w:val="24"/>
                <w:szCs w:val="20"/>
                <w:lang w:val="en-US" w:eastAsia="zh-CN"/>
              </w:rPr>
              <w:t>。</w:t>
            </w:r>
          </w:p>
          <w:p w14:paraId="77E07C2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cs="Times New Roman"/>
                <w:sz w:val="24"/>
                <w:szCs w:val="20"/>
              </w:rPr>
            </w:pPr>
            <w:r>
              <w:rPr>
                <w:rFonts w:hint="default" w:ascii="Times New Roman" w:hAnsi="Times New Roman" w:cs="Times New Roman"/>
                <w:sz w:val="24"/>
                <w:szCs w:val="20"/>
              </w:rPr>
              <w:t>（1）一般工业固体废物</w:t>
            </w:r>
          </w:p>
          <w:p w14:paraId="042BA81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sz w:val="24"/>
                <w:szCs w:val="20"/>
                <w:lang w:val="en-US" w:eastAsia="zh-CN"/>
              </w:rPr>
            </w:pPr>
            <w:r>
              <w:rPr>
                <w:rFonts w:hint="default" w:ascii="Times New Roman" w:hAnsi="Times New Roman" w:cs="Times New Roman"/>
                <w:sz w:val="24"/>
                <w:szCs w:val="20"/>
                <w:lang w:eastAsia="zh-CN"/>
              </w:rPr>
              <w:t>技改完成后全厂</w:t>
            </w:r>
            <w:r>
              <w:rPr>
                <w:rFonts w:hint="default" w:ascii="Times New Roman" w:hAnsi="Times New Roman" w:cs="Times New Roman"/>
                <w:sz w:val="24"/>
                <w:szCs w:val="20"/>
              </w:rPr>
              <w:t>产生的一般工业固体废物为</w:t>
            </w:r>
            <w:r>
              <w:rPr>
                <w:rFonts w:hint="default" w:ascii="Times New Roman" w:hAnsi="Times New Roman" w:cs="Times New Roman"/>
                <w:sz w:val="24"/>
                <w:szCs w:val="20"/>
                <w:lang w:eastAsia="zh-CN"/>
              </w:rPr>
              <w:t>：</w:t>
            </w:r>
            <w:r>
              <w:rPr>
                <w:rFonts w:hint="default" w:ascii="Times New Roman" w:hAnsi="Times New Roman" w:cs="Times New Roman"/>
                <w:sz w:val="24"/>
                <w:szCs w:val="20"/>
                <w:lang w:val="en-US" w:eastAsia="zh-CN"/>
              </w:rPr>
              <w:t>废纯水桶、</w:t>
            </w:r>
            <w:r>
              <w:rPr>
                <w:rFonts w:hint="default" w:ascii="Times New Roman" w:hAnsi="Times New Roman" w:cs="Times New Roman"/>
                <w:sz w:val="24"/>
                <w:szCs w:val="20"/>
                <w:lang w:eastAsia="zh-CN"/>
              </w:rPr>
              <w:t>废边角料、</w:t>
            </w:r>
            <w:r>
              <w:rPr>
                <w:rFonts w:hint="default" w:ascii="Times New Roman" w:hAnsi="Times New Roman" w:cs="Times New Roman"/>
                <w:sz w:val="24"/>
                <w:szCs w:val="20"/>
                <w:lang w:val="en-US" w:eastAsia="zh-CN"/>
              </w:rPr>
              <w:t>不合格品，经收集后暂存于一般固废间定期外售</w:t>
            </w:r>
            <w:r>
              <w:rPr>
                <w:rFonts w:hint="default" w:ascii="Times New Roman" w:hAnsi="Times New Roman" w:cs="Times New Roman"/>
                <w:sz w:val="24"/>
                <w:szCs w:val="20"/>
              </w:rPr>
              <w:t>。</w:t>
            </w:r>
          </w:p>
          <w:p w14:paraId="5E12EFB0">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auto"/>
                <w:sz w:val="24"/>
                <w:lang w:val="en-US" w:eastAsia="zh-CN"/>
              </w:rPr>
            </w:pPr>
            <w:r>
              <w:rPr>
                <w:rFonts w:hint="default" w:ascii="Times New Roman" w:hAnsi="Times New Roman" w:eastAsia="微软雅黑" w:cs="Times New Roman"/>
                <w:color w:val="auto"/>
                <w:sz w:val="24"/>
                <w:lang w:val="en-US" w:eastAsia="zh-CN"/>
              </w:rPr>
              <w:t>①</w:t>
            </w:r>
            <w:r>
              <w:rPr>
                <w:rFonts w:hint="default" w:ascii="Times New Roman" w:hAnsi="Times New Roman" w:eastAsia="宋体" w:cs="Times New Roman"/>
                <w:color w:val="auto"/>
                <w:sz w:val="24"/>
                <w:lang w:val="en-US" w:eastAsia="zh-CN"/>
              </w:rPr>
              <w:t>印刷工序产生废纯水桶，</w:t>
            </w:r>
            <w:r>
              <w:rPr>
                <w:rFonts w:hint="default" w:ascii="Times New Roman" w:hAnsi="Times New Roman" w:eastAsia="宋体" w:cs="Times New Roman"/>
                <w:color w:val="auto"/>
                <w:sz w:val="24"/>
                <w:szCs w:val="24"/>
                <w:lang w:val="en-US" w:eastAsia="zh-CN"/>
              </w:rPr>
              <w:t>废物</w:t>
            </w:r>
            <w:r>
              <w:rPr>
                <w:rFonts w:hint="default" w:ascii="Times New Roman" w:hAnsi="Times New Roman" w:eastAsia="宋体" w:cs="Times New Roman"/>
                <w:color w:val="auto"/>
                <w:sz w:val="24"/>
                <w:szCs w:val="24"/>
                <w:highlight w:val="none"/>
                <w:lang w:val="en-US" w:eastAsia="zh-CN"/>
              </w:rPr>
              <w:t>种类SW17，废物代码900-003-S17，技改项目建成后纯水年耗量为</w:t>
            </w:r>
            <w:r>
              <w:rPr>
                <w:rFonts w:hint="eastAsia"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lang w:val="en-US" w:eastAsia="zh-CN"/>
              </w:rPr>
              <w:t>t/a，纯水规格为25kg/桶，桶重</w:t>
            </w:r>
            <w:r>
              <w:rPr>
                <w:rFonts w:hint="default" w:cs="Times New Roman"/>
                <w:color w:val="auto"/>
                <w:sz w:val="24"/>
                <w:szCs w:val="24"/>
                <w:highlight w:val="none"/>
                <w:lang w:val="en-US" w:eastAsia="zh-CN"/>
              </w:rPr>
              <w:t>0.5</w:t>
            </w:r>
            <w:r>
              <w:rPr>
                <w:rFonts w:hint="default" w:ascii="Times New Roman" w:hAnsi="Times New Roman" w:eastAsia="宋体" w:cs="Times New Roman"/>
                <w:color w:val="auto"/>
                <w:sz w:val="24"/>
                <w:szCs w:val="24"/>
                <w:highlight w:val="none"/>
                <w:lang w:val="en-US" w:eastAsia="zh-CN"/>
              </w:rPr>
              <w:t>kg，则技改后全厂产生废纯水桶</w:t>
            </w:r>
            <w:r>
              <w:rPr>
                <w:rFonts w:hint="eastAsia" w:cs="Times New Roman"/>
                <w:color w:val="auto"/>
                <w:sz w:val="24"/>
                <w:szCs w:val="24"/>
                <w:highlight w:val="none"/>
                <w:lang w:val="en-US" w:eastAsia="zh-CN"/>
              </w:rPr>
              <w:t>200</w:t>
            </w:r>
            <w:r>
              <w:rPr>
                <w:rFonts w:hint="default" w:ascii="Times New Roman" w:hAnsi="Times New Roman" w:eastAsia="宋体" w:cs="Times New Roman"/>
                <w:color w:val="auto"/>
                <w:sz w:val="24"/>
                <w:szCs w:val="24"/>
                <w:highlight w:val="none"/>
                <w:lang w:val="en-US" w:eastAsia="zh-CN"/>
              </w:rPr>
              <w:t>个/a，产生量为0.</w:t>
            </w:r>
            <w:r>
              <w:rPr>
                <w:rFonts w:hint="eastAsia" w:cs="Times New Roman"/>
                <w:color w:val="auto"/>
                <w:sz w:val="24"/>
                <w:szCs w:val="24"/>
                <w:highlight w:val="none"/>
                <w:lang w:val="en-US" w:eastAsia="zh-CN"/>
              </w:rPr>
              <w:t>1</w:t>
            </w:r>
            <w:r>
              <w:rPr>
                <w:rFonts w:hint="default" w:ascii="Times New Roman" w:hAnsi="Times New Roman" w:eastAsia="宋体" w:cs="Times New Roman"/>
                <w:color w:val="auto"/>
                <w:sz w:val="24"/>
                <w:szCs w:val="24"/>
                <w:highlight w:val="none"/>
                <w:lang w:val="en-US" w:eastAsia="zh-CN"/>
              </w:rPr>
              <w:t>t/a，</w:t>
            </w:r>
            <w:r>
              <w:rPr>
                <w:rFonts w:hint="default" w:ascii="Times New Roman" w:hAnsi="Times New Roman" w:cs="Times New Roman"/>
                <w:sz w:val="24"/>
                <w:szCs w:val="20"/>
                <w:lang w:val="en-US" w:eastAsia="zh-CN"/>
              </w:rPr>
              <w:t>经收集后暂存于一般固废间定期外售</w:t>
            </w:r>
            <w:r>
              <w:rPr>
                <w:rFonts w:hint="default" w:ascii="Times New Roman" w:hAnsi="Times New Roman" w:eastAsia="宋体" w:cs="Times New Roman"/>
                <w:color w:val="auto"/>
                <w:sz w:val="24"/>
                <w:szCs w:val="24"/>
                <w:highlight w:val="none"/>
                <w:lang w:val="en-US" w:eastAsia="zh-CN"/>
              </w:rPr>
              <w:t>；</w:t>
            </w:r>
          </w:p>
          <w:p w14:paraId="5300A19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sz w:val="24"/>
                <w:szCs w:val="20"/>
                <w:lang w:eastAsia="zh-CN"/>
              </w:rPr>
            </w:pPr>
            <w:r>
              <w:rPr>
                <w:rFonts w:hint="default" w:ascii="Times New Roman" w:hAnsi="Times New Roman" w:eastAsia="宋体" w:cs="Times New Roman"/>
                <w:sz w:val="24"/>
                <w:szCs w:val="20"/>
                <w:lang w:eastAsia="zh-CN"/>
              </w:rPr>
              <w:t>②分切工序产生废边角料，废物种类</w:t>
            </w:r>
            <w:r>
              <w:rPr>
                <w:rFonts w:hint="default" w:ascii="Times New Roman" w:hAnsi="Times New Roman" w:eastAsia="宋体" w:cs="Times New Roman"/>
                <w:color w:val="auto"/>
                <w:sz w:val="24"/>
                <w:szCs w:val="24"/>
                <w:highlight w:val="none"/>
                <w:lang w:val="en-US" w:eastAsia="zh-CN"/>
              </w:rPr>
              <w:t>SW17，废物代码900-003-S17，</w:t>
            </w:r>
            <w:r>
              <w:rPr>
                <w:rFonts w:hint="default" w:ascii="Times New Roman" w:hAnsi="Times New Roman" w:eastAsia="宋体" w:cs="Times New Roman"/>
                <w:color w:val="auto"/>
                <w:sz w:val="24"/>
                <w:lang w:val="en-US" w:eastAsia="zh-CN"/>
              </w:rPr>
              <w:t>技改项目建成后原辅料年耗量不变，总产能不变，则技改后全厂废边角料产生量为3.5t/a，</w:t>
            </w:r>
            <w:r>
              <w:rPr>
                <w:rFonts w:hint="default" w:ascii="Times New Roman" w:hAnsi="Times New Roman" w:cs="Times New Roman"/>
                <w:sz w:val="24"/>
                <w:szCs w:val="20"/>
                <w:lang w:val="en-US" w:eastAsia="zh-CN"/>
              </w:rPr>
              <w:t>经收集后暂存于一般固废间定期外售</w:t>
            </w:r>
            <w:r>
              <w:rPr>
                <w:rFonts w:hint="default" w:ascii="Times New Roman" w:hAnsi="Times New Roman" w:eastAsia="宋体" w:cs="Times New Roman"/>
                <w:color w:val="auto"/>
                <w:sz w:val="24"/>
                <w:lang w:val="en-US" w:eastAsia="zh-CN"/>
              </w:rPr>
              <w:t>；</w:t>
            </w:r>
          </w:p>
          <w:p w14:paraId="19B5C83A">
            <w:pPr>
              <w:keepNext w:val="0"/>
              <w:keepLines w:val="0"/>
              <w:pageBreakBefore w:val="0"/>
              <w:widowControl/>
              <w:suppressLineNumbers w:val="0"/>
              <w:kinsoku/>
              <w:wordWrap/>
              <w:overflowPunct/>
              <w:topLinePunct w:val="0"/>
              <w:autoSpaceDE w:val="0"/>
              <w:autoSpaceDN w:val="0"/>
              <w:bidi w:val="0"/>
              <w:adjustRightIn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auto"/>
                <w:sz w:val="24"/>
                <w:lang w:val="en-US" w:eastAsia="zh-CN"/>
              </w:rPr>
            </w:pPr>
            <w:r>
              <w:rPr>
                <w:rFonts w:hint="default" w:ascii="Times New Roman" w:hAnsi="Times New Roman" w:eastAsia="微软雅黑" w:cs="Times New Roman"/>
                <w:color w:val="auto"/>
                <w:sz w:val="24"/>
                <w:lang w:val="en-US" w:eastAsia="zh-CN"/>
              </w:rPr>
              <w:t>③</w:t>
            </w:r>
            <w:r>
              <w:rPr>
                <w:rFonts w:hint="default" w:ascii="Times New Roman" w:hAnsi="Times New Roman" w:eastAsia="宋体" w:cs="Times New Roman"/>
                <w:color w:val="auto"/>
                <w:sz w:val="24"/>
                <w:lang w:val="en-US" w:eastAsia="zh-CN"/>
              </w:rPr>
              <w:t>检验工序产生不合格品，</w:t>
            </w:r>
            <w:r>
              <w:rPr>
                <w:rFonts w:hint="default" w:ascii="Times New Roman" w:hAnsi="Times New Roman" w:eastAsia="宋体" w:cs="Times New Roman"/>
                <w:color w:val="auto"/>
                <w:sz w:val="24"/>
                <w:szCs w:val="24"/>
                <w:lang w:val="en-US" w:eastAsia="zh-CN"/>
              </w:rPr>
              <w:t>废物</w:t>
            </w:r>
            <w:r>
              <w:rPr>
                <w:rFonts w:hint="default" w:ascii="Times New Roman" w:hAnsi="Times New Roman" w:eastAsia="宋体" w:cs="Times New Roman"/>
                <w:color w:val="auto"/>
                <w:sz w:val="24"/>
                <w:szCs w:val="24"/>
                <w:highlight w:val="none"/>
                <w:lang w:val="en-US" w:eastAsia="zh-CN"/>
              </w:rPr>
              <w:t>种类SW17，废物代码900-003-S17，不合格品为原料的0.1%</w:t>
            </w:r>
            <w:r>
              <w:rPr>
                <w:rFonts w:hint="default" w:ascii="Times New Roman" w:hAnsi="Times New Roman" w:eastAsia="宋体" w:cs="Times New Roman"/>
                <w:color w:val="auto"/>
                <w:sz w:val="24"/>
                <w:lang w:val="en-US" w:eastAsia="zh-CN"/>
              </w:rPr>
              <w:t>，技改项目建成后全厂聚乙烯、聚酯薄膜年耗量共4300t/a，则不合格品产生量约为4.3t/a，</w:t>
            </w:r>
            <w:r>
              <w:rPr>
                <w:rFonts w:hint="default" w:ascii="Times New Roman" w:hAnsi="Times New Roman" w:cs="Times New Roman"/>
                <w:sz w:val="24"/>
                <w:szCs w:val="20"/>
                <w:lang w:val="en-US" w:eastAsia="zh-CN"/>
              </w:rPr>
              <w:t>经收集后暂存于一般固废间定期外售</w:t>
            </w:r>
            <w:r>
              <w:rPr>
                <w:rFonts w:hint="default" w:ascii="Times New Roman" w:hAnsi="Times New Roman" w:eastAsia="宋体" w:cs="Times New Roman"/>
                <w:color w:val="auto"/>
                <w:sz w:val="24"/>
                <w:lang w:val="en-US" w:eastAsia="zh-CN"/>
              </w:rPr>
              <w:t>。</w:t>
            </w:r>
          </w:p>
          <w:p w14:paraId="5DB4A9A5">
            <w:pPr>
              <w:keepNext w:val="0"/>
              <w:keepLines w:val="0"/>
              <w:suppressLineNumbers w:val="0"/>
              <w:spacing w:before="0" w:beforeLines="0" w:beforeAutospacing="0" w:after="0" w:afterAutospacing="0" w:line="240" w:lineRule="auto"/>
              <w:ind w:left="0" w:right="0" w:firstLine="422" w:firstLineChars="200"/>
              <w:jc w:val="center"/>
              <w:rPr>
                <w:rFonts w:hint="default" w:ascii="Times New Roman" w:hAnsi="Times New Roman" w:eastAsia="宋体" w:cs="Times New Roman"/>
                <w:b/>
                <w:bCs/>
                <w:color w:val="000000"/>
                <w:kern w:val="0"/>
                <w:sz w:val="21"/>
                <w:szCs w:val="21"/>
                <w:lang w:val="en-US" w:eastAsia="zh-CN" w:bidi="ar-SA"/>
              </w:rPr>
            </w:pPr>
            <w:r>
              <w:rPr>
                <w:rFonts w:hint="default" w:ascii="Times New Roman" w:hAnsi="Times New Roman" w:eastAsia="宋体" w:cs="Times New Roman"/>
                <w:b/>
                <w:bCs/>
                <w:color w:val="000000"/>
                <w:kern w:val="0"/>
                <w:sz w:val="21"/>
                <w:szCs w:val="21"/>
                <w:lang w:val="en-US" w:eastAsia="zh-CN" w:bidi="ar-SA"/>
              </w:rPr>
              <w:t>技改项目完成后一般固体废物产生及处置情况一览表</w:t>
            </w:r>
          </w:p>
          <w:tbl>
            <w:tblPr>
              <w:tblStyle w:val="3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82"/>
              <w:gridCol w:w="555"/>
              <w:gridCol w:w="990"/>
              <w:gridCol w:w="555"/>
              <w:gridCol w:w="1230"/>
              <w:gridCol w:w="555"/>
              <w:gridCol w:w="690"/>
              <w:gridCol w:w="540"/>
              <w:gridCol w:w="600"/>
              <w:gridCol w:w="673"/>
              <w:gridCol w:w="782"/>
              <w:gridCol w:w="672"/>
            </w:tblGrid>
            <w:tr w14:paraId="2B4566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97" w:hRule="atLeast"/>
                <w:jc w:val="center"/>
              </w:trPr>
              <w:tc>
                <w:tcPr>
                  <w:tcW w:w="232" w:type="pct"/>
                  <w:noWrap w:val="0"/>
                  <w:tcMar>
                    <w:left w:w="0" w:type="dxa"/>
                    <w:right w:w="0" w:type="dxa"/>
                  </w:tcMar>
                  <w:vAlign w:val="center"/>
                </w:tcPr>
                <w:p w14:paraId="6D016290">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lang w:eastAsia="zh-CN"/>
                    </w:rPr>
                  </w:pPr>
                  <w:r>
                    <w:rPr>
                      <w:rFonts w:hint="default" w:ascii="Times New Roman" w:hAnsi="Times New Roman" w:cs="Times New Roman"/>
                      <w:lang w:eastAsia="zh-CN"/>
                    </w:rPr>
                    <w:t>序号</w:t>
                  </w:r>
                </w:p>
              </w:tc>
              <w:tc>
                <w:tcPr>
                  <w:tcW w:w="337" w:type="pct"/>
                  <w:noWrap w:val="0"/>
                  <w:tcMar>
                    <w:left w:w="0" w:type="dxa"/>
                    <w:right w:w="0" w:type="dxa"/>
                  </w:tcMar>
                  <w:vAlign w:val="center"/>
                </w:tcPr>
                <w:p w14:paraId="7C297A49">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lang w:eastAsia="zh-CN"/>
                    </w:rPr>
                  </w:pPr>
                  <w:r>
                    <w:rPr>
                      <w:rFonts w:hint="default" w:ascii="Times New Roman" w:hAnsi="Times New Roman" w:cs="Times New Roman"/>
                      <w:lang w:eastAsia="zh-CN"/>
                    </w:rPr>
                    <w:t>产生环节</w:t>
                  </w:r>
                </w:p>
              </w:tc>
              <w:tc>
                <w:tcPr>
                  <w:tcW w:w="601" w:type="pct"/>
                  <w:noWrap w:val="0"/>
                  <w:vAlign w:val="center"/>
                </w:tcPr>
                <w:p w14:paraId="743D808F">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rPr>
                    <w:t>固废名称</w:t>
                  </w:r>
                </w:p>
              </w:tc>
              <w:tc>
                <w:tcPr>
                  <w:tcW w:w="337" w:type="pct"/>
                  <w:noWrap w:val="0"/>
                  <w:vAlign w:val="center"/>
                </w:tcPr>
                <w:p w14:paraId="439E7276">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rPr>
                    <w:t>属性</w:t>
                  </w:r>
                </w:p>
              </w:tc>
              <w:tc>
                <w:tcPr>
                  <w:tcW w:w="747" w:type="pct"/>
                  <w:noWrap w:val="0"/>
                  <w:tcMar>
                    <w:left w:w="0" w:type="dxa"/>
                    <w:right w:w="0" w:type="dxa"/>
                  </w:tcMar>
                  <w:vAlign w:val="center"/>
                </w:tcPr>
                <w:p w14:paraId="6A1697CF">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rPr>
                    <w:t>代码</w:t>
                  </w:r>
                </w:p>
              </w:tc>
              <w:tc>
                <w:tcPr>
                  <w:tcW w:w="337" w:type="pct"/>
                  <w:noWrap w:val="0"/>
                  <w:vAlign w:val="center"/>
                </w:tcPr>
                <w:p w14:paraId="3BA6E3AB">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rPr>
                    <w:t>物理</w:t>
                  </w:r>
                </w:p>
                <w:p w14:paraId="4353B053">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rPr>
                    <w:t>性状</w:t>
                  </w:r>
                </w:p>
              </w:tc>
              <w:tc>
                <w:tcPr>
                  <w:tcW w:w="419" w:type="pct"/>
                  <w:noWrap w:val="0"/>
                  <w:vAlign w:val="center"/>
                </w:tcPr>
                <w:p w14:paraId="1C2BB1A3">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rPr>
                    <w:t>产生量（t/a）</w:t>
                  </w:r>
                </w:p>
              </w:tc>
              <w:tc>
                <w:tcPr>
                  <w:tcW w:w="328" w:type="pct"/>
                  <w:noWrap w:val="0"/>
                  <w:vAlign w:val="center"/>
                </w:tcPr>
                <w:p w14:paraId="3758495E">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rPr>
                    <w:t>贮存</w:t>
                  </w:r>
                </w:p>
                <w:p w14:paraId="32A9D5F5">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rPr>
                    <w:t>方式</w:t>
                  </w:r>
                </w:p>
              </w:tc>
              <w:tc>
                <w:tcPr>
                  <w:tcW w:w="364" w:type="pct"/>
                  <w:noWrap w:val="0"/>
                  <w:vAlign w:val="center"/>
                </w:tcPr>
                <w:p w14:paraId="2D0A5CF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lang w:eastAsia="zh-CN"/>
                    </w:rPr>
                  </w:pPr>
                  <w:r>
                    <w:rPr>
                      <w:rFonts w:hint="default" w:ascii="Times New Roman" w:hAnsi="Times New Roman" w:cs="Times New Roman"/>
                      <w:lang w:eastAsia="zh-CN"/>
                    </w:rPr>
                    <w:t>清运频次</w:t>
                  </w:r>
                </w:p>
              </w:tc>
              <w:tc>
                <w:tcPr>
                  <w:tcW w:w="409" w:type="pct"/>
                  <w:noWrap w:val="0"/>
                  <w:vAlign w:val="center"/>
                </w:tcPr>
                <w:p w14:paraId="474A067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cs="Times New Roman"/>
                      <w:lang w:eastAsia="zh-CN"/>
                    </w:rPr>
                    <w:t>最大暂存量</w:t>
                  </w:r>
                  <w:r>
                    <w:rPr>
                      <w:rFonts w:hint="default" w:ascii="Times New Roman" w:hAnsi="Times New Roman" w:cs="Times New Roman"/>
                      <w:lang w:val="en-US" w:eastAsia="zh-CN"/>
                    </w:rPr>
                    <w:t>t</w:t>
                  </w:r>
                </w:p>
              </w:tc>
              <w:tc>
                <w:tcPr>
                  <w:tcW w:w="475" w:type="pct"/>
                  <w:noWrap w:val="0"/>
                  <w:vAlign w:val="center"/>
                </w:tcPr>
                <w:p w14:paraId="7BC8563B">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rPr>
                    <w:t>利用处置方式</w:t>
                  </w:r>
                </w:p>
              </w:tc>
              <w:tc>
                <w:tcPr>
                  <w:tcW w:w="408" w:type="pct"/>
                  <w:noWrap w:val="0"/>
                  <w:tcMar>
                    <w:left w:w="0" w:type="dxa"/>
                    <w:right w:w="0" w:type="dxa"/>
                  </w:tcMar>
                  <w:vAlign w:val="center"/>
                </w:tcPr>
                <w:p w14:paraId="22D6C966">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rPr>
                    <w:t>利用或处置量</w:t>
                  </w:r>
                </w:p>
              </w:tc>
            </w:tr>
            <w:tr w14:paraId="3E13A8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232" w:type="pct"/>
                  <w:noWrap w:val="0"/>
                  <w:tcMar>
                    <w:left w:w="0" w:type="dxa"/>
                    <w:right w:w="0" w:type="dxa"/>
                  </w:tcMar>
                  <w:vAlign w:val="center"/>
                </w:tcPr>
                <w:p w14:paraId="5813DF42">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lang w:val="en-US" w:eastAsia="zh-CN"/>
                    </w:rPr>
                  </w:pPr>
                  <w:r>
                    <w:rPr>
                      <w:rFonts w:hint="default" w:ascii="Times New Roman" w:hAnsi="Times New Roman" w:cs="Times New Roman"/>
                      <w:lang w:val="en-US" w:eastAsia="zh-CN"/>
                    </w:rPr>
                    <w:t>1</w:t>
                  </w:r>
                </w:p>
              </w:tc>
              <w:tc>
                <w:tcPr>
                  <w:tcW w:w="337" w:type="pct"/>
                  <w:noWrap w:val="0"/>
                  <w:tcMar>
                    <w:left w:w="0" w:type="dxa"/>
                    <w:right w:w="0" w:type="dxa"/>
                  </w:tcMar>
                  <w:vAlign w:val="center"/>
                </w:tcPr>
                <w:p w14:paraId="44F07BA1">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lang w:eastAsia="zh-CN"/>
                    </w:rPr>
                  </w:pPr>
                  <w:r>
                    <w:rPr>
                      <w:rFonts w:hint="default" w:ascii="Times New Roman" w:hAnsi="Times New Roman" w:cs="Times New Roman"/>
                      <w:lang w:eastAsia="zh-CN"/>
                    </w:rPr>
                    <w:t>印刷</w:t>
                  </w:r>
                </w:p>
              </w:tc>
              <w:tc>
                <w:tcPr>
                  <w:tcW w:w="601" w:type="pct"/>
                  <w:noWrap w:val="0"/>
                  <w:vAlign w:val="center"/>
                </w:tcPr>
                <w:p w14:paraId="6E09BD07">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cs="Times New Roman"/>
                      <w:lang w:val="en-US" w:eastAsia="zh-CN"/>
                    </w:rPr>
                  </w:pPr>
                  <w:r>
                    <w:rPr>
                      <w:rFonts w:hint="default" w:ascii="Times New Roman" w:hAnsi="Times New Roman" w:cs="Times New Roman"/>
                      <w:lang w:val="en-US" w:eastAsia="zh-CN"/>
                    </w:rPr>
                    <w:t>废纯水桶</w:t>
                  </w:r>
                </w:p>
              </w:tc>
              <w:tc>
                <w:tcPr>
                  <w:tcW w:w="337" w:type="pct"/>
                  <w:vMerge w:val="restart"/>
                  <w:noWrap w:val="0"/>
                  <w:vAlign w:val="center"/>
                </w:tcPr>
                <w:p w14:paraId="683C0021">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kern w:val="2"/>
                      <w:sz w:val="21"/>
                      <w:szCs w:val="24"/>
                      <w:lang w:val="en-US" w:eastAsia="zh-CN" w:bidi="ar-SA"/>
                    </w:rPr>
                  </w:pPr>
                  <w:r>
                    <w:rPr>
                      <w:rFonts w:hint="default" w:ascii="Times New Roman" w:hAnsi="Times New Roman" w:cs="Times New Roman"/>
                    </w:rPr>
                    <w:t>一般固废</w:t>
                  </w:r>
                </w:p>
              </w:tc>
              <w:tc>
                <w:tcPr>
                  <w:tcW w:w="747" w:type="pct"/>
                  <w:vMerge w:val="restart"/>
                  <w:noWrap w:val="0"/>
                  <w:tcMar>
                    <w:left w:w="0" w:type="dxa"/>
                    <w:right w:w="0" w:type="dxa"/>
                  </w:tcMar>
                  <w:vAlign w:val="center"/>
                </w:tcPr>
                <w:p w14:paraId="0A0E4915">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kern w:val="2"/>
                      <w:sz w:val="21"/>
                      <w:szCs w:val="24"/>
                      <w:lang w:val="en-US" w:eastAsia="zh-CN" w:bidi="ar-SA"/>
                    </w:rPr>
                  </w:pPr>
                  <w:r>
                    <w:rPr>
                      <w:rFonts w:hint="default" w:ascii="Times New Roman" w:hAnsi="Times New Roman" w:eastAsia="宋体" w:cs="Times New Roman"/>
                      <w:color w:val="auto"/>
                      <w:sz w:val="21"/>
                      <w:szCs w:val="21"/>
                      <w:highlight w:val="none"/>
                      <w:lang w:val="en-US" w:eastAsia="zh-CN"/>
                    </w:rPr>
                    <w:t xml:space="preserve">SW17 </w:t>
                  </w:r>
                  <w:r>
                    <w:rPr>
                      <w:rFonts w:hint="default" w:ascii="Times New Roman" w:hAnsi="Times New Roman" w:cs="Times New Roman"/>
                      <w:lang w:val="en-US" w:eastAsia="zh-CN"/>
                    </w:rPr>
                    <w:t>900-003-S17</w:t>
                  </w:r>
                </w:p>
              </w:tc>
              <w:tc>
                <w:tcPr>
                  <w:tcW w:w="337" w:type="pct"/>
                  <w:vMerge w:val="restart"/>
                  <w:noWrap w:val="0"/>
                  <w:vAlign w:val="center"/>
                </w:tcPr>
                <w:p w14:paraId="765F7EA6">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kern w:val="2"/>
                      <w:sz w:val="21"/>
                      <w:szCs w:val="24"/>
                      <w:lang w:val="en-US" w:eastAsia="zh-CN" w:bidi="ar-SA"/>
                    </w:rPr>
                  </w:pPr>
                  <w:r>
                    <w:rPr>
                      <w:rFonts w:hint="default" w:ascii="Times New Roman" w:hAnsi="Times New Roman" w:cs="Times New Roman"/>
                    </w:rPr>
                    <w:t>固态</w:t>
                  </w:r>
                </w:p>
              </w:tc>
              <w:tc>
                <w:tcPr>
                  <w:tcW w:w="419" w:type="pct"/>
                  <w:noWrap w:val="0"/>
                  <w:vAlign w:val="center"/>
                </w:tcPr>
                <w:p w14:paraId="27E3D975">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lang w:val="en-US" w:eastAsia="zh-CN"/>
                    </w:rPr>
                  </w:pPr>
                  <w:r>
                    <w:rPr>
                      <w:rFonts w:hint="default" w:ascii="Times New Roman" w:hAnsi="Times New Roman" w:cs="Times New Roman"/>
                      <w:lang w:val="en-US" w:eastAsia="zh-CN"/>
                    </w:rPr>
                    <w:t>0.</w:t>
                  </w:r>
                  <w:r>
                    <w:rPr>
                      <w:rFonts w:hint="eastAsia" w:cs="Times New Roman"/>
                      <w:lang w:val="en-US" w:eastAsia="zh-CN"/>
                    </w:rPr>
                    <w:t>1</w:t>
                  </w:r>
                </w:p>
              </w:tc>
              <w:tc>
                <w:tcPr>
                  <w:tcW w:w="328" w:type="pct"/>
                  <w:noWrap w:val="0"/>
                  <w:vAlign w:val="center"/>
                </w:tcPr>
                <w:p w14:paraId="0C1FE1AB">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码放</w:t>
                  </w:r>
                </w:p>
              </w:tc>
              <w:tc>
                <w:tcPr>
                  <w:tcW w:w="364" w:type="pct"/>
                  <w:noWrap w:val="0"/>
                  <w:vAlign w:val="center"/>
                </w:tcPr>
                <w:p w14:paraId="5CFE881F">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1次/季度</w:t>
                  </w:r>
                </w:p>
              </w:tc>
              <w:tc>
                <w:tcPr>
                  <w:tcW w:w="409" w:type="pct"/>
                  <w:noWrap w:val="0"/>
                  <w:vAlign w:val="center"/>
                </w:tcPr>
                <w:p w14:paraId="6861E2CF">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0.0</w:t>
                  </w:r>
                  <w:r>
                    <w:rPr>
                      <w:rFonts w:hint="eastAsia" w:cs="Times New Roman"/>
                      <w:color w:val="auto"/>
                      <w:lang w:val="en-US" w:eastAsia="zh-CN"/>
                    </w:rPr>
                    <w:t>25</w:t>
                  </w:r>
                </w:p>
              </w:tc>
              <w:tc>
                <w:tcPr>
                  <w:tcW w:w="475" w:type="pct"/>
                  <w:vMerge w:val="restart"/>
                  <w:noWrap w:val="0"/>
                  <w:vAlign w:val="center"/>
                </w:tcPr>
                <w:p w14:paraId="18DA3216">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color w:val="auto"/>
                      <w:kern w:val="2"/>
                      <w:sz w:val="21"/>
                      <w:szCs w:val="24"/>
                      <w:lang w:val="en-US" w:eastAsia="zh-CN" w:bidi="ar-SA"/>
                    </w:rPr>
                  </w:pPr>
                  <w:r>
                    <w:rPr>
                      <w:rFonts w:hint="default" w:ascii="Times New Roman" w:hAnsi="Times New Roman" w:cs="Times New Roman"/>
                      <w:color w:val="auto"/>
                      <w:lang w:val="en-US" w:eastAsia="zh-CN"/>
                    </w:rPr>
                    <w:t>收集后暂存于一般固废间，定期外售</w:t>
                  </w:r>
                </w:p>
              </w:tc>
              <w:tc>
                <w:tcPr>
                  <w:tcW w:w="408" w:type="pct"/>
                  <w:noWrap w:val="0"/>
                  <w:tcMar>
                    <w:left w:w="0" w:type="dxa"/>
                    <w:right w:w="0" w:type="dxa"/>
                  </w:tcMar>
                  <w:vAlign w:val="center"/>
                </w:tcPr>
                <w:p w14:paraId="4E6B7B24">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lang w:val="en-US" w:eastAsia="zh-CN"/>
                    </w:rPr>
                  </w:pPr>
                  <w:r>
                    <w:rPr>
                      <w:rFonts w:hint="default" w:ascii="Times New Roman" w:hAnsi="Times New Roman" w:cs="Times New Roman"/>
                      <w:lang w:val="en-US" w:eastAsia="zh-CN"/>
                    </w:rPr>
                    <w:t>0.</w:t>
                  </w:r>
                  <w:r>
                    <w:rPr>
                      <w:rFonts w:hint="eastAsia" w:cs="Times New Roman"/>
                      <w:lang w:val="en-US" w:eastAsia="zh-CN"/>
                    </w:rPr>
                    <w:t>1</w:t>
                  </w:r>
                </w:p>
              </w:tc>
            </w:tr>
            <w:tr w14:paraId="494A91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232" w:type="pct"/>
                  <w:noWrap w:val="0"/>
                  <w:tcMar>
                    <w:left w:w="0" w:type="dxa"/>
                    <w:right w:w="0" w:type="dxa"/>
                  </w:tcMar>
                  <w:vAlign w:val="center"/>
                </w:tcPr>
                <w:p w14:paraId="13A01B94">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lang w:val="en-US" w:eastAsia="zh-CN"/>
                    </w:rPr>
                  </w:pPr>
                  <w:r>
                    <w:rPr>
                      <w:rFonts w:hint="default" w:ascii="Times New Roman" w:hAnsi="Times New Roman" w:cs="Times New Roman"/>
                      <w:lang w:val="en-US" w:eastAsia="zh-CN"/>
                    </w:rPr>
                    <w:t>2</w:t>
                  </w:r>
                </w:p>
              </w:tc>
              <w:tc>
                <w:tcPr>
                  <w:tcW w:w="337" w:type="pct"/>
                  <w:noWrap w:val="0"/>
                  <w:tcMar>
                    <w:left w:w="0" w:type="dxa"/>
                    <w:right w:w="0" w:type="dxa"/>
                  </w:tcMar>
                  <w:vAlign w:val="center"/>
                </w:tcPr>
                <w:p w14:paraId="0714002C">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lang w:eastAsia="zh-CN"/>
                    </w:rPr>
                  </w:pPr>
                  <w:r>
                    <w:rPr>
                      <w:rFonts w:hint="default" w:ascii="Times New Roman" w:hAnsi="Times New Roman" w:cs="Times New Roman"/>
                      <w:lang w:eastAsia="zh-CN"/>
                    </w:rPr>
                    <w:t>分切</w:t>
                  </w:r>
                </w:p>
              </w:tc>
              <w:tc>
                <w:tcPr>
                  <w:tcW w:w="601" w:type="pct"/>
                  <w:noWrap w:val="0"/>
                  <w:vAlign w:val="center"/>
                </w:tcPr>
                <w:p w14:paraId="5D5128E0">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cs="Times New Roman"/>
                      <w:lang w:val="en-US" w:eastAsia="zh-CN"/>
                    </w:rPr>
                  </w:pPr>
                  <w:r>
                    <w:rPr>
                      <w:rFonts w:hint="default" w:ascii="Times New Roman" w:hAnsi="Times New Roman" w:cs="Times New Roman"/>
                      <w:lang w:val="en-US" w:eastAsia="zh-CN"/>
                    </w:rPr>
                    <w:t>废边角料</w:t>
                  </w:r>
                </w:p>
              </w:tc>
              <w:tc>
                <w:tcPr>
                  <w:tcW w:w="337" w:type="pct"/>
                  <w:vMerge w:val="continue"/>
                  <w:noWrap w:val="0"/>
                  <w:vAlign w:val="center"/>
                </w:tcPr>
                <w:p w14:paraId="0A39A8AE">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kern w:val="2"/>
                      <w:sz w:val="21"/>
                      <w:szCs w:val="24"/>
                      <w:lang w:val="en-US" w:eastAsia="zh-CN" w:bidi="ar-SA"/>
                    </w:rPr>
                  </w:pPr>
                </w:p>
              </w:tc>
              <w:tc>
                <w:tcPr>
                  <w:tcW w:w="747" w:type="pct"/>
                  <w:vMerge w:val="continue"/>
                  <w:noWrap w:val="0"/>
                  <w:tcMar>
                    <w:left w:w="0" w:type="dxa"/>
                    <w:right w:w="0" w:type="dxa"/>
                  </w:tcMar>
                  <w:vAlign w:val="center"/>
                </w:tcPr>
                <w:p w14:paraId="751CADCB">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kern w:val="2"/>
                      <w:sz w:val="21"/>
                      <w:szCs w:val="24"/>
                      <w:lang w:val="en-US" w:eastAsia="zh-CN" w:bidi="ar-SA"/>
                    </w:rPr>
                  </w:pPr>
                </w:p>
              </w:tc>
              <w:tc>
                <w:tcPr>
                  <w:tcW w:w="337" w:type="pct"/>
                  <w:vMerge w:val="continue"/>
                  <w:noWrap w:val="0"/>
                  <w:vAlign w:val="center"/>
                </w:tcPr>
                <w:p w14:paraId="2640713A">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kern w:val="2"/>
                      <w:sz w:val="21"/>
                      <w:szCs w:val="24"/>
                      <w:lang w:val="en-US" w:eastAsia="zh-CN" w:bidi="ar-SA"/>
                    </w:rPr>
                  </w:pPr>
                </w:p>
              </w:tc>
              <w:tc>
                <w:tcPr>
                  <w:tcW w:w="419" w:type="pct"/>
                  <w:noWrap w:val="0"/>
                  <w:vAlign w:val="center"/>
                </w:tcPr>
                <w:p w14:paraId="59C39473">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lang w:val="en-US" w:eastAsia="zh-CN"/>
                    </w:rPr>
                  </w:pPr>
                  <w:r>
                    <w:rPr>
                      <w:rFonts w:hint="default" w:ascii="Times New Roman" w:hAnsi="Times New Roman" w:cs="Times New Roman"/>
                      <w:lang w:val="en-US" w:eastAsia="zh-CN"/>
                    </w:rPr>
                    <w:t>3.5</w:t>
                  </w:r>
                </w:p>
              </w:tc>
              <w:tc>
                <w:tcPr>
                  <w:tcW w:w="328" w:type="pct"/>
                  <w:noWrap w:val="0"/>
                  <w:vAlign w:val="center"/>
                </w:tcPr>
                <w:p w14:paraId="53CBBDDE">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袋装</w:t>
                  </w:r>
                </w:p>
              </w:tc>
              <w:tc>
                <w:tcPr>
                  <w:tcW w:w="364" w:type="pct"/>
                  <w:noWrap w:val="0"/>
                  <w:vAlign w:val="center"/>
                </w:tcPr>
                <w:p w14:paraId="177C2773">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1次/季度</w:t>
                  </w:r>
                </w:p>
              </w:tc>
              <w:tc>
                <w:tcPr>
                  <w:tcW w:w="409" w:type="pct"/>
                  <w:noWrap w:val="0"/>
                  <w:vAlign w:val="center"/>
                </w:tcPr>
                <w:p w14:paraId="71C16A40">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0.875</w:t>
                  </w:r>
                </w:p>
              </w:tc>
              <w:tc>
                <w:tcPr>
                  <w:tcW w:w="475" w:type="pct"/>
                  <w:vMerge w:val="continue"/>
                  <w:noWrap w:val="0"/>
                  <w:vAlign w:val="center"/>
                </w:tcPr>
                <w:p w14:paraId="47742DE6">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color w:val="auto"/>
                      <w:kern w:val="2"/>
                      <w:sz w:val="21"/>
                      <w:szCs w:val="24"/>
                      <w:lang w:val="en-US" w:eastAsia="zh-CN" w:bidi="ar-SA"/>
                    </w:rPr>
                  </w:pPr>
                </w:p>
              </w:tc>
              <w:tc>
                <w:tcPr>
                  <w:tcW w:w="408" w:type="pct"/>
                  <w:noWrap w:val="0"/>
                  <w:tcMar>
                    <w:left w:w="0" w:type="dxa"/>
                    <w:right w:w="0" w:type="dxa"/>
                  </w:tcMar>
                  <w:vAlign w:val="center"/>
                </w:tcPr>
                <w:p w14:paraId="2CE51509">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kern w:val="2"/>
                      <w:sz w:val="21"/>
                      <w:szCs w:val="24"/>
                      <w:lang w:val="en-US" w:eastAsia="zh-CN" w:bidi="ar-SA"/>
                    </w:rPr>
                  </w:pPr>
                  <w:r>
                    <w:rPr>
                      <w:rFonts w:hint="default" w:ascii="Times New Roman" w:hAnsi="Times New Roman" w:cs="Times New Roman"/>
                      <w:lang w:val="en-US" w:eastAsia="zh-CN"/>
                    </w:rPr>
                    <w:t>3.5</w:t>
                  </w:r>
                </w:p>
              </w:tc>
            </w:tr>
            <w:tr w14:paraId="0DEA69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232" w:type="pct"/>
                  <w:noWrap w:val="0"/>
                  <w:tcMar>
                    <w:left w:w="0" w:type="dxa"/>
                    <w:right w:w="0" w:type="dxa"/>
                  </w:tcMar>
                  <w:vAlign w:val="center"/>
                </w:tcPr>
                <w:p w14:paraId="0FCA30B7">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3</w:t>
                  </w:r>
                </w:p>
              </w:tc>
              <w:tc>
                <w:tcPr>
                  <w:tcW w:w="337" w:type="pct"/>
                  <w:noWrap w:val="0"/>
                  <w:tcMar>
                    <w:left w:w="0" w:type="dxa"/>
                    <w:right w:w="0" w:type="dxa"/>
                  </w:tcMar>
                  <w:vAlign w:val="center"/>
                </w:tcPr>
                <w:p w14:paraId="536585F2">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lang w:eastAsia="zh-CN"/>
                    </w:rPr>
                  </w:pPr>
                  <w:r>
                    <w:rPr>
                      <w:rFonts w:hint="default" w:ascii="Times New Roman" w:hAnsi="Times New Roman" w:cs="Times New Roman"/>
                      <w:lang w:eastAsia="zh-CN"/>
                    </w:rPr>
                    <w:t>检验</w:t>
                  </w:r>
                </w:p>
              </w:tc>
              <w:tc>
                <w:tcPr>
                  <w:tcW w:w="601" w:type="pct"/>
                  <w:noWrap w:val="0"/>
                  <w:vAlign w:val="center"/>
                </w:tcPr>
                <w:p w14:paraId="3816E60A">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cs="Times New Roman"/>
                      <w:kern w:val="2"/>
                      <w:sz w:val="21"/>
                      <w:szCs w:val="24"/>
                      <w:lang w:val="en-US" w:eastAsia="zh-CN" w:bidi="ar-SA"/>
                    </w:rPr>
                  </w:pPr>
                  <w:r>
                    <w:rPr>
                      <w:rFonts w:hint="default" w:ascii="Times New Roman" w:hAnsi="Times New Roman" w:cs="Times New Roman"/>
                      <w:lang w:val="en-US" w:eastAsia="zh-CN"/>
                    </w:rPr>
                    <w:t>不合格品</w:t>
                  </w:r>
                </w:p>
              </w:tc>
              <w:tc>
                <w:tcPr>
                  <w:tcW w:w="337" w:type="pct"/>
                  <w:vMerge w:val="continue"/>
                  <w:noWrap w:val="0"/>
                  <w:vAlign w:val="center"/>
                </w:tcPr>
                <w:p w14:paraId="115C4FC5">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kern w:val="2"/>
                      <w:sz w:val="21"/>
                      <w:szCs w:val="24"/>
                      <w:lang w:val="en-US" w:eastAsia="zh-CN" w:bidi="ar-SA"/>
                    </w:rPr>
                  </w:pPr>
                </w:p>
              </w:tc>
              <w:tc>
                <w:tcPr>
                  <w:tcW w:w="747" w:type="pct"/>
                  <w:vMerge w:val="continue"/>
                  <w:noWrap w:val="0"/>
                  <w:tcMar>
                    <w:left w:w="0" w:type="dxa"/>
                    <w:right w:w="0" w:type="dxa"/>
                  </w:tcMar>
                  <w:vAlign w:val="center"/>
                </w:tcPr>
                <w:p w14:paraId="6D3E4B0D">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kern w:val="2"/>
                      <w:sz w:val="21"/>
                      <w:szCs w:val="24"/>
                      <w:lang w:val="en-US" w:eastAsia="zh-CN" w:bidi="ar-SA"/>
                    </w:rPr>
                  </w:pPr>
                </w:p>
              </w:tc>
              <w:tc>
                <w:tcPr>
                  <w:tcW w:w="337" w:type="pct"/>
                  <w:vMerge w:val="continue"/>
                  <w:noWrap w:val="0"/>
                  <w:vAlign w:val="center"/>
                </w:tcPr>
                <w:p w14:paraId="116BCAF7">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kern w:val="2"/>
                      <w:sz w:val="21"/>
                      <w:szCs w:val="24"/>
                      <w:lang w:val="en-US" w:eastAsia="zh-CN" w:bidi="ar-SA"/>
                    </w:rPr>
                  </w:pPr>
                </w:p>
              </w:tc>
              <w:tc>
                <w:tcPr>
                  <w:tcW w:w="419" w:type="pct"/>
                  <w:noWrap w:val="0"/>
                  <w:vAlign w:val="center"/>
                </w:tcPr>
                <w:p w14:paraId="74C97562">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lang w:val="en-US" w:eastAsia="zh-CN"/>
                    </w:rPr>
                  </w:pPr>
                  <w:r>
                    <w:rPr>
                      <w:rFonts w:hint="default" w:ascii="Times New Roman" w:hAnsi="Times New Roman" w:cs="Times New Roman"/>
                      <w:lang w:val="en-US" w:eastAsia="zh-CN"/>
                    </w:rPr>
                    <w:t>4.3</w:t>
                  </w:r>
                </w:p>
              </w:tc>
              <w:tc>
                <w:tcPr>
                  <w:tcW w:w="328" w:type="pct"/>
                  <w:noWrap w:val="0"/>
                  <w:vAlign w:val="center"/>
                </w:tcPr>
                <w:p w14:paraId="3F683700">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color w:val="auto"/>
                      <w:kern w:val="2"/>
                      <w:sz w:val="21"/>
                      <w:szCs w:val="24"/>
                      <w:lang w:val="en-US" w:eastAsia="zh-CN" w:bidi="ar-SA"/>
                    </w:rPr>
                  </w:pPr>
                  <w:r>
                    <w:rPr>
                      <w:rFonts w:hint="default" w:ascii="Times New Roman" w:hAnsi="Times New Roman" w:cs="Times New Roman"/>
                      <w:color w:val="auto"/>
                      <w:lang w:val="en-US" w:eastAsia="zh-CN"/>
                    </w:rPr>
                    <w:t>袋装</w:t>
                  </w:r>
                </w:p>
              </w:tc>
              <w:tc>
                <w:tcPr>
                  <w:tcW w:w="364" w:type="pct"/>
                  <w:noWrap w:val="0"/>
                  <w:vAlign w:val="center"/>
                </w:tcPr>
                <w:p w14:paraId="49BD9ACB">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1次/季度</w:t>
                  </w:r>
                </w:p>
              </w:tc>
              <w:tc>
                <w:tcPr>
                  <w:tcW w:w="409" w:type="pct"/>
                  <w:noWrap w:val="0"/>
                  <w:vAlign w:val="center"/>
                </w:tcPr>
                <w:p w14:paraId="7EC537A5">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1.075</w:t>
                  </w:r>
                </w:p>
              </w:tc>
              <w:tc>
                <w:tcPr>
                  <w:tcW w:w="475" w:type="pct"/>
                  <w:vMerge w:val="continue"/>
                  <w:noWrap w:val="0"/>
                  <w:vAlign w:val="center"/>
                </w:tcPr>
                <w:p w14:paraId="08F9BF5F">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color w:val="auto"/>
                      <w:kern w:val="2"/>
                      <w:sz w:val="21"/>
                      <w:szCs w:val="24"/>
                      <w:lang w:val="en-US" w:eastAsia="zh-CN" w:bidi="ar-SA"/>
                    </w:rPr>
                  </w:pPr>
                </w:p>
              </w:tc>
              <w:tc>
                <w:tcPr>
                  <w:tcW w:w="408" w:type="pct"/>
                  <w:noWrap w:val="0"/>
                  <w:tcMar>
                    <w:left w:w="0" w:type="dxa"/>
                    <w:right w:w="0" w:type="dxa"/>
                  </w:tcMar>
                  <w:vAlign w:val="center"/>
                </w:tcPr>
                <w:p w14:paraId="44A0F4EA">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kern w:val="2"/>
                      <w:sz w:val="21"/>
                      <w:szCs w:val="24"/>
                      <w:lang w:val="en-US" w:eastAsia="zh-CN" w:bidi="ar-SA"/>
                    </w:rPr>
                  </w:pPr>
                  <w:r>
                    <w:rPr>
                      <w:rFonts w:hint="default" w:ascii="Times New Roman" w:hAnsi="Times New Roman" w:cs="Times New Roman"/>
                      <w:lang w:val="en-US" w:eastAsia="zh-CN"/>
                    </w:rPr>
                    <w:t>4.3</w:t>
                  </w:r>
                </w:p>
              </w:tc>
            </w:tr>
          </w:tbl>
          <w:p w14:paraId="13A88386">
            <w:pPr>
              <w:pStyle w:val="18"/>
              <w:keepNext w:val="0"/>
              <w:keepLines w:val="0"/>
              <w:suppressLineNumbers w:val="0"/>
              <w:spacing w:before="0" w:beforeAutospacing="0" w:after="0" w:afterAutospacing="0" w:line="480" w:lineRule="atLeast"/>
              <w:ind w:left="0" w:right="0" w:firstLine="480" w:firstLineChars="200"/>
              <w:jc w:val="both"/>
              <w:rPr>
                <w:rFonts w:hint="default" w:ascii="Times New Roman" w:hAnsi="Times New Roman" w:cs="Times New Roman"/>
                <w:kern w:val="24"/>
                <w:szCs w:val="24"/>
                <w:lang w:eastAsia="zh-CN"/>
              </w:rPr>
            </w:pPr>
            <w:r>
              <w:rPr>
                <w:rFonts w:hint="default" w:ascii="Times New Roman" w:hAnsi="Times New Roman" w:cs="Times New Roman"/>
                <w:kern w:val="24"/>
                <w:szCs w:val="24"/>
                <w:lang w:eastAsia="zh-CN"/>
              </w:rPr>
              <w:t>一般固废污染控制</w:t>
            </w:r>
          </w:p>
          <w:p w14:paraId="70CEDDFB">
            <w:pPr>
              <w:keepNext w:val="0"/>
              <w:keepLines w:val="0"/>
              <w:widowControl w:val="0"/>
              <w:suppressLineNumbers w:val="0"/>
              <w:adjustRightInd w:val="0"/>
              <w:snapToGrid w:val="0"/>
              <w:spacing w:before="0" w:beforeAutospacing="0" w:after="0" w:afterAutospacing="0" w:line="480" w:lineRule="atLeast"/>
              <w:ind w:left="0" w:right="0" w:firstLine="480" w:firstLineChars="200"/>
              <w:jc w:val="both"/>
              <w:rPr>
                <w:rFonts w:hint="default" w:ascii="Times New Roman" w:hAnsi="Times New Roman" w:cs="Times New Roman"/>
                <w:color w:val="000000"/>
                <w:kern w:val="24"/>
                <w:sz w:val="24"/>
                <w:szCs w:val="24"/>
                <w:highlight w:val="none"/>
                <w:lang w:eastAsia="zh-CN" w:bidi="ar-SA"/>
              </w:rPr>
            </w:pPr>
            <w:r>
              <w:rPr>
                <w:rFonts w:hint="default" w:ascii="Times New Roman" w:hAnsi="Times New Roman" w:cs="Times New Roman"/>
                <w:sz w:val="24"/>
                <w:highlight w:val="none"/>
                <w:lang w:eastAsia="zh-CN"/>
              </w:rPr>
              <w:t>根据企业提供的资料，</w:t>
            </w:r>
            <w:r>
              <w:rPr>
                <w:rFonts w:hint="default" w:ascii="Times New Roman" w:hAnsi="Times New Roman" w:cs="Times New Roman"/>
                <w:color w:val="000000"/>
                <w:kern w:val="24"/>
                <w:sz w:val="24"/>
                <w:szCs w:val="24"/>
                <w:highlight w:val="none"/>
                <w:lang w:eastAsia="zh-CN" w:bidi="ar-SA"/>
              </w:rPr>
              <w:t>本项目产生的一般固体废物临时贮存应采取如下措施：</w:t>
            </w:r>
          </w:p>
          <w:p w14:paraId="08030D8F">
            <w:pPr>
              <w:keepNext w:val="0"/>
              <w:keepLines w:val="0"/>
              <w:widowControl w:val="0"/>
              <w:suppressLineNumbers w:val="0"/>
              <w:adjustRightInd w:val="0"/>
              <w:snapToGrid w:val="0"/>
              <w:spacing w:before="0" w:beforeAutospacing="0" w:after="0" w:afterAutospacing="0" w:line="480" w:lineRule="atLeast"/>
              <w:ind w:left="0" w:right="0" w:firstLine="480" w:firstLineChars="200"/>
              <w:jc w:val="both"/>
              <w:rPr>
                <w:rFonts w:hint="default" w:ascii="Times New Roman" w:hAnsi="Times New Roman" w:cs="Times New Roman"/>
                <w:color w:val="000000"/>
                <w:kern w:val="24"/>
                <w:sz w:val="24"/>
                <w:szCs w:val="24"/>
                <w:highlight w:val="none"/>
                <w:lang w:eastAsia="zh-CN" w:bidi="ar-SA"/>
              </w:rPr>
            </w:pPr>
            <w:r>
              <w:rPr>
                <w:rFonts w:hint="default" w:ascii="Times New Roman" w:hAnsi="Times New Roman" w:cs="Times New Roman"/>
                <w:color w:val="000000"/>
                <w:kern w:val="24"/>
                <w:sz w:val="24"/>
                <w:szCs w:val="24"/>
                <w:highlight w:val="none"/>
                <w:lang w:eastAsia="zh-CN" w:bidi="ar-SA"/>
              </w:rPr>
              <w:t>A.对一般工业固体废物实行从产生、收集、运输、贮存直至最终处理实行全过程管理，加强固体废物运输过程的事故风险防范，按照有关法律、法规的要求，对固体废弃物全过程管理应报当地环保行政主管部门等批准。</w:t>
            </w:r>
          </w:p>
          <w:p w14:paraId="51D1B9E1">
            <w:pPr>
              <w:pStyle w:val="18"/>
              <w:keepNext w:val="0"/>
              <w:keepLines w:val="0"/>
              <w:suppressLineNumbers w:val="0"/>
              <w:spacing w:before="0" w:beforeAutospacing="0" w:after="0" w:afterAutospacing="0" w:line="480" w:lineRule="atLeast"/>
              <w:ind w:left="0" w:right="0" w:firstLine="480" w:firstLineChars="200"/>
              <w:jc w:val="both"/>
              <w:rPr>
                <w:rFonts w:hint="default" w:ascii="Times New Roman" w:hAnsi="Times New Roman" w:cs="Times New Roman"/>
                <w:color w:val="000000"/>
                <w:kern w:val="24"/>
                <w:sz w:val="24"/>
                <w:szCs w:val="24"/>
                <w:highlight w:val="none"/>
                <w:lang w:eastAsia="zh-CN" w:bidi="ar-SA"/>
              </w:rPr>
            </w:pPr>
            <w:r>
              <w:rPr>
                <w:rFonts w:hint="default" w:ascii="Times New Roman" w:hAnsi="Times New Roman" w:cs="Times New Roman"/>
                <w:color w:val="000000"/>
                <w:kern w:val="24"/>
                <w:sz w:val="24"/>
                <w:szCs w:val="24"/>
                <w:highlight w:val="none"/>
                <w:lang w:eastAsia="zh-CN" w:bidi="ar-SA"/>
              </w:rPr>
              <w:t>B.加强固体废物规范化管理，固体废物分类定点堆放，不相容的一般工业固体废物应设置不同的分区进行贮存，</w:t>
            </w:r>
            <w:r>
              <w:rPr>
                <w:rFonts w:hint="default" w:ascii="Times New Roman" w:hAnsi="Times New Roman" w:cs="Times New Roman"/>
                <w:sz w:val="24"/>
                <w:highlight w:val="none"/>
                <w:lang w:eastAsia="zh-CN"/>
              </w:rPr>
              <w:t>并满足《一般工业固体废物贮存和填埋污染控制标准》（GB18599-2020）和《排污许可申请与核发技术规范 工业固体废物（试行）》（HJ1200-2021）中的有关规定</w:t>
            </w:r>
            <w:r>
              <w:rPr>
                <w:rFonts w:hint="default" w:ascii="Times New Roman" w:hAnsi="Times New Roman" w:cs="Times New Roman"/>
                <w:color w:val="000000"/>
                <w:kern w:val="24"/>
                <w:sz w:val="24"/>
                <w:szCs w:val="24"/>
                <w:highlight w:val="none"/>
                <w:lang w:eastAsia="zh-CN" w:bidi="ar-SA"/>
              </w:rPr>
              <w:t>。</w:t>
            </w:r>
          </w:p>
          <w:p w14:paraId="532339D1">
            <w:pPr>
              <w:keepNext w:val="0"/>
              <w:keepLines w:val="0"/>
              <w:suppressLineNumbers w:val="0"/>
              <w:adjustRightInd w:val="0"/>
              <w:snapToGrid w:val="0"/>
              <w:spacing w:before="0" w:beforeAutospacing="0" w:after="0" w:afterAutospacing="0" w:line="480" w:lineRule="atLeast"/>
              <w:ind w:left="0" w:right="0" w:firstLine="480" w:firstLineChars="200"/>
              <w:jc w:val="both"/>
              <w:rPr>
                <w:rFonts w:hint="default" w:ascii="Times New Roman" w:hAnsi="Times New Roman" w:cs="Times New Roman"/>
                <w:lang w:eastAsia="zh-CN"/>
              </w:rPr>
            </w:pPr>
            <w:r>
              <w:rPr>
                <w:rFonts w:hint="default" w:ascii="Times New Roman" w:hAnsi="Times New Roman" w:cs="Times New Roman"/>
                <w:bCs/>
                <w:sz w:val="24"/>
                <w:highlight w:val="none"/>
                <w:lang w:eastAsia="zh-CN"/>
              </w:rPr>
              <w:t>一般工业固废贮存</w:t>
            </w:r>
            <w:r>
              <w:rPr>
                <w:rFonts w:hint="default" w:ascii="Times New Roman" w:hAnsi="Times New Roman" w:cs="Times New Roman"/>
                <w:snapToGrid w:val="0"/>
                <w:color w:val="000000"/>
                <w:sz w:val="24"/>
                <w:highlight w:val="none"/>
                <w:lang w:eastAsia="zh-CN"/>
              </w:rPr>
              <w:t>标识要求见下表：</w:t>
            </w:r>
          </w:p>
          <w:p w14:paraId="05B14F05">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240" w:lineRule="auto"/>
              <w:ind w:left="0" w:right="0" w:firstLine="422" w:firstLineChars="200"/>
              <w:jc w:val="center"/>
              <w:textAlignment w:val="auto"/>
              <w:rPr>
                <w:rFonts w:hint="default" w:ascii="Times New Roman" w:hAnsi="Times New Roman" w:eastAsia="宋体" w:cs="Times New Roman"/>
                <w:b/>
                <w:bCs/>
                <w:color w:val="auto"/>
                <w:szCs w:val="21"/>
                <w:highlight w:val="none"/>
                <w:u w:val="none" w:color="000000"/>
                <w:lang w:eastAsia="zh-CN"/>
              </w:rPr>
            </w:pPr>
            <w:r>
              <w:rPr>
                <w:rFonts w:hint="default" w:ascii="Times New Roman" w:hAnsi="Times New Roman" w:eastAsia="宋体" w:cs="Times New Roman"/>
                <w:b/>
                <w:bCs/>
                <w:color w:val="000000"/>
                <w:kern w:val="0"/>
                <w:sz w:val="21"/>
                <w:szCs w:val="21"/>
                <w:lang w:val="en-US" w:eastAsia="zh-CN" w:bidi="ar-SA"/>
              </w:rPr>
              <w:t>一般工业固废贮存标识一览表</w:t>
            </w:r>
          </w:p>
          <w:tbl>
            <w:tblPr>
              <w:tblStyle w:val="3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13" w:type="dxa"/>
                <w:bottom w:w="0" w:type="dxa"/>
                <w:right w:w="0" w:type="dxa"/>
              </w:tblCellMar>
            </w:tblPr>
            <w:tblGrid>
              <w:gridCol w:w="2288"/>
              <w:gridCol w:w="1834"/>
              <w:gridCol w:w="4102"/>
            </w:tblGrid>
            <w:tr w14:paraId="711096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0" w:type="dxa"/>
                </w:tblCellMar>
              </w:tblPrEx>
              <w:trPr>
                <w:jc w:val="center"/>
              </w:trPr>
              <w:tc>
                <w:tcPr>
                  <w:tcW w:w="1391" w:type="pct"/>
                  <w:noWrap w:val="0"/>
                  <w:vAlign w:val="center"/>
                </w:tcPr>
                <w:p w14:paraId="23041D23">
                  <w:pPr>
                    <w:keepNext w:val="0"/>
                    <w:keepLines w:val="0"/>
                    <w:suppressLineNumbers w:val="0"/>
                    <w:spacing w:before="0" w:beforeAutospacing="0" w:after="0" w:afterAutospacing="0"/>
                    <w:ind w:left="0" w:right="0"/>
                    <w:jc w:val="center"/>
                    <w:rPr>
                      <w:rFonts w:hint="default" w:ascii="Times New Roman" w:hAnsi="Times New Roman" w:eastAsia="黑体" w:cs="Times New Roman"/>
                      <w:sz w:val="21"/>
                      <w:szCs w:val="21"/>
                      <w:highlight w:val="none"/>
                    </w:rPr>
                  </w:pPr>
                  <w:r>
                    <w:rPr>
                      <w:rFonts w:hint="default" w:ascii="Times New Roman" w:hAnsi="Times New Roman" w:eastAsia="黑体" w:cs="Times New Roman"/>
                      <w:sz w:val="21"/>
                      <w:szCs w:val="21"/>
                      <w:highlight w:val="none"/>
                    </w:rPr>
                    <w:t>场合</w:t>
                  </w:r>
                </w:p>
              </w:tc>
              <w:tc>
                <w:tcPr>
                  <w:tcW w:w="1115" w:type="pct"/>
                  <w:noWrap w:val="0"/>
                  <w:vAlign w:val="center"/>
                </w:tcPr>
                <w:p w14:paraId="4F04E082">
                  <w:pPr>
                    <w:keepNext w:val="0"/>
                    <w:keepLines w:val="0"/>
                    <w:suppressLineNumbers w:val="0"/>
                    <w:spacing w:before="0" w:beforeAutospacing="0" w:after="0" w:afterAutospacing="0"/>
                    <w:ind w:left="0" w:right="0"/>
                    <w:jc w:val="center"/>
                    <w:rPr>
                      <w:rFonts w:hint="default" w:ascii="Times New Roman" w:hAnsi="Times New Roman" w:eastAsia="黑体" w:cs="Times New Roman"/>
                      <w:sz w:val="21"/>
                      <w:szCs w:val="21"/>
                      <w:highlight w:val="none"/>
                    </w:rPr>
                  </w:pPr>
                  <w:r>
                    <w:rPr>
                      <w:rFonts w:hint="default" w:ascii="Times New Roman" w:hAnsi="Times New Roman" w:eastAsia="黑体" w:cs="Times New Roman"/>
                      <w:sz w:val="21"/>
                      <w:szCs w:val="21"/>
                      <w:highlight w:val="none"/>
                    </w:rPr>
                    <w:t>编号示例</w:t>
                  </w:r>
                </w:p>
              </w:tc>
              <w:tc>
                <w:tcPr>
                  <w:tcW w:w="2494" w:type="pct"/>
                  <w:noWrap w:val="0"/>
                  <w:vAlign w:val="center"/>
                </w:tcPr>
                <w:p w14:paraId="14C4C1C7">
                  <w:pPr>
                    <w:keepNext w:val="0"/>
                    <w:keepLines w:val="0"/>
                    <w:suppressLineNumbers w:val="0"/>
                    <w:spacing w:before="0" w:beforeAutospacing="0" w:after="0" w:afterAutospacing="0"/>
                    <w:ind w:left="0" w:right="0"/>
                    <w:jc w:val="center"/>
                    <w:rPr>
                      <w:rFonts w:hint="default" w:ascii="Times New Roman" w:hAnsi="Times New Roman" w:eastAsia="黑体" w:cs="Times New Roman"/>
                      <w:sz w:val="21"/>
                      <w:szCs w:val="21"/>
                      <w:highlight w:val="none"/>
                    </w:rPr>
                  </w:pPr>
                  <w:r>
                    <w:rPr>
                      <w:rFonts w:hint="default" w:ascii="Times New Roman" w:hAnsi="Times New Roman" w:eastAsia="黑体" w:cs="Times New Roman"/>
                      <w:sz w:val="21"/>
                      <w:szCs w:val="21"/>
                      <w:highlight w:val="none"/>
                    </w:rPr>
                    <w:t>图形标志</w:t>
                  </w:r>
                </w:p>
              </w:tc>
            </w:tr>
            <w:tr w14:paraId="2194EF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0" w:type="dxa"/>
                </w:tblCellMar>
              </w:tblPrEx>
              <w:trPr>
                <w:jc w:val="center"/>
              </w:trPr>
              <w:tc>
                <w:tcPr>
                  <w:tcW w:w="1391" w:type="pct"/>
                  <w:noWrap w:val="0"/>
                  <w:vAlign w:val="center"/>
                </w:tcPr>
                <w:p w14:paraId="3AB69AEB">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highlight w:val="none"/>
                      <w:lang w:eastAsia="zh-CN"/>
                    </w:rPr>
                  </w:pPr>
                  <w:r>
                    <w:rPr>
                      <w:rFonts w:hint="default" w:cs="Times New Roman"/>
                      <w:bCs/>
                      <w:sz w:val="21"/>
                      <w:szCs w:val="21"/>
                      <w:highlight w:val="none"/>
                      <w:lang w:eastAsia="zh-CN"/>
                    </w:rPr>
                    <w:t>一般固废间</w:t>
                  </w:r>
                </w:p>
              </w:tc>
              <w:tc>
                <w:tcPr>
                  <w:tcW w:w="1115" w:type="pct"/>
                  <w:noWrap w:val="0"/>
                  <w:vAlign w:val="center"/>
                </w:tcPr>
                <w:p w14:paraId="444E9C88">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GF-01</w:t>
                  </w:r>
                </w:p>
              </w:tc>
              <w:tc>
                <w:tcPr>
                  <w:tcW w:w="2494" w:type="pct"/>
                  <w:noWrap w:val="0"/>
                  <w:vAlign w:val="center"/>
                </w:tcPr>
                <w:p w14:paraId="5B926A86">
                  <w:pPr>
                    <w:keepNext w:val="0"/>
                    <w:keepLines w:val="0"/>
                    <w:suppressLineNumbers w:val="0"/>
                    <w:spacing w:before="0" w:beforeAutospacing="0" w:after="0" w:afterAutospacing="0"/>
                    <w:ind w:left="0" w:right="0"/>
                    <w:jc w:val="center"/>
                    <w:rPr>
                      <w:rFonts w:hint="default" w:ascii="Times New Roman" w:hAnsi="Times New Roman" w:eastAsia="仿宋_GB2312" w:cs="Times New Roman"/>
                      <w:sz w:val="21"/>
                      <w:szCs w:val="21"/>
                      <w:highlight w:val="none"/>
                    </w:rPr>
                  </w:pPr>
                  <w:r>
                    <w:rPr>
                      <w:rFonts w:hint="default" w:ascii="Times New Roman" w:hAnsi="Times New Roman" w:eastAsia="仿宋_GB2312" w:cs="Times New Roman"/>
                      <w:sz w:val="21"/>
                      <w:szCs w:val="21"/>
                      <w:highlight w:val="none"/>
                    </w:rPr>
                    <w:drawing>
                      <wp:inline distT="0" distB="0" distL="114300" distR="114300">
                        <wp:extent cx="1628775" cy="1524000"/>
                        <wp:effectExtent l="0" t="0" r="9525" b="0"/>
                        <wp:docPr id="1" name="图片 1" descr="873e5ce4fe6ee5f92545226552a06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873e5ce4fe6ee5f92545226552a0651"/>
                                <pic:cNvPicPr>
                                  <a:picLocks noChangeAspect="1"/>
                                </pic:cNvPicPr>
                              </pic:nvPicPr>
                              <pic:blipFill>
                                <a:blip r:embed="rId25"/>
                                <a:stretch>
                                  <a:fillRect/>
                                </a:stretch>
                              </pic:blipFill>
                              <pic:spPr>
                                <a:xfrm>
                                  <a:off x="0" y="0"/>
                                  <a:ext cx="1628775" cy="1524000"/>
                                </a:xfrm>
                                <a:prstGeom prst="rect">
                                  <a:avLst/>
                                </a:prstGeom>
                              </pic:spPr>
                            </pic:pic>
                          </a:graphicData>
                        </a:graphic>
                      </wp:inline>
                    </w:drawing>
                  </w:r>
                </w:p>
              </w:tc>
            </w:tr>
          </w:tbl>
          <w:p w14:paraId="63F94A21">
            <w:pPr>
              <w:pStyle w:val="18"/>
              <w:keepNext w:val="0"/>
              <w:keepLines w:val="0"/>
              <w:suppressLineNumbers w:val="0"/>
              <w:spacing w:before="0" w:beforeAutospacing="0" w:after="0" w:afterAutospacing="0" w:line="480" w:lineRule="atLeast"/>
              <w:ind w:left="0" w:right="0" w:firstLine="480" w:firstLineChars="200"/>
              <w:jc w:val="both"/>
              <w:rPr>
                <w:rFonts w:hint="default" w:ascii="Times New Roman" w:hAnsi="Times New Roman" w:cs="Times New Roman"/>
                <w:b w:val="0"/>
                <w:bCs w:val="0"/>
                <w:snapToGrid w:val="0"/>
                <w:sz w:val="24"/>
                <w:szCs w:val="22"/>
                <w:lang w:val="en-US" w:eastAsia="zh-CN"/>
              </w:rPr>
            </w:pPr>
            <w:r>
              <w:rPr>
                <w:rFonts w:hint="default" w:ascii="Times New Roman" w:hAnsi="Times New Roman" w:cs="Times New Roman"/>
                <w:b w:val="0"/>
                <w:bCs w:val="0"/>
                <w:snapToGrid w:val="0"/>
                <w:sz w:val="24"/>
                <w:szCs w:val="22"/>
                <w:lang w:val="en-US" w:eastAsia="zh-CN"/>
              </w:rPr>
              <w:t>本次技改项目一般固体废物存储依托原有一般固废区，面积40m</w:t>
            </w:r>
            <w:r>
              <w:rPr>
                <w:rFonts w:hint="default" w:ascii="Times New Roman" w:hAnsi="Times New Roman" w:cs="Times New Roman"/>
                <w:b w:val="0"/>
                <w:bCs w:val="0"/>
                <w:snapToGrid w:val="0"/>
                <w:sz w:val="24"/>
                <w:szCs w:val="22"/>
                <w:vertAlign w:val="superscript"/>
                <w:lang w:val="en-US" w:eastAsia="zh-CN"/>
              </w:rPr>
              <w:t>2</w:t>
            </w:r>
            <w:r>
              <w:rPr>
                <w:rFonts w:hint="default" w:ascii="Times New Roman" w:hAnsi="Times New Roman" w:cs="Times New Roman"/>
                <w:b w:val="0"/>
                <w:bCs w:val="0"/>
                <w:snapToGrid w:val="0"/>
                <w:sz w:val="24"/>
                <w:szCs w:val="22"/>
                <w:lang w:val="en-US" w:eastAsia="zh-CN"/>
              </w:rPr>
              <w:t>，存储能力为20t，一般固体废物均每季度清运一次，技改项目完成后全厂一般固体废物</w:t>
            </w:r>
            <w:r>
              <w:rPr>
                <w:rFonts w:hint="default" w:cs="Times New Roman"/>
                <w:b w:val="0"/>
                <w:bCs w:val="0"/>
                <w:snapToGrid w:val="0"/>
                <w:sz w:val="24"/>
                <w:szCs w:val="22"/>
                <w:lang w:val="en-US" w:eastAsia="zh-CN"/>
              </w:rPr>
              <w:t>最大暂存量</w:t>
            </w:r>
            <w:r>
              <w:rPr>
                <w:rFonts w:hint="default" w:ascii="Times New Roman" w:hAnsi="Times New Roman" w:cs="Times New Roman"/>
                <w:b w:val="0"/>
                <w:bCs w:val="0"/>
                <w:snapToGrid w:val="0"/>
                <w:sz w:val="24"/>
                <w:szCs w:val="22"/>
                <w:lang w:val="en-US" w:eastAsia="zh-CN"/>
              </w:rPr>
              <w:t>为</w:t>
            </w:r>
            <w:r>
              <w:rPr>
                <w:rFonts w:hint="default" w:cs="Times New Roman"/>
                <w:b w:val="0"/>
                <w:bCs w:val="0"/>
                <w:snapToGrid w:val="0"/>
                <w:sz w:val="24"/>
                <w:szCs w:val="22"/>
                <w:lang w:val="en-US" w:eastAsia="zh-CN"/>
              </w:rPr>
              <w:t>1.9</w:t>
            </w:r>
            <w:r>
              <w:rPr>
                <w:rFonts w:hint="eastAsia" w:cs="Times New Roman"/>
                <w:b w:val="0"/>
                <w:bCs w:val="0"/>
                <w:snapToGrid w:val="0"/>
                <w:sz w:val="24"/>
                <w:szCs w:val="22"/>
                <w:lang w:val="en-US" w:eastAsia="zh-CN"/>
              </w:rPr>
              <w:t>7</w:t>
            </w:r>
            <w:r>
              <w:rPr>
                <w:rFonts w:hint="default" w:cs="Times New Roman"/>
                <w:b w:val="0"/>
                <w:bCs w:val="0"/>
                <w:snapToGrid w:val="0"/>
                <w:sz w:val="24"/>
                <w:szCs w:val="22"/>
                <w:lang w:val="en-US" w:eastAsia="zh-CN"/>
              </w:rPr>
              <w:t>5</w:t>
            </w:r>
            <w:r>
              <w:rPr>
                <w:rFonts w:hint="default" w:ascii="Times New Roman" w:hAnsi="Times New Roman" w:cs="Times New Roman"/>
                <w:b w:val="0"/>
                <w:bCs w:val="0"/>
                <w:snapToGrid w:val="0"/>
                <w:sz w:val="24"/>
                <w:szCs w:val="22"/>
                <w:lang w:val="en-US" w:eastAsia="zh-CN"/>
              </w:rPr>
              <w:t>t/a，现有工程一般固废间能够满足项目需求，依托可行。</w:t>
            </w:r>
          </w:p>
          <w:p w14:paraId="15406CDF">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240" w:lineRule="auto"/>
              <w:ind w:left="0" w:right="0" w:firstLine="422" w:firstLineChars="200"/>
              <w:jc w:val="center"/>
              <w:textAlignment w:val="auto"/>
              <w:rPr>
                <w:rFonts w:hint="default" w:ascii="Times New Roman" w:hAnsi="Times New Roman" w:eastAsia="宋体" w:cs="Times New Roman"/>
                <w:b/>
                <w:bCs/>
                <w:snapToGrid w:val="0"/>
                <w:sz w:val="21"/>
                <w:szCs w:val="21"/>
              </w:rPr>
            </w:pPr>
            <w:r>
              <w:rPr>
                <w:rFonts w:hint="default" w:ascii="Times New Roman" w:hAnsi="Times New Roman" w:eastAsia="宋体" w:cs="Times New Roman"/>
                <w:b/>
                <w:bCs/>
                <w:color w:val="000000"/>
                <w:kern w:val="0"/>
                <w:sz w:val="21"/>
                <w:szCs w:val="21"/>
                <w:lang w:val="en-US" w:eastAsia="zh-CN" w:bidi="ar-SA"/>
              </w:rPr>
              <w:t>一般工业固体废物自行贮存和自行利用/处置设施信息表</w:t>
            </w:r>
          </w:p>
          <w:tbl>
            <w:tblPr>
              <w:tblStyle w:val="39"/>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8"/>
              <w:gridCol w:w="1722"/>
              <w:gridCol w:w="2106"/>
              <w:gridCol w:w="2011"/>
            </w:tblGrid>
            <w:tr w14:paraId="3EB31C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47" w:type="pct"/>
                  <w:tcBorders>
                    <w:tl2br w:val="nil"/>
                    <w:tr2bl w:val="nil"/>
                  </w:tcBorders>
                  <w:noWrap w:val="0"/>
                  <w:vAlign w:val="center"/>
                </w:tcPr>
                <w:p w14:paraId="02C8D5E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名称</w:t>
                  </w:r>
                </w:p>
              </w:tc>
              <w:tc>
                <w:tcPr>
                  <w:tcW w:w="1047" w:type="pct"/>
                  <w:tcBorders>
                    <w:tl2br w:val="nil"/>
                    <w:tr2bl w:val="nil"/>
                  </w:tcBorders>
                  <w:noWrap w:val="0"/>
                  <w:vAlign w:val="center"/>
                </w:tcPr>
                <w:p w14:paraId="41841DA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一般固废</w:t>
                  </w:r>
                  <w:r>
                    <w:rPr>
                      <w:rFonts w:hint="default" w:ascii="Times New Roman" w:hAnsi="Times New Roman" w:eastAsia="宋体" w:cs="Times New Roman"/>
                      <w:color w:val="auto"/>
                      <w:szCs w:val="21"/>
                      <w:lang w:val="en-US" w:eastAsia="zh-CN"/>
                    </w:rPr>
                    <w:t>间</w:t>
                  </w:r>
                </w:p>
              </w:tc>
              <w:tc>
                <w:tcPr>
                  <w:tcW w:w="1281" w:type="pct"/>
                  <w:tcBorders>
                    <w:tl2br w:val="nil"/>
                    <w:tr2bl w:val="nil"/>
                  </w:tcBorders>
                  <w:noWrap w:val="0"/>
                  <w:vAlign w:val="center"/>
                </w:tcPr>
                <w:p w14:paraId="0FC2554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编号</w:t>
                  </w:r>
                </w:p>
              </w:tc>
              <w:tc>
                <w:tcPr>
                  <w:tcW w:w="1223" w:type="pct"/>
                  <w:tcBorders>
                    <w:tl2br w:val="nil"/>
                    <w:tr2bl w:val="nil"/>
                  </w:tcBorders>
                  <w:noWrap w:val="0"/>
                  <w:vAlign w:val="center"/>
                </w:tcPr>
                <w:p w14:paraId="051F100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GF</w:t>
                  </w:r>
                  <w:r>
                    <w:rPr>
                      <w:rFonts w:hint="default" w:ascii="Times New Roman" w:hAnsi="Times New Roman" w:eastAsia="宋体" w:cs="Times New Roman"/>
                      <w:color w:val="auto"/>
                      <w:szCs w:val="21"/>
                    </w:rPr>
                    <w:t xml:space="preserve"> 001</w:t>
                  </w:r>
                </w:p>
              </w:tc>
            </w:tr>
            <w:tr w14:paraId="2084D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1447" w:type="pct"/>
                  <w:tcBorders>
                    <w:tl2br w:val="nil"/>
                    <w:tr2bl w:val="nil"/>
                  </w:tcBorders>
                  <w:noWrap w:val="0"/>
                  <w:vAlign w:val="center"/>
                </w:tcPr>
                <w:p w14:paraId="776F8C3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类型</w:t>
                  </w:r>
                </w:p>
              </w:tc>
              <w:tc>
                <w:tcPr>
                  <w:tcW w:w="1047" w:type="pct"/>
                  <w:tcBorders>
                    <w:tl2br w:val="nil"/>
                    <w:tr2bl w:val="nil"/>
                  </w:tcBorders>
                  <w:noWrap w:val="0"/>
                  <w:vAlign w:val="center"/>
                </w:tcPr>
                <w:p w14:paraId="5EF8DFF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自行贮存设施</w:t>
                  </w:r>
                </w:p>
              </w:tc>
              <w:tc>
                <w:tcPr>
                  <w:tcW w:w="1281" w:type="pct"/>
                  <w:tcBorders>
                    <w:tl2br w:val="nil"/>
                    <w:tr2bl w:val="nil"/>
                  </w:tcBorders>
                  <w:noWrap w:val="0"/>
                  <w:vAlign w:val="center"/>
                </w:tcPr>
                <w:p w14:paraId="23A1E4F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位置</w:t>
                  </w:r>
                </w:p>
              </w:tc>
              <w:tc>
                <w:tcPr>
                  <w:tcW w:w="1223" w:type="pct"/>
                  <w:tcBorders>
                    <w:tl2br w:val="nil"/>
                    <w:tr2bl w:val="nil"/>
                  </w:tcBorders>
                  <w:noWrap w:val="0"/>
                  <w:vAlign w:val="center"/>
                </w:tcPr>
                <w:p w14:paraId="03BC182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rPr>
                    <w:t>东经</w:t>
                  </w:r>
                  <w:r>
                    <w:rPr>
                      <w:rFonts w:hint="default" w:ascii="Times New Roman" w:hAnsi="Times New Roman" w:eastAsia="宋体" w:cs="Times New Roman"/>
                      <w:color w:val="auto"/>
                      <w:szCs w:val="21"/>
                      <w:lang w:val="en-US" w:eastAsia="zh-CN"/>
                    </w:rPr>
                    <w:t>117.525937°</w:t>
                  </w:r>
                </w:p>
                <w:p w14:paraId="2F95240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rPr>
                    <w:t>北纬</w:t>
                  </w:r>
                  <w:r>
                    <w:rPr>
                      <w:rFonts w:hint="default" w:ascii="Times New Roman" w:hAnsi="Times New Roman" w:eastAsia="宋体" w:cs="Times New Roman"/>
                      <w:color w:val="auto"/>
                      <w:szCs w:val="21"/>
                      <w:lang w:val="en-US" w:eastAsia="zh-CN"/>
                    </w:rPr>
                    <w:t>38.337820°</w:t>
                  </w:r>
                </w:p>
              </w:tc>
            </w:tr>
            <w:tr w14:paraId="6A23A5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1447" w:type="pct"/>
                  <w:tcBorders>
                    <w:tl2br w:val="nil"/>
                    <w:tr2bl w:val="nil"/>
                  </w:tcBorders>
                  <w:noWrap w:val="0"/>
                  <w:vAlign w:val="center"/>
                </w:tcPr>
                <w:p w14:paraId="657599E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是否符合相关标准要求</w:t>
                  </w:r>
                </w:p>
              </w:tc>
              <w:tc>
                <w:tcPr>
                  <w:tcW w:w="1047" w:type="pct"/>
                  <w:tcBorders>
                    <w:tl2br w:val="nil"/>
                    <w:tr2bl w:val="nil"/>
                  </w:tcBorders>
                  <w:noWrap w:val="0"/>
                  <w:vAlign w:val="center"/>
                </w:tcPr>
                <w:p w14:paraId="78B0BD4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是</w:t>
                  </w:r>
                </w:p>
              </w:tc>
              <w:tc>
                <w:tcPr>
                  <w:tcW w:w="1281" w:type="pct"/>
                  <w:tcBorders>
                    <w:tl2br w:val="nil"/>
                    <w:tr2bl w:val="nil"/>
                  </w:tcBorders>
                  <w:noWrap w:val="0"/>
                  <w:vAlign w:val="center"/>
                </w:tcPr>
                <w:p w14:paraId="574A2BD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自行利用/处置方式</w:t>
                  </w:r>
                </w:p>
              </w:tc>
              <w:tc>
                <w:tcPr>
                  <w:tcW w:w="1223" w:type="pct"/>
                  <w:tcBorders>
                    <w:tl2br w:val="nil"/>
                    <w:tr2bl w:val="nil"/>
                  </w:tcBorders>
                  <w:noWrap w:val="0"/>
                  <w:vAlign w:val="center"/>
                </w:tcPr>
                <w:p w14:paraId="07649D4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w:t>
                  </w:r>
                </w:p>
              </w:tc>
            </w:tr>
            <w:tr w14:paraId="119F53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1447" w:type="pct"/>
                  <w:tcBorders>
                    <w:tl2br w:val="nil"/>
                    <w:tr2bl w:val="nil"/>
                  </w:tcBorders>
                  <w:noWrap w:val="0"/>
                  <w:vAlign w:val="center"/>
                </w:tcPr>
                <w:p w14:paraId="5739254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自行贮存/利用/处置能力</w:t>
                  </w:r>
                </w:p>
              </w:tc>
              <w:tc>
                <w:tcPr>
                  <w:tcW w:w="1047" w:type="pct"/>
                  <w:tcBorders>
                    <w:tl2br w:val="nil"/>
                    <w:tr2bl w:val="nil"/>
                  </w:tcBorders>
                  <w:noWrap w:val="0"/>
                  <w:vAlign w:val="center"/>
                </w:tcPr>
                <w:p w14:paraId="20F5AF6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20</w:t>
                  </w:r>
                  <w:r>
                    <w:rPr>
                      <w:rFonts w:hint="default" w:ascii="Times New Roman" w:hAnsi="Times New Roman" w:eastAsia="宋体" w:cs="Times New Roman"/>
                      <w:color w:val="auto"/>
                      <w:szCs w:val="21"/>
                    </w:rPr>
                    <w:t>t</w:t>
                  </w:r>
                </w:p>
              </w:tc>
              <w:tc>
                <w:tcPr>
                  <w:tcW w:w="1281" w:type="pct"/>
                  <w:tcBorders>
                    <w:tl2br w:val="nil"/>
                    <w:tr2bl w:val="nil"/>
                  </w:tcBorders>
                  <w:noWrap w:val="0"/>
                  <w:vAlign w:val="center"/>
                </w:tcPr>
                <w:p w14:paraId="6DC5A0D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面积</w:t>
                  </w:r>
                </w:p>
              </w:tc>
              <w:tc>
                <w:tcPr>
                  <w:tcW w:w="1223" w:type="pct"/>
                  <w:tcBorders>
                    <w:tl2br w:val="nil"/>
                    <w:tr2bl w:val="nil"/>
                  </w:tcBorders>
                  <w:noWrap w:val="0"/>
                  <w:vAlign w:val="center"/>
                </w:tcPr>
                <w:p w14:paraId="45BEFEC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40</w:t>
                  </w:r>
                  <w:r>
                    <w:rPr>
                      <w:rFonts w:hint="default" w:ascii="Times New Roman" w:hAnsi="Times New Roman" w:eastAsia="宋体" w:cs="Times New Roman"/>
                      <w:color w:val="auto"/>
                      <w:szCs w:val="21"/>
                    </w:rPr>
                    <w:t>m</w:t>
                  </w:r>
                  <w:r>
                    <w:rPr>
                      <w:rFonts w:hint="default" w:ascii="Times New Roman" w:hAnsi="Times New Roman" w:eastAsia="宋体" w:cs="Times New Roman"/>
                      <w:color w:val="auto"/>
                      <w:sz w:val="21"/>
                      <w:szCs w:val="21"/>
                      <w:vertAlign w:val="superscript"/>
                    </w:rPr>
                    <w:t>2</w:t>
                  </w:r>
                </w:p>
              </w:tc>
            </w:tr>
          </w:tbl>
          <w:p w14:paraId="5C5FA4A1">
            <w:pPr>
              <w:keepNext w:val="0"/>
              <w:keepLines w:val="0"/>
              <w:pageBreakBefore w:val="0"/>
              <w:widowControl w:val="0"/>
              <w:numPr>
                <w:ilvl w:val="0"/>
                <w:numId w:val="6"/>
              </w:numPr>
              <w:suppressLineNumbers w:val="0"/>
              <w:kinsoku/>
              <w:wordWrap/>
              <w:overflowPunct/>
              <w:topLinePunct w:val="0"/>
              <w:autoSpaceDE/>
              <w:autoSpaceDN/>
              <w:bidi w:val="0"/>
              <w:adjustRightInd w:val="0"/>
              <w:snapToGrid w:val="0"/>
              <w:spacing w:before="157" w:beforeLines="50" w:beforeAutospacing="0" w:after="0" w:afterAutospacing="0" w:line="360" w:lineRule="auto"/>
              <w:ind w:left="0" w:right="0" w:firstLine="480" w:firstLineChars="200"/>
              <w:textAlignment w:val="auto"/>
              <w:rPr>
                <w:rFonts w:hint="default" w:ascii="Times New Roman" w:hAnsi="Times New Roman" w:cs="Times New Roman"/>
                <w:kern w:val="24"/>
                <w:sz w:val="24"/>
                <w:lang w:val="en-US" w:eastAsia="zh-CN"/>
              </w:rPr>
            </w:pPr>
            <w:r>
              <w:rPr>
                <w:rFonts w:hint="default" w:ascii="Times New Roman" w:hAnsi="Times New Roman" w:cs="Times New Roman"/>
                <w:kern w:val="24"/>
                <w:sz w:val="24"/>
                <w:lang w:val="en-US" w:eastAsia="zh-CN"/>
              </w:rPr>
              <w:t>危险废物</w:t>
            </w:r>
          </w:p>
          <w:p w14:paraId="007329A4">
            <w:pPr>
              <w:keepNext w:val="0"/>
              <w:keepLines w:val="0"/>
              <w:pageBreakBefore w:val="0"/>
              <w:numPr>
                <w:ilvl w:val="0"/>
                <w:numId w:val="0"/>
              </w:numPr>
              <w:suppressLineNumbers w:val="0"/>
              <w:kinsoku/>
              <w:wordWrap/>
              <w:overflowPunct/>
              <w:topLinePunct w:val="0"/>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cs="Times New Roman"/>
                <w:sz w:val="24"/>
                <w:szCs w:val="20"/>
                <w:lang w:val="en-US" w:eastAsia="zh-CN"/>
              </w:rPr>
            </w:pPr>
            <w:r>
              <w:rPr>
                <w:rFonts w:hint="default" w:cs="Times New Roman"/>
                <w:sz w:val="24"/>
                <w:szCs w:val="20"/>
                <w:lang w:val="en-US" w:eastAsia="zh-CN"/>
              </w:rPr>
              <w:t>技改完成后全厂</w:t>
            </w:r>
            <w:r>
              <w:rPr>
                <w:rFonts w:hint="default" w:ascii="Times New Roman" w:hAnsi="Times New Roman" w:cs="Times New Roman"/>
                <w:sz w:val="24"/>
                <w:szCs w:val="20"/>
                <w:lang w:val="en-US" w:eastAsia="zh-CN"/>
              </w:rPr>
              <w:t>产生的危险废物为：废水性油墨桶、废抹布、废胶粘剂桶、废活性炭</w:t>
            </w:r>
            <w:r>
              <w:rPr>
                <w:rFonts w:hint="default" w:cs="Times New Roman"/>
                <w:sz w:val="24"/>
                <w:szCs w:val="20"/>
                <w:lang w:val="en-US" w:eastAsia="zh-CN"/>
              </w:rPr>
              <w:t>、废过滤介质</w:t>
            </w:r>
            <w:r>
              <w:rPr>
                <w:rFonts w:hint="default" w:ascii="Times New Roman" w:hAnsi="Times New Roman" w:cs="Times New Roman"/>
                <w:sz w:val="24"/>
                <w:szCs w:val="20"/>
                <w:lang w:val="en-US" w:eastAsia="zh-CN"/>
              </w:rPr>
              <w:t>，危废间暂存后交由有资质单位处置。</w:t>
            </w:r>
          </w:p>
          <w:p w14:paraId="5BC7371C">
            <w:pPr>
              <w:keepNext w:val="0"/>
              <w:keepLines w:val="0"/>
              <w:pageBreakBefore w:val="0"/>
              <w:numPr>
                <w:ilvl w:val="0"/>
                <w:numId w:val="0"/>
              </w:numPr>
              <w:suppressLineNumbers w:val="0"/>
              <w:kinsoku/>
              <w:wordWrap/>
              <w:overflowPunct/>
              <w:topLinePunct w:val="0"/>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lang w:val="en-US" w:eastAsia="zh-CN"/>
              </w:rPr>
            </w:pPr>
            <w:r>
              <w:rPr>
                <w:rFonts w:hint="default" w:ascii="Times New Roman" w:hAnsi="Times New Roman" w:eastAsia="微软雅黑" w:cs="Times New Roman"/>
                <w:color w:val="auto"/>
                <w:sz w:val="24"/>
                <w:lang w:val="en-US" w:eastAsia="zh-CN"/>
              </w:rPr>
              <w:t>①</w:t>
            </w:r>
            <w:r>
              <w:rPr>
                <w:rFonts w:hint="default" w:ascii="Times New Roman" w:hAnsi="Times New Roman" w:eastAsia="宋体" w:cs="Times New Roman"/>
                <w:color w:val="auto"/>
                <w:sz w:val="24"/>
                <w:lang w:val="en-US" w:eastAsia="zh-CN"/>
              </w:rPr>
              <w:t>印刷工序产生的废</w:t>
            </w:r>
            <w:r>
              <w:rPr>
                <w:rFonts w:hint="default" w:cs="Times New Roman"/>
                <w:color w:val="auto"/>
                <w:sz w:val="24"/>
                <w:lang w:val="en-US" w:eastAsia="zh-CN"/>
              </w:rPr>
              <w:t>水性</w:t>
            </w:r>
            <w:r>
              <w:rPr>
                <w:rFonts w:hint="default" w:ascii="Times New Roman" w:hAnsi="Times New Roman" w:eastAsia="宋体" w:cs="Times New Roman"/>
                <w:color w:val="auto"/>
                <w:sz w:val="24"/>
                <w:lang w:val="en-US" w:eastAsia="zh-CN"/>
              </w:rPr>
              <w:t>油墨桶属于危险废物，经查《国家危险废物名录》（2025年版），类别为HW49其他废物，废物代码为900-041-49。</w:t>
            </w:r>
            <w:r>
              <w:rPr>
                <w:rFonts w:hint="eastAsia" w:ascii="Times New Roman" w:hAnsi="Times New Roman" w:eastAsia="宋体" w:cs="Times New Roman"/>
                <w:color w:val="auto"/>
                <w:sz w:val="24"/>
                <w:lang w:val="en-US" w:eastAsia="zh-CN"/>
              </w:rPr>
              <w:t>技改完成后全厂水性油墨用量不变，规格不变，则全厂废水性油墨桶产生量为1.5t/a</w:t>
            </w:r>
            <w:r>
              <w:rPr>
                <w:rFonts w:hint="default" w:ascii="Times New Roman" w:hAnsi="Times New Roman" w:eastAsia="宋体" w:cs="Times New Roman"/>
                <w:color w:val="auto"/>
                <w:sz w:val="24"/>
                <w:lang w:val="en-US" w:eastAsia="zh-CN"/>
              </w:rPr>
              <w:t>。</w:t>
            </w:r>
          </w:p>
          <w:p w14:paraId="4AA3A8DC">
            <w:pPr>
              <w:keepNext w:val="0"/>
              <w:keepLines w:val="0"/>
              <w:pageBreakBefore w:val="0"/>
              <w:numPr>
                <w:ilvl w:val="0"/>
                <w:numId w:val="0"/>
              </w:numPr>
              <w:suppressLineNumbers w:val="0"/>
              <w:kinsoku/>
              <w:wordWrap/>
              <w:overflowPunct/>
              <w:topLinePunct w:val="0"/>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lang w:val="en-US" w:eastAsia="zh-CN"/>
              </w:rPr>
            </w:pPr>
            <w:r>
              <w:rPr>
                <w:rFonts w:hint="default" w:ascii="Times New Roman" w:hAnsi="Times New Roman" w:eastAsia="微软雅黑" w:cs="Times New Roman"/>
                <w:color w:val="auto"/>
                <w:sz w:val="24"/>
                <w:lang w:val="en-US" w:eastAsia="zh-CN"/>
              </w:rPr>
              <w:t>②</w:t>
            </w:r>
            <w:r>
              <w:rPr>
                <w:rFonts w:hint="default" w:ascii="Times New Roman" w:hAnsi="Times New Roman" w:eastAsia="宋体" w:cs="Times New Roman"/>
                <w:color w:val="auto"/>
                <w:sz w:val="24"/>
                <w:lang w:val="en-US" w:eastAsia="zh-CN"/>
              </w:rPr>
              <w:t>印刷工序清洗产生的废抹布属于危险废物，经查《国家危险废物名录》（2025年版），类别为HW</w:t>
            </w:r>
            <w:r>
              <w:rPr>
                <w:rFonts w:hint="eastAsia" w:cs="Times New Roman"/>
                <w:color w:val="auto"/>
                <w:sz w:val="24"/>
                <w:lang w:val="en-US" w:eastAsia="zh-CN"/>
              </w:rPr>
              <w:t>49</w:t>
            </w:r>
            <w:r>
              <w:rPr>
                <w:rFonts w:hint="default" w:ascii="Times New Roman" w:hAnsi="Times New Roman" w:eastAsia="宋体" w:cs="Times New Roman"/>
                <w:color w:val="auto"/>
                <w:sz w:val="24"/>
                <w:lang w:val="en-US" w:eastAsia="zh-CN"/>
              </w:rPr>
              <w:t>其他废物，废物代码为900-</w:t>
            </w:r>
            <w:r>
              <w:rPr>
                <w:rFonts w:hint="eastAsia" w:cs="Times New Roman"/>
                <w:color w:val="auto"/>
                <w:sz w:val="24"/>
                <w:lang w:val="en-US" w:eastAsia="zh-CN"/>
              </w:rPr>
              <w:t>041</w:t>
            </w:r>
            <w:r>
              <w:rPr>
                <w:rFonts w:hint="default" w:ascii="Times New Roman" w:hAnsi="Times New Roman" w:eastAsia="宋体" w:cs="Times New Roman"/>
                <w:color w:val="auto"/>
                <w:sz w:val="24"/>
                <w:lang w:val="en-US" w:eastAsia="zh-CN"/>
              </w:rPr>
              <w:t>-</w:t>
            </w:r>
            <w:r>
              <w:rPr>
                <w:rFonts w:hint="eastAsia" w:cs="Times New Roman"/>
                <w:color w:val="auto"/>
                <w:sz w:val="24"/>
                <w:lang w:val="en-US" w:eastAsia="zh-CN"/>
              </w:rPr>
              <w:t>49</w:t>
            </w:r>
            <w:r>
              <w:rPr>
                <w:rFonts w:hint="default" w:ascii="Times New Roman" w:hAnsi="Times New Roman" w:eastAsia="宋体" w:cs="Times New Roman"/>
                <w:color w:val="auto"/>
                <w:sz w:val="24"/>
                <w:lang w:val="en-US" w:eastAsia="zh-CN"/>
              </w:rPr>
              <w:t>。</w:t>
            </w:r>
            <w:r>
              <w:rPr>
                <w:rFonts w:hint="default"/>
                <w:sz w:val="24"/>
                <w:lang w:eastAsia="zh-CN"/>
              </w:rPr>
              <w:t>依据企业提供资料</w:t>
            </w:r>
            <w:r>
              <w:rPr>
                <w:rFonts w:hint="default" w:ascii="Times New Roman" w:hAnsi="Times New Roman" w:cs="Times New Roman"/>
                <w:sz w:val="24"/>
                <w:lang w:eastAsia="zh-CN"/>
              </w:rPr>
              <w:t>，</w:t>
            </w:r>
            <w:r>
              <w:rPr>
                <w:rFonts w:hint="default" w:ascii="Times New Roman" w:hAnsi="Times New Roman" w:eastAsia="宋体" w:cs="Times New Roman"/>
                <w:color w:val="auto"/>
                <w:sz w:val="24"/>
                <w:lang w:val="en-US" w:eastAsia="zh-CN"/>
              </w:rPr>
              <w:t>技改完成后全厂</w:t>
            </w:r>
            <w:r>
              <w:rPr>
                <w:rFonts w:hint="default" w:cs="Times New Roman"/>
                <w:color w:val="auto"/>
                <w:sz w:val="24"/>
                <w:szCs w:val="24"/>
                <w:lang w:val="en-US" w:eastAsia="zh-CN"/>
              </w:rPr>
              <w:t>废抹布</w:t>
            </w:r>
            <w:r>
              <w:rPr>
                <w:rFonts w:hint="default" w:ascii="Times New Roman" w:hAnsi="Times New Roman" w:eastAsia="宋体" w:cs="Times New Roman"/>
                <w:color w:val="auto"/>
                <w:sz w:val="24"/>
                <w:szCs w:val="24"/>
                <w:lang w:val="en-US" w:eastAsia="zh-CN"/>
              </w:rPr>
              <w:t>产生量约为0.01t/a。</w:t>
            </w:r>
          </w:p>
          <w:p w14:paraId="410AE40A">
            <w:pPr>
              <w:keepNext w:val="0"/>
              <w:keepLines w:val="0"/>
              <w:pageBreakBefore w:val="0"/>
              <w:widowControl/>
              <w:suppressLineNumbers w:val="0"/>
              <w:kinsoku/>
              <w:wordWrap/>
              <w:overflowPunct/>
              <w:topLinePunct w:val="0"/>
              <w:autoSpaceDE w:val="0"/>
              <w:autoSpaceDN w:val="0"/>
              <w:bidi w:val="0"/>
              <w:adjustRightInd w:val="0"/>
              <w:snapToGrid/>
              <w:spacing w:before="0" w:beforeAutospacing="0" w:after="0" w:afterAutospacing="0" w:line="360" w:lineRule="auto"/>
              <w:ind w:left="0" w:right="0" w:firstLine="480" w:firstLineChars="200"/>
              <w:jc w:val="both"/>
              <w:textAlignment w:val="auto"/>
              <w:rPr>
                <w:rFonts w:hint="default" w:ascii="Times New Roman" w:hAnsi="Times New Roman" w:cs="Times New Roman"/>
                <w:lang w:val="en-US" w:eastAsia="zh-CN"/>
              </w:rPr>
            </w:pPr>
            <w:r>
              <w:rPr>
                <w:rFonts w:hint="default" w:ascii="Times New Roman" w:hAnsi="Times New Roman" w:eastAsia="微软雅黑" w:cs="Times New Roman"/>
                <w:color w:val="auto"/>
                <w:sz w:val="24"/>
                <w:lang w:val="en-US" w:eastAsia="zh-CN"/>
              </w:rPr>
              <w:t>③</w:t>
            </w:r>
            <w:r>
              <w:rPr>
                <w:rFonts w:hint="default" w:ascii="Times New Roman" w:hAnsi="Times New Roman" w:eastAsia="宋体" w:cs="Times New Roman"/>
                <w:color w:val="auto"/>
                <w:sz w:val="24"/>
                <w:lang w:val="en-US" w:eastAsia="zh-CN"/>
              </w:rPr>
              <w:t>复合工序产生的废胶粘剂桶属于危险废物，经查《国家危险废物名录》（2025年版），类别为HW49其他废物，废物代码为900-041-49。</w:t>
            </w:r>
            <w:r>
              <w:rPr>
                <w:rFonts w:hint="eastAsia" w:ascii="Times New Roman" w:hAnsi="Times New Roman" w:eastAsia="宋体" w:cs="Times New Roman"/>
                <w:color w:val="auto"/>
                <w:sz w:val="24"/>
                <w:lang w:val="en-US" w:eastAsia="zh-CN"/>
              </w:rPr>
              <w:t>技改完成后全厂胶粘剂年耗量不变，规格不变，则全厂废胶粘剂桶产生量为1.0t/a。</w:t>
            </w:r>
          </w:p>
          <w:p w14:paraId="0CFA353F">
            <w:pPr>
              <w:keepNext w:val="0"/>
              <w:keepLines w:val="0"/>
              <w:pageBreakBefore w:val="0"/>
              <w:widowControl/>
              <w:suppressLineNumbers w:val="0"/>
              <w:kinsoku/>
              <w:wordWrap/>
              <w:overflowPunct/>
              <w:topLinePunct w:val="0"/>
              <w:autoSpaceDE w:val="0"/>
              <w:autoSpaceDN w:val="0"/>
              <w:bidi w:val="0"/>
              <w:adjustRightInd w:val="0"/>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微软雅黑" w:cs="Times New Roman"/>
                <w:color w:val="auto"/>
                <w:sz w:val="24"/>
                <w:highlight w:val="none"/>
                <w:lang w:val="en-US" w:eastAsia="zh-CN"/>
              </w:rPr>
              <w:t>④</w:t>
            </w:r>
            <w:r>
              <w:rPr>
                <w:rFonts w:hint="default" w:ascii="Times New Roman" w:hAnsi="Times New Roman" w:eastAsia="宋体" w:cs="Times New Roman"/>
                <w:color w:val="auto"/>
                <w:sz w:val="24"/>
                <w:szCs w:val="24"/>
                <w:lang w:eastAsia="zh-CN"/>
              </w:rPr>
              <w:t>项目二级活性炭吸附</w:t>
            </w:r>
            <w:r>
              <w:rPr>
                <w:rFonts w:hint="default" w:ascii="Times New Roman" w:hAnsi="Times New Roman" w:cs="Times New Roman"/>
                <w:color w:val="auto"/>
                <w:sz w:val="24"/>
                <w:szCs w:val="24"/>
                <w:lang w:val="en-US" w:eastAsia="zh-CN"/>
              </w:rPr>
              <w:t>装置</w:t>
            </w:r>
            <w:r>
              <w:rPr>
                <w:rFonts w:hint="default" w:ascii="Times New Roman" w:hAnsi="Times New Roman" w:eastAsia="宋体" w:cs="Times New Roman"/>
                <w:color w:val="auto"/>
                <w:sz w:val="24"/>
                <w:szCs w:val="24"/>
                <w:lang w:eastAsia="zh-CN"/>
              </w:rPr>
              <w:t>产生废活性炭，经查《国家危险废物名录》（</w:t>
            </w:r>
            <w:r>
              <w:rPr>
                <w:rFonts w:hint="default" w:ascii="Times New Roman" w:hAnsi="Times New Roman" w:eastAsia="宋体" w:cs="Times New Roman"/>
                <w:color w:val="auto"/>
                <w:sz w:val="24"/>
                <w:szCs w:val="24"/>
                <w:lang w:val="en-US" w:eastAsia="zh-CN"/>
              </w:rPr>
              <w:t>2025年版</w:t>
            </w:r>
            <w:r>
              <w:rPr>
                <w:rFonts w:hint="default" w:ascii="Times New Roman" w:hAnsi="Times New Roman" w:eastAsia="宋体" w:cs="Times New Roman"/>
                <w:color w:val="auto"/>
                <w:sz w:val="24"/>
                <w:szCs w:val="24"/>
                <w:lang w:eastAsia="zh-CN"/>
              </w:rPr>
              <w:t>），项目产生的废活性炭属于危险废物，类别为HW49其他废物，废物代码为</w:t>
            </w:r>
            <w:bookmarkStart w:id="7" w:name="OLE_LINK171"/>
            <w:r>
              <w:rPr>
                <w:rFonts w:hint="default" w:ascii="Times New Roman" w:hAnsi="Times New Roman" w:eastAsia="宋体" w:cs="Times New Roman"/>
                <w:color w:val="auto"/>
                <w:sz w:val="24"/>
                <w:szCs w:val="24"/>
                <w:lang w:eastAsia="zh-CN"/>
              </w:rPr>
              <w:t>900-0</w:t>
            </w:r>
            <w:r>
              <w:rPr>
                <w:rFonts w:hint="default" w:ascii="Times New Roman" w:hAnsi="Times New Roman" w:eastAsia="宋体" w:cs="Times New Roman"/>
                <w:color w:val="auto"/>
                <w:sz w:val="24"/>
                <w:szCs w:val="24"/>
                <w:lang w:val="en-US" w:eastAsia="zh-CN"/>
              </w:rPr>
              <w:t>39</w:t>
            </w:r>
            <w:r>
              <w:rPr>
                <w:rFonts w:hint="default" w:ascii="Times New Roman" w:hAnsi="Times New Roman" w:eastAsia="宋体" w:cs="Times New Roman"/>
                <w:color w:val="auto"/>
                <w:sz w:val="24"/>
                <w:szCs w:val="24"/>
                <w:lang w:eastAsia="zh-CN"/>
              </w:rPr>
              <w:t>-49</w:t>
            </w:r>
            <w:bookmarkEnd w:id="7"/>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highlight w:val="none"/>
                <w:lang w:val="en-US" w:eastAsia="zh-CN"/>
              </w:rPr>
              <w:t>DA001二级活性炭吸附装置吸附有机废气量为1.</w:t>
            </w:r>
            <w:r>
              <w:rPr>
                <w:rFonts w:hint="default" w:ascii="Times New Roman" w:hAnsi="Times New Roman" w:cs="Times New Roman"/>
                <w:color w:val="auto"/>
                <w:sz w:val="24"/>
                <w:szCs w:val="24"/>
                <w:highlight w:val="none"/>
                <w:lang w:val="en-US" w:eastAsia="zh-CN"/>
              </w:rPr>
              <w:t>666</w:t>
            </w:r>
            <w:r>
              <w:rPr>
                <w:rFonts w:hint="default" w:ascii="Times New Roman" w:hAnsi="Times New Roman" w:eastAsia="宋体" w:cs="Times New Roman"/>
                <w:color w:val="auto"/>
                <w:sz w:val="24"/>
                <w:szCs w:val="24"/>
                <w:highlight w:val="none"/>
                <w:lang w:val="en-US" w:eastAsia="zh-CN"/>
              </w:rPr>
              <w:t>t/a，根据《活性炭手册》，按1kg活性炭吸附0.3kg有机废气计，活性炭吸附量达到90%进行更换，经计算，二级活性炭吸附装置活性炭使用量为</w:t>
            </w:r>
            <w:r>
              <w:rPr>
                <w:rFonts w:hint="default" w:ascii="Times New Roman" w:hAnsi="Times New Roman" w:cs="Times New Roman"/>
                <w:color w:val="auto"/>
                <w:sz w:val="24"/>
                <w:szCs w:val="24"/>
                <w:highlight w:val="none"/>
                <w:lang w:val="en-US" w:eastAsia="zh-CN"/>
              </w:rPr>
              <w:t>6.170</w:t>
            </w:r>
            <w:r>
              <w:rPr>
                <w:rFonts w:hint="default" w:ascii="Times New Roman" w:hAnsi="Times New Roman" w:eastAsia="宋体" w:cs="Times New Roman"/>
                <w:color w:val="auto"/>
                <w:sz w:val="24"/>
                <w:szCs w:val="24"/>
                <w:highlight w:val="none"/>
                <w:lang w:val="en-US" w:eastAsia="zh-CN"/>
              </w:rPr>
              <w:t>t/a。DA001废气量为</w:t>
            </w:r>
            <w:r>
              <w:rPr>
                <w:rFonts w:hint="default" w:ascii="Times New Roman" w:hAnsi="Times New Roman" w:cs="Times New Roman"/>
                <w:color w:val="auto"/>
                <w:sz w:val="24"/>
                <w:szCs w:val="24"/>
                <w:highlight w:val="none"/>
                <w:lang w:val="en-US" w:eastAsia="zh-CN"/>
              </w:rPr>
              <w:t>30439</w:t>
            </w:r>
            <w:r>
              <w:rPr>
                <w:rFonts w:hint="default" w:ascii="Times New Roman" w:hAnsi="Times New Roman" w:eastAsia="宋体" w:cs="Times New Roman"/>
                <w:color w:val="auto"/>
                <w:sz w:val="24"/>
                <w:szCs w:val="24"/>
                <w:highlight w:val="none"/>
                <w:lang w:val="en-US" w:eastAsia="zh-CN"/>
              </w:rPr>
              <w:t>m</w:t>
            </w:r>
            <w:r>
              <w:rPr>
                <w:rFonts w:hint="default" w:ascii="Times New Roman" w:hAnsi="Times New Roman" w:eastAsia="宋体" w:cs="Times New Roman"/>
                <w:color w:val="auto"/>
                <w:sz w:val="24"/>
                <w:szCs w:val="24"/>
                <w:highlight w:val="none"/>
                <w:vertAlign w:val="superscript"/>
                <w:lang w:val="en-US" w:eastAsia="zh-CN"/>
              </w:rPr>
              <w:t>3</w:t>
            </w:r>
            <w:r>
              <w:rPr>
                <w:rFonts w:hint="default" w:ascii="Times New Roman" w:hAnsi="Times New Roman" w:eastAsia="宋体" w:cs="Times New Roman"/>
                <w:color w:val="auto"/>
                <w:sz w:val="24"/>
                <w:szCs w:val="24"/>
                <w:highlight w:val="none"/>
                <w:lang w:val="en-US" w:eastAsia="zh-CN"/>
              </w:rPr>
              <w:t>/h，根据《河北省涉VOCs工业企业常用治理技术指南》，颗粒活性炭填充量与每小时处理废气量体积之比宜&lt;1:7000，每1万Nm</w:t>
            </w:r>
            <w:r>
              <w:rPr>
                <w:rFonts w:hint="default" w:ascii="Times New Roman" w:hAnsi="Times New Roman" w:eastAsia="宋体" w:cs="Times New Roman"/>
                <w:color w:val="auto"/>
                <w:sz w:val="24"/>
                <w:szCs w:val="24"/>
                <w:highlight w:val="none"/>
                <w:vertAlign w:val="superscript"/>
                <w:lang w:val="en-US" w:eastAsia="zh-CN"/>
              </w:rPr>
              <w:t>3</w:t>
            </w:r>
            <w:r>
              <w:rPr>
                <w:rFonts w:hint="default" w:ascii="Times New Roman" w:hAnsi="Times New Roman" w:eastAsia="宋体" w:cs="Times New Roman"/>
                <w:color w:val="auto"/>
                <w:sz w:val="24"/>
                <w:szCs w:val="24"/>
                <w:highlight w:val="none"/>
                <w:lang w:val="en-US" w:eastAsia="zh-CN"/>
              </w:rPr>
              <w:t>/h废气处理颗粒活性炭吸附截面积宜不小于4.6m²；活性炭层穿透厚度宜&gt;400mm；吸附单元吸附废气表观流速宜控制在0.2m/s-0.6m/s，因此DA001活性炭吸附截面取</w:t>
            </w:r>
            <w:r>
              <w:rPr>
                <w:rFonts w:hint="default" w:ascii="Times New Roman" w:hAnsi="Times New Roman" w:cs="Times New Roman"/>
                <w:color w:val="auto"/>
                <w:sz w:val="24"/>
                <w:szCs w:val="24"/>
                <w:highlight w:val="none"/>
                <w:lang w:val="en-US" w:eastAsia="zh-CN"/>
              </w:rPr>
              <w:t>14.002</w:t>
            </w:r>
            <w:r>
              <w:rPr>
                <w:rFonts w:hint="default" w:ascii="Times New Roman" w:hAnsi="Times New Roman" w:eastAsia="宋体" w:cs="Times New Roman"/>
                <w:color w:val="auto"/>
                <w:sz w:val="24"/>
                <w:szCs w:val="24"/>
                <w:highlight w:val="none"/>
                <w:lang w:val="en-US" w:eastAsia="zh-CN"/>
              </w:rPr>
              <w:t>m</w:t>
            </w:r>
            <w:r>
              <w:rPr>
                <w:rFonts w:hint="default" w:ascii="Times New Roman" w:hAnsi="Times New Roman" w:eastAsia="宋体" w:cs="Times New Roman"/>
                <w:color w:val="auto"/>
                <w:sz w:val="24"/>
                <w:szCs w:val="24"/>
                <w:highlight w:val="none"/>
                <w:vertAlign w:val="superscript"/>
                <w:lang w:val="en-US" w:eastAsia="zh-CN"/>
              </w:rPr>
              <w:t>2</w:t>
            </w:r>
            <w:r>
              <w:rPr>
                <w:rFonts w:hint="default" w:ascii="Times New Roman" w:hAnsi="Times New Roman" w:eastAsia="宋体" w:cs="Times New Roman"/>
                <w:color w:val="auto"/>
                <w:sz w:val="24"/>
                <w:szCs w:val="24"/>
                <w:highlight w:val="none"/>
                <w:lang w:val="en-US" w:eastAsia="zh-CN"/>
              </w:rPr>
              <w:t>，活性炭层穿透厚度取410mm，活性炭吸附装置装填</w:t>
            </w:r>
            <w:r>
              <w:rPr>
                <w:rFonts w:hint="default" w:ascii="Times New Roman" w:hAnsi="Times New Roman" w:cs="Times New Roman"/>
                <w:color w:val="auto"/>
                <w:sz w:val="24"/>
                <w:szCs w:val="24"/>
                <w:highlight w:val="none"/>
                <w:lang w:val="en-US" w:eastAsia="zh-CN"/>
              </w:rPr>
              <w:t>5.741</w:t>
            </w:r>
            <w:r>
              <w:rPr>
                <w:rFonts w:hint="default" w:ascii="Times New Roman" w:hAnsi="Times New Roman" w:eastAsia="宋体" w:cs="Times New Roman"/>
                <w:color w:val="auto"/>
                <w:sz w:val="24"/>
                <w:szCs w:val="24"/>
                <w:highlight w:val="none"/>
                <w:lang w:val="en-US" w:eastAsia="zh-CN"/>
              </w:rPr>
              <w:t>m</w:t>
            </w:r>
            <w:r>
              <w:rPr>
                <w:rFonts w:hint="default" w:ascii="Times New Roman" w:hAnsi="Times New Roman" w:eastAsia="宋体" w:cs="Times New Roman"/>
                <w:color w:val="auto"/>
                <w:sz w:val="24"/>
                <w:szCs w:val="24"/>
                <w:highlight w:val="none"/>
                <w:vertAlign w:val="superscript"/>
                <w:lang w:val="en-US" w:eastAsia="zh-CN"/>
              </w:rPr>
              <w:t>3</w:t>
            </w:r>
            <w:r>
              <w:rPr>
                <w:rFonts w:hint="default" w:ascii="Times New Roman" w:hAnsi="Times New Roman" w:eastAsia="宋体" w:cs="Times New Roman"/>
                <w:color w:val="auto"/>
                <w:sz w:val="24"/>
                <w:szCs w:val="24"/>
                <w:highlight w:val="none"/>
                <w:lang w:val="en-US" w:eastAsia="zh-CN"/>
              </w:rPr>
              <w:t>活性炭，活性炭的密度取500kg/m³，则活性炭至少装填</w:t>
            </w:r>
            <w:r>
              <w:rPr>
                <w:rFonts w:hint="default" w:ascii="Times New Roman" w:hAnsi="Times New Roman" w:cs="Times New Roman"/>
                <w:color w:val="auto"/>
                <w:sz w:val="24"/>
                <w:szCs w:val="24"/>
                <w:highlight w:val="none"/>
                <w:lang w:val="en-US" w:eastAsia="zh-CN"/>
              </w:rPr>
              <w:t>2.870</w:t>
            </w:r>
            <w:r>
              <w:rPr>
                <w:rFonts w:hint="default" w:ascii="Times New Roman" w:hAnsi="Times New Roman" w:eastAsia="宋体" w:cs="Times New Roman"/>
                <w:color w:val="auto"/>
                <w:sz w:val="24"/>
                <w:szCs w:val="24"/>
                <w:highlight w:val="none"/>
                <w:lang w:val="en-US" w:eastAsia="zh-CN"/>
              </w:rPr>
              <w:t>t活性炭。本项目DA001二级活性炭吸附装置均拟装填</w:t>
            </w:r>
            <w:r>
              <w:rPr>
                <w:rFonts w:hint="default" w:ascii="Times New Roman" w:hAnsi="Times New Roman" w:cs="Times New Roman"/>
                <w:color w:val="auto"/>
                <w:sz w:val="24"/>
                <w:szCs w:val="24"/>
                <w:highlight w:val="none"/>
                <w:lang w:val="en-US" w:eastAsia="zh-CN"/>
              </w:rPr>
              <w:t>3.1</w:t>
            </w:r>
            <w:r>
              <w:rPr>
                <w:rFonts w:hint="default" w:ascii="Times New Roman" w:hAnsi="Times New Roman" w:eastAsia="宋体" w:cs="Times New Roman"/>
                <w:color w:val="auto"/>
                <w:sz w:val="24"/>
                <w:szCs w:val="24"/>
                <w:highlight w:val="none"/>
                <w:lang w:val="en-US" w:eastAsia="zh-CN"/>
              </w:rPr>
              <w:t>t活性炭，</w:t>
            </w:r>
            <w:r>
              <w:rPr>
                <w:rFonts w:hint="default"/>
                <w:sz w:val="24"/>
                <w:lang w:eastAsia="zh-CN"/>
              </w:rPr>
              <w:t>根据《活性炭手册》计算的处理有机废气的活性炭理论消耗量，本项目</w:t>
            </w:r>
            <w:r>
              <w:rPr>
                <w:rFonts w:hint="default" w:ascii="Times New Roman" w:hAnsi="Times New Roman" w:eastAsia="宋体" w:cs="Times New Roman"/>
                <w:color w:val="auto"/>
                <w:sz w:val="24"/>
                <w:szCs w:val="24"/>
                <w:highlight w:val="none"/>
                <w:lang w:val="en-US" w:eastAsia="zh-CN"/>
              </w:rPr>
              <w:t>每年更换2次，则DA001二级活性炭吸附装置废活性炭产生量均为</w:t>
            </w:r>
            <w:r>
              <w:rPr>
                <w:rFonts w:hint="default" w:ascii="Times New Roman" w:hAnsi="Times New Roman" w:cs="Times New Roman"/>
                <w:color w:val="auto"/>
                <w:sz w:val="24"/>
                <w:szCs w:val="24"/>
                <w:highlight w:val="none"/>
                <w:lang w:val="en-US" w:eastAsia="zh-CN"/>
              </w:rPr>
              <w:t>1.666</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cs="Times New Roman"/>
                <w:color w:val="auto"/>
                <w:sz w:val="24"/>
                <w:szCs w:val="24"/>
                <w:highlight w:val="none"/>
                <w:lang w:val="en-US" w:eastAsia="zh-CN"/>
              </w:rPr>
              <w:t>3.1</w:t>
            </w:r>
            <w:r>
              <w:rPr>
                <w:rFonts w:hint="default" w:ascii="Times New Roman" w:hAnsi="Times New Roman" w:eastAsia="宋体" w:cs="Times New Roman"/>
                <w:color w:val="auto"/>
                <w:sz w:val="24"/>
                <w:szCs w:val="24"/>
                <w:highlight w:val="none"/>
                <w:lang w:val="en-US" w:eastAsia="zh-CN"/>
              </w:rPr>
              <w:t>×2=</w:t>
            </w:r>
            <w:r>
              <w:rPr>
                <w:rFonts w:hint="default" w:ascii="Times New Roman" w:hAnsi="Times New Roman" w:cs="Times New Roman"/>
                <w:color w:val="auto"/>
                <w:sz w:val="24"/>
                <w:szCs w:val="24"/>
                <w:highlight w:val="none"/>
                <w:lang w:val="en-US" w:eastAsia="zh-CN"/>
              </w:rPr>
              <w:t>7.866</w:t>
            </w:r>
            <w:r>
              <w:rPr>
                <w:rFonts w:hint="default" w:ascii="Times New Roman" w:hAnsi="Times New Roman" w:eastAsia="宋体" w:cs="Times New Roman"/>
                <w:color w:val="auto"/>
                <w:sz w:val="24"/>
                <w:szCs w:val="24"/>
                <w:highlight w:val="none"/>
                <w:lang w:val="en-US" w:eastAsia="zh-CN"/>
              </w:rPr>
              <w:t>t/a。</w:t>
            </w:r>
          </w:p>
          <w:p w14:paraId="545ADB40">
            <w:pPr>
              <w:keepNext w:val="0"/>
              <w:keepLines w:val="0"/>
              <w:pageBreakBefore w:val="0"/>
              <w:widowControl/>
              <w:suppressLineNumbers w:val="0"/>
              <w:kinsoku/>
              <w:wordWrap/>
              <w:overflowPunct/>
              <w:topLinePunct w:val="0"/>
              <w:autoSpaceDE w:val="0"/>
              <w:autoSpaceDN w:val="0"/>
              <w:bidi w:val="0"/>
              <w:adjustRightInd w:val="0"/>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highlight w:val="none"/>
                <w:lang w:val="en-US" w:eastAsia="zh-CN"/>
              </w:rPr>
              <w:t>DA00</w:t>
            </w:r>
            <w:r>
              <w:rPr>
                <w:rFonts w:hint="default" w:ascii="Times New Roman" w:hAnsi="Times New Roman"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lang w:val="en-US" w:eastAsia="zh-CN"/>
              </w:rPr>
              <w:t>二级活性炭吸附装置吸附有机废气量为1.</w:t>
            </w:r>
            <w:r>
              <w:rPr>
                <w:rFonts w:hint="default" w:ascii="Times New Roman" w:hAnsi="Times New Roman" w:cs="Times New Roman"/>
                <w:color w:val="auto"/>
                <w:sz w:val="24"/>
                <w:szCs w:val="24"/>
                <w:highlight w:val="none"/>
                <w:lang w:val="en-US" w:eastAsia="zh-CN"/>
              </w:rPr>
              <w:t>541</w:t>
            </w:r>
            <w:r>
              <w:rPr>
                <w:rFonts w:hint="default" w:ascii="Times New Roman" w:hAnsi="Times New Roman" w:eastAsia="宋体" w:cs="Times New Roman"/>
                <w:color w:val="auto"/>
                <w:sz w:val="24"/>
                <w:szCs w:val="24"/>
                <w:highlight w:val="none"/>
                <w:lang w:val="en-US" w:eastAsia="zh-CN"/>
              </w:rPr>
              <w:t>t/a，根据《活性炭手册》，按1kg活性炭吸附0.3kg有机废气计，活性炭吸附量达到90%进行更换，经计算，二级活性炭吸附装置活性炭使用量为</w:t>
            </w:r>
            <w:r>
              <w:rPr>
                <w:rFonts w:hint="default" w:ascii="Times New Roman" w:hAnsi="Times New Roman" w:cs="Times New Roman"/>
                <w:color w:val="auto"/>
                <w:sz w:val="24"/>
                <w:szCs w:val="24"/>
                <w:highlight w:val="none"/>
                <w:lang w:val="en-US" w:eastAsia="zh-CN"/>
              </w:rPr>
              <w:t>5.708</w:t>
            </w:r>
            <w:r>
              <w:rPr>
                <w:rFonts w:hint="default" w:ascii="Times New Roman" w:hAnsi="Times New Roman" w:eastAsia="宋体" w:cs="Times New Roman"/>
                <w:color w:val="auto"/>
                <w:sz w:val="24"/>
                <w:szCs w:val="24"/>
                <w:highlight w:val="none"/>
                <w:lang w:val="en-US" w:eastAsia="zh-CN"/>
              </w:rPr>
              <w:t>t/a。DA00</w:t>
            </w:r>
            <w:r>
              <w:rPr>
                <w:rFonts w:hint="default" w:ascii="Times New Roman" w:hAnsi="Times New Roman"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lang w:val="en-US" w:eastAsia="zh-CN"/>
              </w:rPr>
              <w:t>废气量为</w:t>
            </w:r>
            <w:r>
              <w:rPr>
                <w:rFonts w:hint="default" w:ascii="Times New Roman" w:hAnsi="Times New Roman" w:cs="Times New Roman"/>
                <w:color w:val="auto"/>
                <w:sz w:val="24"/>
                <w:szCs w:val="24"/>
                <w:highlight w:val="none"/>
                <w:lang w:val="en-US" w:eastAsia="zh-CN"/>
              </w:rPr>
              <w:t>26115</w:t>
            </w:r>
            <w:r>
              <w:rPr>
                <w:rFonts w:hint="default" w:ascii="Times New Roman" w:hAnsi="Times New Roman" w:eastAsia="宋体" w:cs="Times New Roman"/>
                <w:color w:val="auto"/>
                <w:sz w:val="24"/>
                <w:szCs w:val="24"/>
                <w:highlight w:val="none"/>
                <w:lang w:val="en-US" w:eastAsia="zh-CN"/>
              </w:rPr>
              <w:t>m</w:t>
            </w:r>
            <w:r>
              <w:rPr>
                <w:rFonts w:hint="default" w:ascii="Times New Roman" w:hAnsi="Times New Roman" w:eastAsia="宋体" w:cs="Times New Roman"/>
                <w:color w:val="auto"/>
                <w:sz w:val="24"/>
                <w:szCs w:val="24"/>
                <w:highlight w:val="none"/>
                <w:vertAlign w:val="superscript"/>
                <w:lang w:val="en-US" w:eastAsia="zh-CN"/>
              </w:rPr>
              <w:t>3</w:t>
            </w:r>
            <w:r>
              <w:rPr>
                <w:rFonts w:hint="default" w:ascii="Times New Roman" w:hAnsi="Times New Roman" w:eastAsia="宋体" w:cs="Times New Roman"/>
                <w:color w:val="auto"/>
                <w:sz w:val="24"/>
                <w:szCs w:val="24"/>
                <w:highlight w:val="none"/>
                <w:lang w:val="en-US" w:eastAsia="zh-CN"/>
              </w:rPr>
              <w:t>/h，根据《河北省涉VOCs工业企业常用治理技术指南》，颗粒活性炭填充量与每小时处理废气量体积之比宜&lt;1:7000，每1万Nm</w:t>
            </w:r>
            <w:r>
              <w:rPr>
                <w:rFonts w:hint="default" w:ascii="Times New Roman" w:hAnsi="Times New Roman" w:eastAsia="宋体" w:cs="Times New Roman"/>
                <w:color w:val="auto"/>
                <w:sz w:val="24"/>
                <w:szCs w:val="24"/>
                <w:highlight w:val="none"/>
                <w:vertAlign w:val="superscript"/>
                <w:lang w:val="en-US" w:eastAsia="zh-CN"/>
              </w:rPr>
              <w:t>3</w:t>
            </w:r>
            <w:r>
              <w:rPr>
                <w:rFonts w:hint="default" w:ascii="Times New Roman" w:hAnsi="Times New Roman" w:eastAsia="宋体" w:cs="Times New Roman"/>
                <w:color w:val="auto"/>
                <w:sz w:val="24"/>
                <w:szCs w:val="24"/>
                <w:highlight w:val="none"/>
                <w:lang w:val="en-US" w:eastAsia="zh-CN"/>
              </w:rPr>
              <w:t>/h废气处理颗粒活性炭吸附截面积宜不小于4.6m²；活性炭层穿透厚度宜&gt;400mm；吸附单元吸附废气表观流速宜控制在0.2m/s-0.6m/s，因此DA00</w:t>
            </w:r>
            <w:r>
              <w:rPr>
                <w:rFonts w:hint="default" w:ascii="Times New Roman" w:hAnsi="Times New Roman"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lang w:val="en-US" w:eastAsia="zh-CN"/>
              </w:rPr>
              <w:t>活性炭吸附截面取</w:t>
            </w:r>
            <w:r>
              <w:rPr>
                <w:rFonts w:hint="default" w:ascii="Times New Roman" w:hAnsi="Times New Roman" w:cs="Times New Roman"/>
                <w:color w:val="auto"/>
                <w:sz w:val="24"/>
                <w:szCs w:val="24"/>
                <w:highlight w:val="none"/>
                <w:lang w:val="en-US" w:eastAsia="zh-CN"/>
              </w:rPr>
              <w:t>12.013</w:t>
            </w:r>
            <w:r>
              <w:rPr>
                <w:rFonts w:hint="default" w:ascii="Times New Roman" w:hAnsi="Times New Roman" w:eastAsia="宋体" w:cs="Times New Roman"/>
                <w:color w:val="auto"/>
                <w:sz w:val="24"/>
                <w:szCs w:val="24"/>
                <w:highlight w:val="none"/>
                <w:lang w:val="en-US" w:eastAsia="zh-CN"/>
              </w:rPr>
              <w:t>m</w:t>
            </w:r>
            <w:r>
              <w:rPr>
                <w:rFonts w:hint="default" w:ascii="Times New Roman" w:hAnsi="Times New Roman" w:eastAsia="宋体" w:cs="Times New Roman"/>
                <w:color w:val="auto"/>
                <w:sz w:val="24"/>
                <w:szCs w:val="24"/>
                <w:highlight w:val="none"/>
                <w:vertAlign w:val="superscript"/>
                <w:lang w:val="en-US" w:eastAsia="zh-CN"/>
              </w:rPr>
              <w:t>2</w:t>
            </w:r>
            <w:r>
              <w:rPr>
                <w:rFonts w:hint="default" w:ascii="Times New Roman" w:hAnsi="Times New Roman" w:eastAsia="宋体" w:cs="Times New Roman"/>
                <w:color w:val="auto"/>
                <w:sz w:val="24"/>
                <w:szCs w:val="24"/>
                <w:highlight w:val="none"/>
                <w:lang w:val="en-US" w:eastAsia="zh-CN"/>
              </w:rPr>
              <w:t>，活性炭层穿透厚度取410mm，活性炭吸附装置装填</w:t>
            </w:r>
            <w:r>
              <w:rPr>
                <w:rFonts w:hint="default" w:ascii="Times New Roman" w:hAnsi="Times New Roman" w:cs="Times New Roman"/>
                <w:color w:val="auto"/>
                <w:sz w:val="24"/>
                <w:szCs w:val="24"/>
                <w:highlight w:val="none"/>
                <w:lang w:val="en-US" w:eastAsia="zh-CN"/>
              </w:rPr>
              <w:t>4.925</w:t>
            </w:r>
            <w:r>
              <w:rPr>
                <w:rFonts w:hint="default" w:ascii="Times New Roman" w:hAnsi="Times New Roman" w:eastAsia="宋体" w:cs="Times New Roman"/>
                <w:color w:val="auto"/>
                <w:sz w:val="24"/>
                <w:szCs w:val="24"/>
                <w:highlight w:val="none"/>
                <w:lang w:val="en-US" w:eastAsia="zh-CN"/>
              </w:rPr>
              <w:t>m</w:t>
            </w:r>
            <w:r>
              <w:rPr>
                <w:rFonts w:hint="default" w:ascii="Times New Roman" w:hAnsi="Times New Roman" w:eastAsia="宋体" w:cs="Times New Roman"/>
                <w:color w:val="auto"/>
                <w:sz w:val="24"/>
                <w:szCs w:val="24"/>
                <w:highlight w:val="none"/>
                <w:vertAlign w:val="superscript"/>
                <w:lang w:val="en-US" w:eastAsia="zh-CN"/>
              </w:rPr>
              <w:t>3</w:t>
            </w:r>
            <w:r>
              <w:rPr>
                <w:rFonts w:hint="default" w:ascii="Times New Roman" w:hAnsi="Times New Roman" w:eastAsia="宋体" w:cs="Times New Roman"/>
                <w:color w:val="auto"/>
                <w:sz w:val="24"/>
                <w:szCs w:val="24"/>
                <w:highlight w:val="none"/>
                <w:lang w:val="en-US" w:eastAsia="zh-CN"/>
              </w:rPr>
              <w:t>活性炭，活性炭的密度取500kg/m³，则活性炭至少装填</w:t>
            </w:r>
            <w:r>
              <w:rPr>
                <w:rFonts w:hint="default" w:ascii="Times New Roman" w:hAnsi="Times New Roman" w:cs="Times New Roman"/>
                <w:color w:val="auto"/>
                <w:sz w:val="24"/>
                <w:szCs w:val="24"/>
                <w:highlight w:val="none"/>
                <w:lang w:val="en-US" w:eastAsia="zh-CN"/>
              </w:rPr>
              <w:t>2.463</w:t>
            </w:r>
            <w:r>
              <w:rPr>
                <w:rFonts w:hint="default" w:ascii="Times New Roman" w:hAnsi="Times New Roman" w:eastAsia="宋体" w:cs="Times New Roman"/>
                <w:color w:val="auto"/>
                <w:sz w:val="24"/>
                <w:szCs w:val="24"/>
                <w:highlight w:val="none"/>
                <w:lang w:val="en-US" w:eastAsia="zh-CN"/>
              </w:rPr>
              <w:t>t活性炭。本项目DA00</w:t>
            </w:r>
            <w:r>
              <w:rPr>
                <w:rFonts w:hint="default" w:ascii="Times New Roman" w:hAnsi="Times New Roman"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lang w:val="en-US" w:eastAsia="zh-CN"/>
              </w:rPr>
              <w:t>二级活性炭吸附装置均拟装填</w:t>
            </w:r>
            <w:r>
              <w:rPr>
                <w:rFonts w:hint="default" w:ascii="Times New Roman" w:hAnsi="Times New Roman" w:cs="Times New Roman"/>
                <w:color w:val="auto"/>
                <w:sz w:val="24"/>
                <w:szCs w:val="24"/>
                <w:highlight w:val="none"/>
                <w:lang w:val="en-US" w:eastAsia="zh-CN"/>
              </w:rPr>
              <w:t>2.9</w:t>
            </w:r>
            <w:r>
              <w:rPr>
                <w:rFonts w:hint="default" w:ascii="Times New Roman" w:hAnsi="Times New Roman" w:eastAsia="宋体" w:cs="Times New Roman"/>
                <w:color w:val="auto"/>
                <w:sz w:val="24"/>
                <w:szCs w:val="24"/>
                <w:highlight w:val="none"/>
                <w:lang w:val="en-US" w:eastAsia="zh-CN"/>
              </w:rPr>
              <w:t>t活性炭，</w:t>
            </w:r>
            <w:r>
              <w:rPr>
                <w:rFonts w:hint="default"/>
                <w:sz w:val="24"/>
                <w:lang w:eastAsia="zh-CN"/>
              </w:rPr>
              <w:t>根据《活性炭手册》计算的处理有机废气的活性炭理论消耗量，本项目</w:t>
            </w:r>
            <w:r>
              <w:rPr>
                <w:rFonts w:hint="default" w:ascii="Times New Roman" w:hAnsi="Times New Roman" w:eastAsia="宋体" w:cs="Times New Roman"/>
                <w:color w:val="auto"/>
                <w:sz w:val="24"/>
                <w:szCs w:val="24"/>
                <w:highlight w:val="none"/>
                <w:lang w:val="en-US" w:eastAsia="zh-CN"/>
              </w:rPr>
              <w:t>每年更换2次，则DA00</w:t>
            </w:r>
            <w:r>
              <w:rPr>
                <w:rFonts w:hint="default" w:ascii="Times New Roman" w:hAnsi="Times New Roman"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lang w:val="en-US" w:eastAsia="zh-CN"/>
              </w:rPr>
              <w:t>二级活性炭吸附装置废活性炭产生量均为</w:t>
            </w:r>
            <w:r>
              <w:rPr>
                <w:rFonts w:hint="default" w:ascii="Times New Roman" w:hAnsi="Times New Roman" w:cs="Times New Roman"/>
                <w:color w:val="auto"/>
                <w:sz w:val="24"/>
                <w:szCs w:val="24"/>
                <w:highlight w:val="none"/>
                <w:lang w:val="en-US" w:eastAsia="zh-CN"/>
              </w:rPr>
              <w:t>1.541</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cs="Times New Roman"/>
                <w:color w:val="auto"/>
                <w:sz w:val="24"/>
                <w:szCs w:val="24"/>
                <w:highlight w:val="none"/>
                <w:lang w:val="en-US" w:eastAsia="zh-CN"/>
              </w:rPr>
              <w:t>2.9</w:t>
            </w:r>
            <w:r>
              <w:rPr>
                <w:rFonts w:hint="default" w:ascii="Times New Roman" w:hAnsi="Times New Roman" w:eastAsia="宋体" w:cs="Times New Roman"/>
                <w:color w:val="auto"/>
                <w:sz w:val="24"/>
                <w:szCs w:val="24"/>
                <w:highlight w:val="none"/>
                <w:lang w:val="en-US" w:eastAsia="zh-CN"/>
              </w:rPr>
              <w:t>×2=</w:t>
            </w:r>
            <w:r>
              <w:rPr>
                <w:rFonts w:hint="default" w:ascii="Times New Roman" w:hAnsi="Times New Roman" w:cs="Times New Roman"/>
                <w:color w:val="auto"/>
                <w:sz w:val="24"/>
                <w:szCs w:val="24"/>
                <w:highlight w:val="none"/>
                <w:lang w:val="en-US" w:eastAsia="zh-CN"/>
              </w:rPr>
              <w:t>7.341</w:t>
            </w:r>
            <w:r>
              <w:rPr>
                <w:rFonts w:hint="default" w:ascii="Times New Roman" w:hAnsi="Times New Roman" w:eastAsia="宋体" w:cs="Times New Roman"/>
                <w:color w:val="auto"/>
                <w:sz w:val="24"/>
                <w:szCs w:val="24"/>
                <w:highlight w:val="none"/>
                <w:lang w:val="en-US" w:eastAsia="zh-CN"/>
              </w:rPr>
              <w:t>t/a。</w:t>
            </w:r>
          </w:p>
          <w:p w14:paraId="25FC4F21">
            <w:pPr>
              <w:keepNext w:val="0"/>
              <w:keepLines w:val="0"/>
              <w:pageBreakBefore w:val="0"/>
              <w:widowControl/>
              <w:suppressLineNumbers w:val="0"/>
              <w:kinsoku/>
              <w:wordWrap/>
              <w:overflowPunct/>
              <w:topLinePunct w:val="0"/>
              <w:autoSpaceDE w:val="0"/>
              <w:autoSpaceDN w:val="0"/>
              <w:bidi w:val="0"/>
              <w:adjustRightInd w:val="0"/>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highlight w:val="none"/>
                <w:lang w:val="en-US" w:eastAsia="zh-CN"/>
              </w:rPr>
              <w:t>DA00</w:t>
            </w:r>
            <w:r>
              <w:rPr>
                <w:rFonts w:hint="default" w:ascii="Times New Roman" w:hAnsi="Times New Roman"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lang w:val="en-US" w:eastAsia="zh-CN"/>
              </w:rPr>
              <w:t>二级活性炭吸附装置吸附有机废气量为</w:t>
            </w:r>
            <w:r>
              <w:rPr>
                <w:rFonts w:hint="default" w:ascii="Times New Roman" w:hAnsi="Times New Roman" w:cs="Times New Roman"/>
                <w:color w:val="auto"/>
                <w:sz w:val="24"/>
                <w:szCs w:val="24"/>
                <w:highlight w:val="none"/>
                <w:lang w:val="en-US" w:eastAsia="zh-CN"/>
              </w:rPr>
              <w:t>0.805</w:t>
            </w:r>
            <w:r>
              <w:rPr>
                <w:rFonts w:hint="default" w:ascii="Times New Roman" w:hAnsi="Times New Roman" w:eastAsia="宋体" w:cs="Times New Roman"/>
                <w:color w:val="auto"/>
                <w:sz w:val="24"/>
                <w:szCs w:val="24"/>
                <w:highlight w:val="none"/>
                <w:lang w:val="en-US" w:eastAsia="zh-CN"/>
              </w:rPr>
              <w:t>t/a，根据《活性炭手册》，按1kg活性炭吸附0.3kg有机废气计，活性炭吸附量达到90%进行更换，经计算，二级活性炭吸附装置活性炭使用量为</w:t>
            </w:r>
            <w:r>
              <w:rPr>
                <w:rFonts w:hint="default" w:ascii="Times New Roman" w:hAnsi="Times New Roman" w:cs="Times New Roman"/>
                <w:color w:val="auto"/>
                <w:sz w:val="24"/>
                <w:szCs w:val="24"/>
                <w:highlight w:val="none"/>
                <w:lang w:val="en-US" w:eastAsia="zh-CN"/>
              </w:rPr>
              <w:t>2.981</w:t>
            </w:r>
            <w:r>
              <w:rPr>
                <w:rFonts w:hint="default" w:ascii="Times New Roman" w:hAnsi="Times New Roman" w:eastAsia="宋体" w:cs="Times New Roman"/>
                <w:color w:val="auto"/>
                <w:sz w:val="24"/>
                <w:szCs w:val="24"/>
                <w:highlight w:val="none"/>
                <w:lang w:val="en-US" w:eastAsia="zh-CN"/>
              </w:rPr>
              <w:t>t/a。DA00</w:t>
            </w:r>
            <w:r>
              <w:rPr>
                <w:rFonts w:hint="default" w:ascii="Times New Roman" w:hAnsi="Times New Roman"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lang w:val="en-US" w:eastAsia="zh-CN"/>
              </w:rPr>
              <w:t>废气量为</w:t>
            </w:r>
            <w:r>
              <w:rPr>
                <w:rFonts w:hint="default" w:ascii="Times New Roman" w:hAnsi="Times New Roman" w:cs="Times New Roman"/>
                <w:color w:val="auto"/>
                <w:sz w:val="24"/>
                <w:szCs w:val="24"/>
                <w:highlight w:val="none"/>
                <w:lang w:val="en-US" w:eastAsia="zh-CN"/>
              </w:rPr>
              <w:t>9000</w:t>
            </w:r>
            <w:r>
              <w:rPr>
                <w:rFonts w:hint="default" w:ascii="Times New Roman" w:hAnsi="Times New Roman" w:eastAsia="宋体" w:cs="Times New Roman"/>
                <w:color w:val="auto"/>
                <w:sz w:val="24"/>
                <w:szCs w:val="24"/>
                <w:highlight w:val="none"/>
                <w:lang w:val="en-US" w:eastAsia="zh-CN"/>
              </w:rPr>
              <w:t>m</w:t>
            </w:r>
            <w:r>
              <w:rPr>
                <w:rFonts w:hint="default" w:ascii="Times New Roman" w:hAnsi="Times New Roman" w:eastAsia="宋体" w:cs="Times New Roman"/>
                <w:color w:val="auto"/>
                <w:sz w:val="24"/>
                <w:szCs w:val="24"/>
                <w:highlight w:val="none"/>
                <w:vertAlign w:val="superscript"/>
                <w:lang w:val="en-US" w:eastAsia="zh-CN"/>
              </w:rPr>
              <w:t>3</w:t>
            </w:r>
            <w:r>
              <w:rPr>
                <w:rFonts w:hint="default" w:ascii="Times New Roman" w:hAnsi="Times New Roman" w:eastAsia="宋体" w:cs="Times New Roman"/>
                <w:color w:val="auto"/>
                <w:sz w:val="24"/>
                <w:szCs w:val="24"/>
                <w:highlight w:val="none"/>
                <w:lang w:val="en-US" w:eastAsia="zh-CN"/>
              </w:rPr>
              <w:t>/h，根据《河北省涉VOCs工业企业常用治理技术指南》，颗粒活性炭填充量与每小时处理废气量体积之比宜&lt;1:7000，每1万Nm</w:t>
            </w:r>
            <w:r>
              <w:rPr>
                <w:rFonts w:hint="default" w:ascii="Times New Roman" w:hAnsi="Times New Roman" w:eastAsia="宋体" w:cs="Times New Roman"/>
                <w:color w:val="auto"/>
                <w:sz w:val="24"/>
                <w:szCs w:val="24"/>
                <w:highlight w:val="none"/>
                <w:vertAlign w:val="superscript"/>
                <w:lang w:val="en-US" w:eastAsia="zh-CN"/>
              </w:rPr>
              <w:t>3</w:t>
            </w:r>
            <w:r>
              <w:rPr>
                <w:rFonts w:hint="default" w:ascii="Times New Roman" w:hAnsi="Times New Roman" w:eastAsia="宋体" w:cs="Times New Roman"/>
                <w:color w:val="auto"/>
                <w:sz w:val="24"/>
                <w:szCs w:val="24"/>
                <w:highlight w:val="none"/>
                <w:lang w:val="en-US" w:eastAsia="zh-CN"/>
              </w:rPr>
              <w:t>/h废气处理颗粒活性炭吸附截面积宜不小于4.6m²；活性炭层穿透厚度宜&gt;400mm；吸附单元吸附废气表观流速宜控制在0.2m/s-0.6m/s，因此DA00</w:t>
            </w:r>
            <w:r>
              <w:rPr>
                <w:rFonts w:hint="default" w:ascii="Times New Roman" w:hAnsi="Times New Roman"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lang w:val="en-US" w:eastAsia="zh-CN"/>
              </w:rPr>
              <w:t>活性炭吸附截面取</w:t>
            </w:r>
            <w:r>
              <w:rPr>
                <w:rFonts w:hint="default" w:ascii="Times New Roman" w:hAnsi="Times New Roman" w:cs="Times New Roman"/>
                <w:color w:val="auto"/>
                <w:sz w:val="24"/>
                <w:szCs w:val="24"/>
                <w:highlight w:val="none"/>
                <w:lang w:val="en-US" w:eastAsia="zh-CN"/>
              </w:rPr>
              <w:t>4.14</w:t>
            </w:r>
            <w:r>
              <w:rPr>
                <w:rFonts w:hint="default" w:ascii="Times New Roman" w:hAnsi="Times New Roman" w:eastAsia="宋体" w:cs="Times New Roman"/>
                <w:color w:val="auto"/>
                <w:sz w:val="24"/>
                <w:szCs w:val="24"/>
                <w:highlight w:val="none"/>
                <w:lang w:val="en-US" w:eastAsia="zh-CN"/>
              </w:rPr>
              <w:t>m</w:t>
            </w:r>
            <w:r>
              <w:rPr>
                <w:rFonts w:hint="default" w:ascii="Times New Roman" w:hAnsi="Times New Roman" w:eastAsia="宋体" w:cs="Times New Roman"/>
                <w:color w:val="auto"/>
                <w:sz w:val="24"/>
                <w:szCs w:val="24"/>
                <w:highlight w:val="none"/>
                <w:vertAlign w:val="superscript"/>
                <w:lang w:val="en-US" w:eastAsia="zh-CN"/>
              </w:rPr>
              <w:t>2</w:t>
            </w:r>
            <w:r>
              <w:rPr>
                <w:rFonts w:hint="default" w:ascii="Times New Roman" w:hAnsi="Times New Roman" w:eastAsia="宋体" w:cs="Times New Roman"/>
                <w:color w:val="auto"/>
                <w:sz w:val="24"/>
                <w:szCs w:val="24"/>
                <w:highlight w:val="none"/>
                <w:lang w:val="en-US" w:eastAsia="zh-CN"/>
              </w:rPr>
              <w:t>，活性炭层穿透厚度取410mm，活性炭吸附装置装填</w:t>
            </w:r>
            <w:r>
              <w:rPr>
                <w:rFonts w:hint="default" w:ascii="Times New Roman" w:hAnsi="Times New Roman" w:cs="Times New Roman"/>
                <w:color w:val="auto"/>
                <w:sz w:val="24"/>
                <w:szCs w:val="24"/>
                <w:highlight w:val="none"/>
                <w:lang w:val="en-US" w:eastAsia="zh-CN"/>
              </w:rPr>
              <w:t>1.697</w:t>
            </w:r>
            <w:r>
              <w:rPr>
                <w:rFonts w:hint="default" w:ascii="Times New Roman" w:hAnsi="Times New Roman" w:eastAsia="宋体" w:cs="Times New Roman"/>
                <w:color w:val="auto"/>
                <w:sz w:val="24"/>
                <w:szCs w:val="24"/>
                <w:highlight w:val="none"/>
                <w:lang w:val="en-US" w:eastAsia="zh-CN"/>
              </w:rPr>
              <w:t>m</w:t>
            </w:r>
            <w:r>
              <w:rPr>
                <w:rFonts w:hint="default" w:ascii="Times New Roman" w:hAnsi="Times New Roman" w:eastAsia="宋体" w:cs="Times New Roman"/>
                <w:color w:val="auto"/>
                <w:sz w:val="24"/>
                <w:szCs w:val="24"/>
                <w:highlight w:val="none"/>
                <w:vertAlign w:val="superscript"/>
                <w:lang w:val="en-US" w:eastAsia="zh-CN"/>
              </w:rPr>
              <w:t>3</w:t>
            </w:r>
            <w:r>
              <w:rPr>
                <w:rFonts w:hint="default" w:ascii="Times New Roman" w:hAnsi="Times New Roman" w:eastAsia="宋体" w:cs="Times New Roman"/>
                <w:color w:val="auto"/>
                <w:sz w:val="24"/>
                <w:szCs w:val="24"/>
                <w:highlight w:val="none"/>
                <w:lang w:val="en-US" w:eastAsia="zh-CN"/>
              </w:rPr>
              <w:t>活性炭，活性炭的密度取500kg/m³，则活性炭至少装填</w:t>
            </w:r>
            <w:r>
              <w:rPr>
                <w:rFonts w:hint="default" w:ascii="Times New Roman" w:hAnsi="Times New Roman" w:cs="Times New Roman"/>
                <w:color w:val="auto"/>
                <w:sz w:val="24"/>
                <w:szCs w:val="24"/>
                <w:highlight w:val="none"/>
                <w:lang w:val="en-US" w:eastAsia="zh-CN"/>
              </w:rPr>
              <w:t>0.849</w:t>
            </w:r>
            <w:r>
              <w:rPr>
                <w:rFonts w:hint="default" w:ascii="Times New Roman" w:hAnsi="Times New Roman" w:eastAsia="宋体" w:cs="Times New Roman"/>
                <w:color w:val="auto"/>
                <w:sz w:val="24"/>
                <w:szCs w:val="24"/>
                <w:highlight w:val="none"/>
                <w:lang w:val="en-US" w:eastAsia="zh-CN"/>
              </w:rPr>
              <w:t>t活性炭。本项目DA00</w:t>
            </w:r>
            <w:r>
              <w:rPr>
                <w:rFonts w:hint="default" w:ascii="Times New Roman" w:hAnsi="Times New Roman"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lang w:val="en-US" w:eastAsia="zh-CN"/>
              </w:rPr>
              <w:t>二级活性炭吸附装置均拟装填</w:t>
            </w:r>
            <w:r>
              <w:rPr>
                <w:rFonts w:hint="default" w:ascii="Times New Roman" w:hAnsi="Times New Roman" w:cs="Times New Roman"/>
                <w:color w:val="auto"/>
                <w:sz w:val="24"/>
                <w:szCs w:val="24"/>
                <w:highlight w:val="none"/>
                <w:lang w:val="en-US" w:eastAsia="zh-CN"/>
              </w:rPr>
              <w:t>1.5</w:t>
            </w:r>
            <w:r>
              <w:rPr>
                <w:rFonts w:hint="default" w:ascii="Times New Roman" w:hAnsi="Times New Roman" w:eastAsia="宋体" w:cs="Times New Roman"/>
                <w:color w:val="auto"/>
                <w:sz w:val="24"/>
                <w:szCs w:val="24"/>
                <w:highlight w:val="none"/>
                <w:lang w:val="en-US" w:eastAsia="zh-CN"/>
              </w:rPr>
              <w:t>t活性炭，</w:t>
            </w:r>
            <w:r>
              <w:rPr>
                <w:rFonts w:hint="default"/>
                <w:sz w:val="24"/>
                <w:lang w:eastAsia="zh-CN"/>
              </w:rPr>
              <w:t>根据《活性炭手册》计算的处理有机废气的活性炭理论消耗量，本项目</w:t>
            </w:r>
            <w:r>
              <w:rPr>
                <w:rFonts w:hint="default" w:ascii="Times New Roman" w:hAnsi="Times New Roman" w:eastAsia="宋体" w:cs="Times New Roman"/>
                <w:color w:val="auto"/>
                <w:sz w:val="24"/>
                <w:szCs w:val="24"/>
                <w:highlight w:val="none"/>
                <w:lang w:val="en-US" w:eastAsia="zh-CN"/>
              </w:rPr>
              <w:t>每年更换2次，则DA00</w:t>
            </w:r>
            <w:r>
              <w:rPr>
                <w:rFonts w:hint="default" w:ascii="Times New Roman" w:hAnsi="Times New Roman"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lang w:val="en-US" w:eastAsia="zh-CN"/>
              </w:rPr>
              <w:t>二级活性炭吸附装置废活性炭产生量均为</w:t>
            </w:r>
            <w:r>
              <w:rPr>
                <w:rFonts w:hint="default" w:ascii="Times New Roman" w:hAnsi="Times New Roman" w:cs="Times New Roman"/>
                <w:color w:val="auto"/>
                <w:sz w:val="24"/>
                <w:szCs w:val="24"/>
                <w:highlight w:val="none"/>
                <w:lang w:val="en-US" w:eastAsia="zh-CN"/>
              </w:rPr>
              <w:t>0.805</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cs="Times New Roman"/>
                <w:color w:val="auto"/>
                <w:sz w:val="24"/>
                <w:szCs w:val="24"/>
                <w:highlight w:val="none"/>
                <w:lang w:val="en-US" w:eastAsia="zh-CN"/>
              </w:rPr>
              <w:t>1.5</w:t>
            </w:r>
            <w:r>
              <w:rPr>
                <w:rFonts w:hint="default" w:ascii="Times New Roman" w:hAnsi="Times New Roman" w:eastAsia="宋体" w:cs="Times New Roman"/>
                <w:color w:val="auto"/>
                <w:sz w:val="24"/>
                <w:szCs w:val="24"/>
                <w:highlight w:val="none"/>
                <w:lang w:val="en-US" w:eastAsia="zh-CN"/>
              </w:rPr>
              <w:t>×2=</w:t>
            </w:r>
            <w:r>
              <w:rPr>
                <w:rFonts w:hint="default" w:ascii="Times New Roman" w:hAnsi="Times New Roman" w:cs="Times New Roman"/>
                <w:color w:val="auto"/>
                <w:sz w:val="24"/>
                <w:szCs w:val="24"/>
                <w:highlight w:val="none"/>
                <w:lang w:val="en-US" w:eastAsia="zh-CN"/>
              </w:rPr>
              <w:t>3.805</w:t>
            </w:r>
            <w:r>
              <w:rPr>
                <w:rFonts w:hint="default" w:ascii="Times New Roman" w:hAnsi="Times New Roman" w:eastAsia="宋体" w:cs="Times New Roman"/>
                <w:color w:val="auto"/>
                <w:sz w:val="24"/>
                <w:szCs w:val="24"/>
                <w:highlight w:val="none"/>
                <w:lang w:val="en-US" w:eastAsia="zh-CN"/>
              </w:rPr>
              <w:t>t/a。</w:t>
            </w:r>
          </w:p>
          <w:p w14:paraId="5C77103D">
            <w:pPr>
              <w:keepNext w:val="0"/>
              <w:keepLines w:val="0"/>
              <w:pageBreakBefore w:val="0"/>
              <w:widowControl/>
              <w:suppressLineNumbers w:val="0"/>
              <w:kinsoku/>
              <w:wordWrap/>
              <w:overflowPunct/>
              <w:topLinePunct w:val="0"/>
              <w:autoSpaceDE w:val="0"/>
              <w:autoSpaceDN w:val="0"/>
              <w:bidi w:val="0"/>
              <w:adjustRightInd w:val="0"/>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技改完成后三套二级活性炭吸附装置活性炭产生总量为</w:t>
            </w:r>
            <w:r>
              <w:rPr>
                <w:rFonts w:hint="default" w:cs="Times New Roman"/>
                <w:color w:val="auto"/>
                <w:sz w:val="24"/>
                <w:szCs w:val="24"/>
                <w:lang w:val="en-US" w:eastAsia="zh-CN"/>
              </w:rPr>
              <w:t>19.012</w:t>
            </w:r>
            <w:r>
              <w:rPr>
                <w:rFonts w:hint="default" w:ascii="Times New Roman" w:hAnsi="Times New Roman" w:eastAsia="宋体" w:cs="Times New Roman"/>
                <w:color w:val="auto"/>
                <w:sz w:val="24"/>
                <w:szCs w:val="24"/>
                <w:lang w:val="en-US" w:eastAsia="zh-CN"/>
              </w:rPr>
              <w:t>t/a，废活性炭暂存危废间，定期交有资质单位处理。</w:t>
            </w:r>
          </w:p>
          <w:p w14:paraId="4B0D25E0">
            <w:pPr>
              <w:keepNext w:val="0"/>
              <w:keepLines w:val="0"/>
              <w:widowControl/>
              <w:suppressLineNumbers w:val="0"/>
              <w:autoSpaceDE w:val="0"/>
              <w:autoSpaceDN w:val="0"/>
              <w:adjustRightInd w:val="0"/>
              <w:spacing w:before="0" w:beforeAutospacing="0" w:after="0" w:afterAutospacing="0" w:line="360" w:lineRule="auto"/>
              <w:ind w:left="0" w:right="0" w:firstLine="480" w:firstLineChars="200"/>
              <w:rPr>
                <w:rFonts w:hint="default"/>
                <w:highlight w:val="none"/>
                <w:lang w:val="en-US" w:eastAsia="zh-CN"/>
              </w:rPr>
            </w:pPr>
            <w:r>
              <w:rPr>
                <w:rFonts w:hint="default" w:ascii="Times New Roman" w:hAnsi="Times New Roman" w:eastAsia="微软雅黑" w:cs="Times New Roman"/>
                <w:color w:val="auto"/>
                <w:sz w:val="24"/>
                <w:szCs w:val="24"/>
                <w:lang w:eastAsia="zh-CN"/>
              </w:rPr>
              <w:t>⑤</w:t>
            </w:r>
            <w:r>
              <w:rPr>
                <w:rFonts w:hint="default" w:ascii="Times New Roman" w:hAnsi="Times New Roman" w:eastAsia="宋体" w:cs="Times New Roman"/>
                <w:color w:val="auto"/>
                <w:sz w:val="24"/>
                <w:highlight w:val="none"/>
                <w:lang w:val="en-US" w:eastAsia="zh-CN"/>
              </w:rPr>
              <w:t>洁净车间空气过滤器产生的</w:t>
            </w:r>
            <w:r>
              <w:rPr>
                <w:rFonts w:hint="default" w:cs="Times New Roman"/>
                <w:color w:val="auto"/>
                <w:sz w:val="24"/>
                <w:highlight w:val="none"/>
                <w:lang w:val="en-US" w:eastAsia="zh-CN"/>
              </w:rPr>
              <w:t>废过滤介质</w:t>
            </w:r>
            <w:r>
              <w:rPr>
                <w:rFonts w:hint="default" w:ascii="Times New Roman" w:hAnsi="Times New Roman" w:eastAsia="宋体" w:cs="Times New Roman"/>
                <w:color w:val="auto"/>
                <w:sz w:val="24"/>
                <w:highlight w:val="none"/>
                <w:lang w:val="en-US" w:eastAsia="zh-CN"/>
              </w:rPr>
              <w:t>属于危险废物，经查《国家危险废物名录》（2025年版），类别为HW</w:t>
            </w:r>
            <w:r>
              <w:rPr>
                <w:rFonts w:hint="default" w:cs="Times New Roman"/>
                <w:color w:val="auto"/>
                <w:sz w:val="24"/>
                <w:highlight w:val="none"/>
                <w:lang w:val="en-US" w:eastAsia="zh-CN"/>
              </w:rPr>
              <w:t>49</w:t>
            </w:r>
            <w:r>
              <w:rPr>
                <w:rFonts w:hint="default" w:ascii="Times New Roman" w:hAnsi="Times New Roman" w:eastAsia="宋体" w:cs="Times New Roman"/>
                <w:color w:val="auto"/>
                <w:sz w:val="24"/>
                <w:highlight w:val="none"/>
                <w:lang w:val="en-US" w:eastAsia="zh-CN"/>
              </w:rPr>
              <w:t>其他废物，废物代码为900-</w:t>
            </w:r>
            <w:r>
              <w:rPr>
                <w:rFonts w:hint="default" w:cs="Times New Roman"/>
                <w:color w:val="auto"/>
                <w:sz w:val="24"/>
                <w:highlight w:val="none"/>
                <w:lang w:val="en-US" w:eastAsia="zh-CN"/>
              </w:rPr>
              <w:t>041</w:t>
            </w:r>
            <w:r>
              <w:rPr>
                <w:rFonts w:hint="default" w:ascii="Times New Roman" w:hAnsi="Times New Roman" w:eastAsia="宋体" w:cs="Times New Roman"/>
                <w:color w:val="auto"/>
                <w:sz w:val="24"/>
                <w:highlight w:val="none"/>
                <w:lang w:val="en-US" w:eastAsia="zh-CN"/>
              </w:rPr>
              <w:t>-</w:t>
            </w:r>
            <w:r>
              <w:rPr>
                <w:rFonts w:hint="default" w:cs="Times New Roman"/>
                <w:color w:val="auto"/>
                <w:sz w:val="24"/>
                <w:highlight w:val="none"/>
                <w:lang w:val="en-US" w:eastAsia="zh-CN"/>
              </w:rPr>
              <w:t>49</w:t>
            </w:r>
            <w:r>
              <w:rPr>
                <w:rFonts w:hint="default" w:ascii="Times New Roman" w:hAnsi="Times New Roman" w:eastAsia="宋体" w:cs="Times New Roman"/>
                <w:color w:val="auto"/>
                <w:sz w:val="24"/>
                <w:highlight w:val="none"/>
                <w:lang w:val="en-US" w:eastAsia="zh-CN"/>
              </w:rPr>
              <w:t>。</w:t>
            </w:r>
            <w:r>
              <w:rPr>
                <w:rFonts w:hint="default"/>
                <w:sz w:val="24"/>
                <w:highlight w:val="none"/>
                <w:lang w:eastAsia="zh-CN"/>
              </w:rPr>
              <w:t>依据企业提供资料</w:t>
            </w:r>
            <w:r>
              <w:rPr>
                <w:rFonts w:hint="default" w:ascii="Times New Roman" w:hAnsi="Times New Roman" w:cs="Times New Roman"/>
                <w:sz w:val="24"/>
                <w:highlight w:val="none"/>
                <w:lang w:eastAsia="zh-CN"/>
              </w:rPr>
              <w:t>，</w:t>
            </w:r>
            <w:r>
              <w:rPr>
                <w:rFonts w:hint="default" w:ascii="Times New Roman" w:hAnsi="Times New Roman" w:eastAsia="宋体" w:cs="Times New Roman"/>
                <w:color w:val="auto"/>
                <w:sz w:val="24"/>
                <w:highlight w:val="none"/>
                <w:lang w:val="en-US" w:eastAsia="zh-CN"/>
              </w:rPr>
              <w:t>技改完成后全厂</w:t>
            </w:r>
            <w:r>
              <w:rPr>
                <w:rFonts w:hint="default" w:cs="Times New Roman"/>
                <w:color w:val="auto"/>
                <w:sz w:val="24"/>
                <w:szCs w:val="24"/>
                <w:highlight w:val="none"/>
                <w:lang w:val="en-US" w:eastAsia="zh-CN"/>
              </w:rPr>
              <w:t>废过滤介质</w:t>
            </w:r>
            <w:r>
              <w:rPr>
                <w:rFonts w:hint="default" w:ascii="Times New Roman" w:hAnsi="Times New Roman" w:eastAsia="宋体" w:cs="Times New Roman"/>
                <w:color w:val="auto"/>
                <w:sz w:val="24"/>
                <w:szCs w:val="24"/>
                <w:highlight w:val="none"/>
                <w:lang w:val="en-US" w:eastAsia="zh-CN"/>
              </w:rPr>
              <w:t>产生量约为</w:t>
            </w:r>
            <w:r>
              <w:rPr>
                <w:rFonts w:hint="default" w:cs="Times New Roman"/>
                <w:color w:val="auto"/>
                <w:sz w:val="24"/>
                <w:szCs w:val="24"/>
                <w:highlight w:val="none"/>
                <w:lang w:val="en-US" w:eastAsia="zh-CN"/>
              </w:rPr>
              <w:t>0.1</w:t>
            </w:r>
            <w:r>
              <w:rPr>
                <w:rFonts w:hint="default" w:ascii="Times New Roman" w:hAnsi="Times New Roman" w:eastAsia="宋体" w:cs="Times New Roman"/>
                <w:color w:val="auto"/>
                <w:sz w:val="24"/>
                <w:szCs w:val="24"/>
                <w:highlight w:val="none"/>
                <w:lang w:val="en-US" w:eastAsia="zh-CN"/>
              </w:rPr>
              <w:t>t/a。</w:t>
            </w:r>
          </w:p>
          <w:p w14:paraId="320EF6D6">
            <w:pPr>
              <w:keepNext w:val="0"/>
              <w:keepLines w:val="0"/>
              <w:pageBreakBefore w:val="0"/>
              <w:widowControl/>
              <w:suppressLineNumbers w:val="0"/>
              <w:kinsoku/>
              <w:wordWrap/>
              <w:overflowPunct/>
              <w:topLinePunct w:val="0"/>
              <w:autoSpaceDE w:val="0"/>
              <w:autoSpaceDN w:val="0"/>
              <w:bidi w:val="0"/>
              <w:adjustRightInd w:val="0"/>
              <w:snapToGrid/>
              <w:spacing w:before="0" w:beforeAutospacing="0" w:after="0" w:afterAutospacing="0" w:line="360" w:lineRule="auto"/>
              <w:ind w:left="0" w:right="0" w:firstLine="480" w:firstLineChars="200"/>
              <w:jc w:val="left"/>
              <w:textAlignment w:val="auto"/>
              <w:rPr>
                <w:rFonts w:hint="default" w:ascii="Times New Roman" w:hAnsi="Times New Roman" w:cs="Times New Roman"/>
                <w:b/>
                <w:color w:val="auto"/>
                <w:sz w:val="21"/>
                <w:szCs w:val="21"/>
                <w:highlight w:val="none"/>
                <w:lang w:eastAsia="zh-CN"/>
              </w:rPr>
            </w:pPr>
            <w:r>
              <w:rPr>
                <w:rFonts w:hint="default" w:ascii="Times New Roman" w:hAnsi="Times New Roman" w:cs="Times New Roman"/>
                <w:color w:val="auto"/>
                <w:sz w:val="24"/>
                <w:highlight w:val="none"/>
              </w:rPr>
              <w:t>项目</w:t>
            </w:r>
            <w:r>
              <w:rPr>
                <w:rFonts w:hint="default" w:ascii="Times New Roman" w:hAnsi="Times New Roman" w:cs="Times New Roman"/>
                <w:color w:val="auto"/>
                <w:sz w:val="24"/>
                <w:highlight w:val="none"/>
                <w:lang w:val="en-US" w:eastAsia="zh-CN"/>
              </w:rPr>
              <w:t>危险废物</w:t>
            </w:r>
            <w:r>
              <w:rPr>
                <w:rFonts w:hint="default" w:ascii="Times New Roman" w:hAnsi="Times New Roman" w:cs="Times New Roman"/>
                <w:color w:val="auto"/>
                <w:sz w:val="24"/>
                <w:highlight w:val="none"/>
              </w:rPr>
              <w:t>产生及排放情况见</w:t>
            </w:r>
            <w:r>
              <w:rPr>
                <w:rFonts w:hint="default" w:ascii="Times New Roman" w:hAnsi="Times New Roman" w:cs="Times New Roman"/>
                <w:color w:val="auto"/>
                <w:sz w:val="24"/>
                <w:highlight w:val="none"/>
                <w:lang w:eastAsia="zh-CN"/>
              </w:rPr>
              <w:t>下表。</w:t>
            </w:r>
          </w:p>
          <w:p w14:paraId="653CEA63">
            <w:pPr>
              <w:keepNext w:val="0"/>
              <w:keepLines w:val="0"/>
              <w:suppressLineNumbers w:val="0"/>
              <w:spacing w:before="157" w:beforeLines="50" w:beforeAutospacing="0" w:after="0" w:afterAutospacing="0" w:line="240" w:lineRule="auto"/>
              <w:ind w:left="0" w:right="0" w:firstLine="422" w:firstLineChars="200"/>
              <w:jc w:val="center"/>
              <w:rPr>
                <w:rFonts w:hint="default" w:ascii="Times New Roman" w:hAnsi="Times New Roman" w:eastAsia="宋体" w:cs="Times New Roman"/>
                <w:b/>
                <w:bCs/>
                <w:color w:val="000000"/>
                <w:kern w:val="0"/>
                <w:sz w:val="21"/>
                <w:szCs w:val="21"/>
                <w:lang w:val="en-US" w:eastAsia="zh-CN" w:bidi="ar-SA"/>
              </w:rPr>
            </w:pPr>
          </w:p>
          <w:p w14:paraId="43B9B8D7">
            <w:pPr>
              <w:keepNext w:val="0"/>
              <w:keepLines w:val="0"/>
              <w:suppressLineNumbers w:val="0"/>
              <w:spacing w:before="157" w:beforeLines="50" w:beforeAutospacing="0" w:after="0" w:afterAutospacing="0" w:line="240" w:lineRule="auto"/>
              <w:ind w:left="0" w:right="0" w:firstLine="422" w:firstLineChars="200"/>
              <w:jc w:val="center"/>
              <w:rPr>
                <w:rFonts w:hint="default" w:ascii="Times New Roman" w:hAnsi="Times New Roman" w:eastAsia="宋体" w:cs="Times New Roman"/>
                <w:b/>
                <w:bCs/>
                <w:color w:val="000000"/>
                <w:kern w:val="0"/>
                <w:sz w:val="21"/>
                <w:szCs w:val="21"/>
                <w:lang w:val="en-US" w:eastAsia="zh-CN" w:bidi="ar-SA"/>
              </w:rPr>
            </w:pPr>
          </w:p>
          <w:p w14:paraId="37CB7947">
            <w:pPr>
              <w:keepNext w:val="0"/>
              <w:keepLines w:val="0"/>
              <w:suppressLineNumbers w:val="0"/>
              <w:spacing w:before="157" w:beforeLines="50" w:beforeAutospacing="0" w:after="0" w:afterAutospacing="0" w:line="240" w:lineRule="auto"/>
              <w:ind w:left="0" w:right="0" w:firstLine="422" w:firstLineChars="200"/>
              <w:jc w:val="center"/>
              <w:rPr>
                <w:rFonts w:hint="default" w:ascii="Times New Roman" w:hAnsi="Times New Roman" w:eastAsia="宋体" w:cs="Times New Roman"/>
                <w:b/>
                <w:bCs/>
                <w:color w:val="000000"/>
                <w:kern w:val="0"/>
                <w:sz w:val="21"/>
                <w:szCs w:val="21"/>
                <w:lang w:val="en-US" w:eastAsia="zh-CN" w:bidi="ar-SA"/>
              </w:rPr>
            </w:pPr>
          </w:p>
          <w:p w14:paraId="438C40F7">
            <w:pPr>
              <w:keepNext w:val="0"/>
              <w:keepLines w:val="0"/>
              <w:suppressLineNumbers w:val="0"/>
              <w:spacing w:before="157" w:beforeLines="50" w:beforeAutospacing="0" w:after="0" w:afterAutospacing="0" w:line="240" w:lineRule="auto"/>
              <w:ind w:left="0" w:right="0" w:firstLine="422" w:firstLineChars="200"/>
              <w:jc w:val="center"/>
              <w:rPr>
                <w:rFonts w:hint="default" w:ascii="Times New Roman" w:hAnsi="Times New Roman" w:eastAsia="宋体" w:cs="Times New Roman"/>
                <w:b/>
                <w:bCs/>
                <w:color w:val="000000"/>
                <w:kern w:val="0"/>
                <w:sz w:val="21"/>
                <w:szCs w:val="21"/>
                <w:lang w:val="en-US" w:eastAsia="zh-CN" w:bidi="ar-SA"/>
              </w:rPr>
            </w:pPr>
            <w:r>
              <w:rPr>
                <w:rFonts w:hint="default" w:ascii="Times New Roman" w:hAnsi="Times New Roman" w:eastAsia="宋体" w:cs="Times New Roman"/>
                <w:b/>
                <w:bCs/>
                <w:color w:val="000000"/>
                <w:kern w:val="0"/>
                <w:sz w:val="21"/>
                <w:szCs w:val="21"/>
                <w:lang w:val="en-US" w:eastAsia="zh-CN" w:bidi="ar-SA"/>
              </w:rPr>
              <w:t>技改项目完成后全厂危险废物汇总情况表</w:t>
            </w:r>
          </w:p>
          <w:tbl>
            <w:tblPr>
              <w:tblStyle w:val="38"/>
              <w:tblW w:w="82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20"/>
              <w:gridCol w:w="1114"/>
              <w:gridCol w:w="737"/>
              <w:gridCol w:w="1065"/>
              <w:gridCol w:w="750"/>
              <w:gridCol w:w="945"/>
              <w:gridCol w:w="540"/>
              <w:gridCol w:w="780"/>
              <w:gridCol w:w="706"/>
              <w:gridCol w:w="733"/>
              <w:gridCol w:w="571"/>
            </w:tblGrid>
            <w:tr w14:paraId="0C62DE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60" w:hRule="atLeast"/>
                <w:jc w:val="center"/>
              </w:trPr>
              <w:tc>
                <w:tcPr>
                  <w:tcW w:w="320" w:type="dxa"/>
                  <w:noWrap w:val="0"/>
                  <w:vAlign w:val="center"/>
                </w:tcPr>
                <w:p w14:paraId="0B6F6252">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序号</w:t>
                  </w:r>
                </w:p>
              </w:tc>
              <w:tc>
                <w:tcPr>
                  <w:tcW w:w="1114" w:type="dxa"/>
                  <w:noWrap w:val="0"/>
                  <w:vAlign w:val="center"/>
                </w:tcPr>
                <w:p w14:paraId="0F869331">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危险废物</w:t>
                  </w:r>
                </w:p>
                <w:p w14:paraId="432F79A1">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名称</w:t>
                  </w:r>
                </w:p>
              </w:tc>
              <w:tc>
                <w:tcPr>
                  <w:tcW w:w="737" w:type="dxa"/>
                  <w:noWrap w:val="0"/>
                  <w:vAlign w:val="center"/>
                </w:tcPr>
                <w:p w14:paraId="289FD094">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危险废物类别</w:t>
                  </w:r>
                </w:p>
              </w:tc>
              <w:tc>
                <w:tcPr>
                  <w:tcW w:w="1065" w:type="dxa"/>
                  <w:noWrap w:val="0"/>
                  <w:vAlign w:val="center"/>
                </w:tcPr>
                <w:p w14:paraId="539FF25B">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危险废物代码</w:t>
                  </w:r>
                </w:p>
              </w:tc>
              <w:tc>
                <w:tcPr>
                  <w:tcW w:w="750" w:type="dxa"/>
                  <w:noWrap w:val="0"/>
                  <w:vAlign w:val="center"/>
                </w:tcPr>
                <w:p w14:paraId="03C144E2">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产生量</w:t>
                  </w:r>
                </w:p>
                <w:p w14:paraId="74CB4CF4">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（t/a）</w:t>
                  </w:r>
                </w:p>
              </w:tc>
              <w:tc>
                <w:tcPr>
                  <w:tcW w:w="945" w:type="dxa"/>
                  <w:noWrap w:val="0"/>
                  <w:vAlign w:val="center"/>
                </w:tcPr>
                <w:p w14:paraId="2189B4CD">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highlight w:val="none"/>
                    </w:rPr>
                    <w:t>产生</w:t>
                  </w:r>
                  <w:r>
                    <w:rPr>
                      <w:rFonts w:hint="default" w:ascii="Times New Roman" w:hAnsi="Times New Roman" w:cs="Times New Roman"/>
                      <w:color w:val="auto"/>
                      <w:sz w:val="21"/>
                      <w:szCs w:val="21"/>
                    </w:rPr>
                    <w:t>工序及装置</w:t>
                  </w:r>
                </w:p>
              </w:tc>
              <w:tc>
                <w:tcPr>
                  <w:tcW w:w="540" w:type="dxa"/>
                  <w:noWrap w:val="0"/>
                  <w:vAlign w:val="center"/>
                </w:tcPr>
                <w:p w14:paraId="582D60EF">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形态</w:t>
                  </w:r>
                </w:p>
              </w:tc>
              <w:tc>
                <w:tcPr>
                  <w:tcW w:w="780" w:type="dxa"/>
                  <w:noWrap w:val="0"/>
                  <w:vAlign w:val="center"/>
                </w:tcPr>
                <w:p w14:paraId="37F4E37E">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产废周期</w:t>
                  </w:r>
                </w:p>
              </w:tc>
              <w:tc>
                <w:tcPr>
                  <w:tcW w:w="706" w:type="dxa"/>
                  <w:noWrap w:val="0"/>
                  <w:vAlign w:val="center"/>
                </w:tcPr>
                <w:p w14:paraId="788C612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eastAsia="zh-CN"/>
                    </w:rPr>
                    <w:t>清运频次</w:t>
                  </w:r>
                </w:p>
              </w:tc>
              <w:tc>
                <w:tcPr>
                  <w:tcW w:w="733" w:type="dxa"/>
                  <w:noWrap w:val="0"/>
                  <w:vAlign w:val="center"/>
                </w:tcPr>
                <w:p w14:paraId="7B291EA6">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eastAsia="zh-CN"/>
                    </w:rPr>
                    <w:t>最大暂存量</w:t>
                  </w:r>
                  <w:r>
                    <w:rPr>
                      <w:rFonts w:hint="default" w:ascii="Times New Roman" w:hAnsi="Times New Roman" w:cs="Times New Roman"/>
                      <w:color w:val="auto"/>
                      <w:sz w:val="21"/>
                      <w:szCs w:val="21"/>
                      <w:lang w:val="en-US" w:eastAsia="zh-CN"/>
                    </w:rPr>
                    <w:t>t</w:t>
                  </w:r>
                </w:p>
              </w:tc>
              <w:tc>
                <w:tcPr>
                  <w:tcW w:w="571" w:type="dxa"/>
                  <w:noWrap w:val="0"/>
                  <w:vAlign w:val="center"/>
                </w:tcPr>
                <w:p w14:paraId="3CA754E3">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危险特性</w:t>
                  </w:r>
                </w:p>
              </w:tc>
            </w:tr>
            <w:tr w14:paraId="245E6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4" w:hRule="atLeast"/>
                <w:jc w:val="center"/>
              </w:trPr>
              <w:tc>
                <w:tcPr>
                  <w:tcW w:w="320" w:type="dxa"/>
                  <w:noWrap w:val="0"/>
                  <w:vAlign w:val="center"/>
                </w:tcPr>
                <w:p w14:paraId="42B9BF64">
                  <w:pPr>
                    <w:pStyle w:val="244"/>
                    <w:keepNext w:val="0"/>
                    <w:keepLines w:val="0"/>
                    <w:suppressLineNumbers w:val="0"/>
                    <w:spacing w:before="0" w:beforeAutospacing="0" w:after="0" w:afterAutospacing="0"/>
                    <w:ind w:left="0" w:right="0"/>
                    <w:rPr>
                      <w:rFonts w:hint="default" w:ascii="Times New Roman" w:hAnsi="Times New Roman" w:cs="Times New Roman"/>
                      <w:snapToGrid w:val="0"/>
                      <w:color w:val="auto"/>
                      <w:kern w:val="2"/>
                      <w:sz w:val="21"/>
                      <w:szCs w:val="21"/>
                      <w:lang w:val="en-US" w:eastAsia="zh-CN" w:bidi="ar-SA"/>
                    </w:rPr>
                  </w:pPr>
                  <w:r>
                    <w:rPr>
                      <w:rFonts w:hint="default" w:ascii="Times New Roman" w:hAnsi="Times New Roman" w:cs="Times New Roman"/>
                      <w:color w:val="auto"/>
                      <w:sz w:val="21"/>
                      <w:szCs w:val="21"/>
                    </w:rPr>
                    <w:t>1</w:t>
                  </w:r>
                </w:p>
              </w:tc>
              <w:tc>
                <w:tcPr>
                  <w:tcW w:w="1114" w:type="dxa"/>
                  <w:shd w:val="clear" w:color="auto" w:fill="auto"/>
                  <w:noWrap w:val="0"/>
                  <w:vAlign w:val="center"/>
                </w:tcPr>
                <w:p w14:paraId="058208BC">
                  <w:pPr>
                    <w:pStyle w:val="244"/>
                    <w:keepNext w:val="0"/>
                    <w:keepLines w:val="0"/>
                    <w:suppressLineNumbers w:val="0"/>
                    <w:spacing w:before="0" w:beforeAutospacing="0" w:after="0" w:afterAutospacing="0"/>
                    <w:ind w:left="0" w:right="0"/>
                    <w:rPr>
                      <w:rFonts w:hint="default" w:ascii="Times New Roman" w:hAnsi="Times New Roman" w:cs="Times New Roman"/>
                      <w:snapToGrid w:val="0"/>
                      <w:color w:val="auto"/>
                      <w:kern w:val="2"/>
                      <w:sz w:val="21"/>
                      <w:szCs w:val="21"/>
                      <w:lang w:val="en-US" w:eastAsia="zh-CN" w:bidi="ar-SA"/>
                    </w:rPr>
                  </w:pPr>
                  <w:r>
                    <w:rPr>
                      <w:rFonts w:hint="default" w:ascii="Times New Roman" w:hAnsi="Times New Roman" w:cs="Times New Roman"/>
                      <w:snapToGrid w:val="0"/>
                      <w:color w:val="auto"/>
                      <w:kern w:val="2"/>
                      <w:sz w:val="21"/>
                      <w:szCs w:val="21"/>
                      <w:lang w:val="en-US" w:eastAsia="zh-CN" w:bidi="ar-SA"/>
                    </w:rPr>
                    <w:t>废水性</w:t>
                  </w:r>
                </w:p>
                <w:p w14:paraId="36D66CDD">
                  <w:pPr>
                    <w:pStyle w:val="244"/>
                    <w:keepNext w:val="0"/>
                    <w:keepLines w:val="0"/>
                    <w:suppressLineNumbers w:val="0"/>
                    <w:spacing w:before="0" w:beforeAutospacing="0" w:after="0" w:afterAutospacing="0"/>
                    <w:ind w:left="0" w:leftChars="0" w:right="0" w:rightChars="0"/>
                    <w:rPr>
                      <w:rFonts w:hint="default" w:ascii="Times New Roman" w:hAnsi="Times New Roman" w:eastAsia="宋体" w:cs="Times New Roman"/>
                      <w:snapToGrid w:val="0"/>
                      <w:color w:val="auto"/>
                      <w:kern w:val="2"/>
                      <w:sz w:val="21"/>
                      <w:szCs w:val="21"/>
                      <w:lang w:val="en-US" w:eastAsia="zh-CN" w:bidi="ar-SA"/>
                    </w:rPr>
                  </w:pPr>
                  <w:r>
                    <w:rPr>
                      <w:rFonts w:hint="default" w:ascii="Times New Roman" w:hAnsi="Times New Roman" w:cs="Times New Roman"/>
                      <w:snapToGrid w:val="0"/>
                      <w:color w:val="auto"/>
                      <w:kern w:val="2"/>
                      <w:sz w:val="21"/>
                      <w:szCs w:val="21"/>
                      <w:lang w:val="en-US" w:eastAsia="zh-CN" w:bidi="ar-SA"/>
                    </w:rPr>
                    <w:t>油墨桶</w:t>
                  </w:r>
                </w:p>
              </w:tc>
              <w:tc>
                <w:tcPr>
                  <w:tcW w:w="737" w:type="dxa"/>
                  <w:shd w:val="clear" w:color="auto" w:fill="auto"/>
                  <w:noWrap w:val="0"/>
                  <w:vAlign w:val="center"/>
                </w:tcPr>
                <w:p w14:paraId="5E45BCB6">
                  <w:pPr>
                    <w:pStyle w:val="244"/>
                    <w:keepNext w:val="0"/>
                    <w:keepLines w:val="0"/>
                    <w:suppressLineNumbers w:val="0"/>
                    <w:spacing w:before="0" w:beforeAutospacing="0" w:after="0" w:afterAutospacing="0"/>
                    <w:ind w:left="0" w:leftChars="0" w:right="0" w:rightChars="0"/>
                    <w:rPr>
                      <w:rFonts w:hint="default" w:ascii="Times New Roman" w:hAnsi="Times New Roman" w:eastAsia="宋体" w:cs="Times New Roman"/>
                      <w:snapToGrid w:val="0"/>
                      <w:color w:val="auto"/>
                      <w:kern w:val="2"/>
                      <w:sz w:val="21"/>
                      <w:szCs w:val="21"/>
                      <w:lang w:val="en-US" w:eastAsia="zh-CN" w:bidi="ar-SA"/>
                    </w:rPr>
                  </w:pPr>
                  <w:r>
                    <w:rPr>
                      <w:rFonts w:hint="default" w:ascii="Times New Roman" w:hAnsi="Times New Roman" w:cs="Times New Roman"/>
                      <w:color w:val="auto"/>
                      <w:sz w:val="21"/>
                      <w:szCs w:val="21"/>
                    </w:rPr>
                    <w:t>HW</w:t>
                  </w:r>
                  <w:r>
                    <w:rPr>
                      <w:rFonts w:hint="default" w:ascii="Times New Roman" w:hAnsi="Times New Roman" w:cs="Times New Roman"/>
                      <w:color w:val="auto"/>
                      <w:sz w:val="21"/>
                      <w:szCs w:val="21"/>
                      <w:lang w:val="en-US" w:eastAsia="zh-CN"/>
                    </w:rPr>
                    <w:t>49</w:t>
                  </w:r>
                </w:p>
              </w:tc>
              <w:tc>
                <w:tcPr>
                  <w:tcW w:w="1065" w:type="dxa"/>
                  <w:shd w:val="clear" w:color="auto" w:fill="auto"/>
                  <w:noWrap w:val="0"/>
                  <w:vAlign w:val="center"/>
                </w:tcPr>
                <w:p w14:paraId="64602A28">
                  <w:pPr>
                    <w:pStyle w:val="244"/>
                    <w:keepNext w:val="0"/>
                    <w:keepLines w:val="0"/>
                    <w:suppressLineNumbers w:val="0"/>
                    <w:spacing w:before="0" w:beforeAutospacing="0" w:after="0" w:afterAutospacing="0"/>
                    <w:ind w:left="0" w:leftChars="0" w:right="0" w:rightChars="0"/>
                    <w:rPr>
                      <w:rFonts w:hint="default" w:ascii="Times New Roman" w:hAnsi="Times New Roman" w:eastAsia="宋体" w:cs="Times New Roman"/>
                      <w:snapToGrid w:val="0"/>
                      <w:color w:val="auto"/>
                      <w:kern w:val="2"/>
                      <w:sz w:val="21"/>
                      <w:szCs w:val="21"/>
                      <w:lang w:val="en-US" w:eastAsia="zh-CN" w:bidi="ar-SA"/>
                    </w:rPr>
                  </w:pPr>
                  <w:r>
                    <w:rPr>
                      <w:rFonts w:hint="default" w:ascii="Times New Roman" w:hAnsi="Times New Roman" w:cs="Times New Roman"/>
                      <w:color w:val="auto"/>
                      <w:sz w:val="21"/>
                      <w:szCs w:val="21"/>
                    </w:rPr>
                    <w:t>900-</w:t>
                  </w:r>
                  <w:r>
                    <w:rPr>
                      <w:rFonts w:hint="default" w:ascii="Times New Roman" w:hAnsi="Times New Roman" w:cs="Times New Roman"/>
                      <w:color w:val="auto"/>
                      <w:sz w:val="21"/>
                      <w:szCs w:val="21"/>
                      <w:lang w:val="en-US" w:eastAsia="zh-CN"/>
                    </w:rPr>
                    <w:t>041</w:t>
                  </w:r>
                  <w:r>
                    <w:rPr>
                      <w:rFonts w:hint="default" w:ascii="Times New Roman" w:hAnsi="Times New Roman" w:cs="Times New Roman"/>
                      <w:color w:val="auto"/>
                      <w:sz w:val="21"/>
                      <w:szCs w:val="21"/>
                    </w:rPr>
                    <w:t>-</w:t>
                  </w:r>
                  <w:r>
                    <w:rPr>
                      <w:rFonts w:hint="default" w:ascii="Times New Roman" w:hAnsi="Times New Roman" w:cs="Times New Roman"/>
                      <w:color w:val="auto"/>
                      <w:sz w:val="21"/>
                      <w:szCs w:val="21"/>
                      <w:lang w:val="en-US" w:eastAsia="zh-CN"/>
                    </w:rPr>
                    <w:t>49</w:t>
                  </w:r>
                </w:p>
              </w:tc>
              <w:tc>
                <w:tcPr>
                  <w:tcW w:w="750" w:type="dxa"/>
                  <w:shd w:val="clear" w:color="auto" w:fill="auto"/>
                  <w:noWrap w:val="0"/>
                  <w:vAlign w:val="center"/>
                </w:tcPr>
                <w:p w14:paraId="440F6088">
                  <w:pPr>
                    <w:pStyle w:val="244"/>
                    <w:keepNext w:val="0"/>
                    <w:keepLines w:val="0"/>
                    <w:suppressLineNumbers w:val="0"/>
                    <w:spacing w:before="0" w:beforeAutospacing="0" w:after="0" w:afterAutospacing="0"/>
                    <w:ind w:left="0" w:leftChars="0" w:right="0" w:rightChars="0"/>
                    <w:rPr>
                      <w:rFonts w:hint="default" w:ascii="Times New Roman" w:hAnsi="Times New Roman" w:eastAsia="宋体" w:cs="Times New Roman"/>
                      <w:snapToGrid w:val="0"/>
                      <w:color w:val="auto"/>
                      <w:kern w:val="2"/>
                      <w:sz w:val="21"/>
                      <w:szCs w:val="21"/>
                      <w:lang w:val="en-US" w:eastAsia="zh-CN" w:bidi="ar-SA"/>
                    </w:rPr>
                  </w:pPr>
                  <w:r>
                    <w:rPr>
                      <w:rFonts w:hint="eastAsia" w:cs="Times New Roman"/>
                      <w:color w:val="auto"/>
                      <w:sz w:val="21"/>
                      <w:szCs w:val="21"/>
                      <w:lang w:val="en-US" w:eastAsia="zh-CN"/>
                    </w:rPr>
                    <w:t>1.5</w:t>
                  </w:r>
                </w:p>
              </w:tc>
              <w:tc>
                <w:tcPr>
                  <w:tcW w:w="945" w:type="dxa"/>
                  <w:shd w:val="clear" w:color="auto" w:fill="auto"/>
                  <w:noWrap w:val="0"/>
                  <w:vAlign w:val="center"/>
                </w:tcPr>
                <w:p w14:paraId="528BCD37">
                  <w:pPr>
                    <w:pStyle w:val="244"/>
                    <w:keepNext w:val="0"/>
                    <w:keepLines w:val="0"/>
                    <w:suppressLineNumbers w:val="0"/>
                    <w:spacing w:before="0" w:beforeAutospacing="0" w:after="0" w:afterAutospacing="0"/>
                    <w:ind w:left="0" w:leftChars="0" w:right="0" w:rightChars="0"/>
                    <w:rPr>
                      <w:rFonts w:hint="default" w:ascii="Times New Roman" w:hAnsi="Times New Roman" w:eastAsia="宋体" w:cs="Times New Roman"/>
                      <w:snapToGrid w:val="0"/>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印刷</w:t>
                  </w:r>
                </w:p>
              </w:tc>
              <w:tc>
                <w:tcPr>
                  <w:tcW w:w="540" w:type="dxa"/>
                  <w:shd w:val="clear" w:color="auto" w:fill="auto"/>
                  <w:noWrap w:val="0"/>
                  <w:vAlign w:val="center"/>
                </w:tcPr>
                <w:p w14:paraId="0628E530">
                  <w:pPr>
                    <w:pStyle w:val="244"/>
                    <w:keepNext w:val="0"/>
                    <w:keepLines w:val="0"/>
                    <w:suppressLineNumbers w:val="0"/>
                    <w:spacing w:before="0" w:beforeAutospacing="0" w:after="0" w:afterAutospacing="0"/>
                    <w:ind w:left="0" w:leftChars="0" w:right="0" w:rightChars="0"/>
                    <w:rPr>
                      <w:rFonts w:hint="default" w:ascii="Times New Roman" w:hAnsi="Times New Roman" w:eastAsia="宋体" w:cs="Times New Roman"/>
                      <w:snapToGrid w:val="0"/>
                      <w:color w:val="auto"/>
                      <w:kern w:val="2"/>
                      <w:sz w:val="21"/>
                      <w:szCs w:val="21"/>
                      <w:lang w:val="en-US" w:eastAsia="zh-CN" w:bidi="ar-SA"/>
                    </w:rPr>
                  </w:pPr>
                  <w:r>
                    <w:rPr>
                      <w:rFonts w:hint="default" w:ascii="Times New Roman" w:hAnsi="Times New Roman" w:cs="Times New Roman"/>
                      <w:color w:val="auto"/>
                      <w:sz w:val="21"/>
                      <w:szCs w:val="21"/>
                      <w:lang w:val="en-US" w:eastAsia="zh-CN"/>
                    </w:rPr>
                    <w:t>固态</w:t>
                  </w:r>
                </w:p>
              </w:tc>
              <w:tc>
                <w:tcPr>
                  <w:tcW w:w="780" w:type="dxa"/>
                  <w:shd w:val="clear" w:color="auto" w:fill="auto"/>
                  <w:noWrap w:val="0"/>
                  <w:vAlign w:val="center"/>
                </w:tcPr>
                <w:p w14:paraId="4886A69F">
                  <w:pPr>
                    <w:pStyle w:val="244"/>
                    <w:keepNext w:val="0"/>
                    <w:keepLines w:val="0"/>
                    <w:suppressLineNumbers w:val="0"/>
                    <w:spacing w:before="0" w:beforeAutospacing="0" w:after="0" w:afterAutospacing="0"/>
                    <w:ind w:left="0" w:leftChars="0" w:right="0" w:rightChars="0"/>
                    <w:rPr>
                      <w:rFonts w:hint="default" w:ascii="Times New Roman" w:hAnsi="Times New Roman" w:eastAsia="宋体" w:cs="Times New Roman"/>
                      <w:snapToGrid w:val="0"/>
                      <w:color w:val="auto"/>
                      <w:kern w:val="2"/>
                      <w:sz w:val="21"/>
                      <w:szCs w:val="21"/>
                      <w:lang w:val="en-US" w:eastAsia="zh-CN" w:bidi="ar-SA"/>
                    </w:rPr>
                  </w:pPr>
                  <w:r>
                    <w:rPr>
                      <w:rFonts w:hint="default" w:ascii="Times New Roman" w:hAnsi="Times New Roman" w:cs="Times New Roman"/>
                      <w:color w:val="auto"/>
                      <w:sz w:val="21"/>
                      <w:szCs w:val="21"/>
                      <w:lang w:val="en-US" w:eastAsia="zh-CN"/>
                    </w:rPr>
                    <w:t>不定期</w:t>
                  </w:r>
                </w:p>
              </w:tc>
              <w:tc>
                <w:tcPr>
                  <w:tcW w:w="706" w:type="dxa"/>
                  <w:shd w:val="clear" w:color="auto" w:fill="auto"/>
                  <w:noWrap w:val="0"/>
                  <w:vAlign w:val="center"/>
                </w:tcPr>
                <w:p w14:paraId="2018B3E5">
                  <w:pPr>
                    <w:pStyle w:val="244"/>
                    <w:keepNext w:val="0"/>
                    <w:keepLines w:val="0"/>
                    <w:suppressLineNumbers w:val="0"/>
                    <w:spacing w:before="0" w:beforeAutospacing="0" w:after="0" w:afterAutospacing="0"/>
                    <w:ind w:left="0" w:leftChars="0" w:right="0" w:rightChars="0"/>
                    <w:rPr>
                      <w:rFonts w:hint="default" w:ascii="Times New Roman" w:hAnsi="Times New Roman" w:eastAsia="宋体" w:cs="Times New Roman"/>
                      <w:snapToGrid w:val="0"/>
                      <w:color w:val="auto"/>
                      <w:kern w:val="2"/>
                      <w:sz w:val="21"/>
                      <w:szCs w:val="18"/>
                      <w:lang w:val="en-US" w:eastAsia="zh-CN" w:bidi="ar-SA"/>
                    </w:rPr>
                  </w:pPr>
                  <w:r>
                    <w:rPr>
                      <w:rFonts w:hint="default" w:ascii="Times New Roman" w:hAnsi="Times New Roman" w:cs="Times New Roman"/>
                      <w:b w:val="0"/>
                      <w:color w:val="000000"/>
                      <w:szCs w:val="21"/>
                    </w:rPr>
                    <w:t>1次/</w:t>
                  </w:r>
                  <w:r>
                    <w:rPr>
                      <w:rFonts w:hint="default" w:ascii="Times New Roman" w:hAnsi="Times New Roman" w:cs="Times New Roman"/>
                      <w:b w:val="0"/>
                      <w:color w:val="000000"/>
                      <w:szCs w:val="21"/>
                      <w:lang w:eastAsia="zh-CN"/>
                    </w:rPr>
                    <w:t>季</w:t>
                  </w:r>
                </w:p>
              </w:tc>
              <w:tc>
                <w:tcPr>
                  <w:tcW w:w="733" w:type="dxa"/>
                  <w:shd w:val="clear" w:color="auto" w:fill="auto"/>
                  <w:noWrap w:val="0"/>
                  <w:vAlign w:val="center"/>
                </w:tcPr>
                <w:p w14:paraId="3F5EB4B0">
                  <w:pPr>
                    <w:pStyle w:val="244"/>
                    <w:keepNext w:val="0"/>
                    <w:keepLines w:val="0"/>
                    <w:suppressLineNumbers w:val="0"/>
                    <w:spacing w:before="0" w:beforeAutospacing="0" w:after="0" w:afterAutospacing="0"/>
                    <w:ind w:left="0" w:leftChars="0" w:right="0" w:rightChars="0"/>
                    <w:rPr>
                      <w:rFonts w:hint="default" w:ascii="Times New Roman" w:hAnsi="Times New Roman" w:eastAsia="宋体" w:cs="Times New Roman"/>
                      <w:b w:val="0"/>
                      <w:snapToGrid w:val="0"/>
                      <w:color w:val="000000"/>
                      <w:kern w:val="2"/>
                      <w:sz w:val="21"/>
                      <w:szCs w:val="21"/>
                      <w:lang w:val="en-US" w:eastAsia="zh-CN" w:bidi="ar-SA"/>
                    </w:rPr>
                  </w:pPr>
                  <w:r>
                    <w:rPr>
                      <w:rFonts w:hint="default" w:cs="Times New Roman"/>
                      <w:b w:val="0"/>
                      <w:color w:val="000000"/>
                      <w:szCs w:val="21"/>
                      <w:lang w:val="en-US" w:eastAsia="zh-CN"/>
                    </w:rPr>
                    <w:t>0.</w:t>
                  </w:r>
                  <w:r>
                    <w:rPr>
                      <w:rFonts w:hint="eastAsia" w:cs="Times New Roman"/>
                      <w:b w:val="0"/>
                      <w:color w:val="000000"/>
                      <w:szCs w:val="21"/>
                      <w:lang w:val="en-US" w:eastAsia="zh-CN"/>
                    </w:rPr>
                    <w:t>375</w:t>
                  </w:r>
                </w:p>
              </w:tc>
              <w:tc>
                <w:tcPr>
                  <w:tcW w:w="571" w:type="dxa"/>
                  <w:shd w:val="clear" w:color="auto" w:fill="auto"/>
                  <w:noWrap w:val="0"/>
                  <w:vAlign w:val="center"/>
                </w:tcPr>
                <w:p w14:paraId="03AC2EB5">
                  <w:pPr>
                    <w:pStyle w:val="244"/>
                    <w:keepNext w:val="0"/>
                    <w:keepLines w:val="0"/>
                    <w:suppressLineNumbers w:val="0"/>
                    <w:spacing w:before="0" w:beforeAutospacing="0" w:after="0" w:afterAutospacing="0"/>
                    <w:ind w:left="0" w:leftChars="0" w:right="0" w:rightChars="0"/>
                    <w:rPr>
                      <w:rFonts w:hint="default" w:ascii="Times New Roman" w:hAnsi="Times New Roman" w:eastAsia="宋体" w:cs="Times New Roman"/>
                      <w:snapToGrid w:val="0"/>
                      <w:color w:val="auto"/>
                      <w:kern w:val="2"/>
                      <w:sz w:val="21"/>
                      <w:szCs w:val="21"/>
                      <w:lang w:val="en-US" w:eastAsia="zh-CN" w:bidi="ar-SA"/>
                    </w:rPr>
                  </w:pPr>
                  <w:r>
                    <w:rPr>
                      <w:rFonts w:hint="default" w:ascii="Times New Roman" w:hAnsi="Times New Roman" w:eastAsia="宋体" w:cs="Times New Roman"/>
                      <w:snapToGrid w:val="0"/>
                      <w:color w:val="auto"/>
                      <w:sz w:val="21"/>
                      <w:szCs w:val="18"/>
                      <w:lang w:eastAsia="zh-CN"/>
                    </w:rPr>
                    <w:t>T</w:t>
                  </w:r>
                  <w:r>
                    <w:rPr>
                      <w:rFonts w:hint="default" w:ascii="Times New Roman" w:hAnsi="Times New Roman" w:eastAsia="宋体" w:cs="Times New Roman"/>
                      <w:snapToGrid w:val="0"/>
                      <w:color w:val="auto"/>
                      <w:sz w:val="21"/>
                      <w:szCs w:val="18"/>
                      <w:lang w:val="en-US" w:eastAsia="zh-CN"/>
                    </w:rPr>
                    <w:t>/</w:t>
                  </w:r>
                  <w:r>
                    <w:rPr>
                      <w:rFonts w:hint="default" w:ascii="Times New Roman" w:hAnsi="Times New Roman" w:eastAsia="宋体" w:cs="Times New Roman"/>
                      <w:snapToGrid w:val="0"/>
                      <w:color w:val="auto"/>
                      <w:sz w:val="21"/>
                      <w:szCs w:val="18"/>
                      <w:lang w:eastAsia="zh-CN"/>
                    </w:rPr>
                    <w:t>In</w:t>
                  </w:r>
                </w:p>
              </w:tc>
            </w:tr>
            <w:tr w14:paraId="41E9BF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4" w:hRule="atLeast"/>
                <w:jc w:val="center"/>
              </w:trPr>
              <w:tc>
                <w:tcPr>
                  <w:tcW w:w="320" w:type="dxa"/>
                  <w:noWrap w:val="0"/>
                  <w:vAlign w:val="center"/>
                </w:tcPr>
                <w:p w14:paraId="1E9192B6">
                  <w:pPr>
                    <w:pStyle w:val="244"/>
                    <w:keepNext w:val="0"/>
                    <w:keepLines w:val="0"/>
                    <w:suppressLineNumbers w:val="0"/>
                    <w:spacing w:before="0" w:beforeAutospacing="0" w:after="0" w:afterAutospacing="0"/>
                    <w:ind w:left="0" w:right="0"/>
                    <w:rPr>
                      <w:rFonts w:hint="default" w:ascii="Times New Roman" w:hAnsi="Times New Roman" w:cs="Times New Roman"/>
                      <w:snapToGrid w:val="0"/>
                      <w:color w:val="auto"/>
                      <w:kern w:val="2"/>
                      <w:sz w:val="21"/>
                      <w:szCs w:val="21"/>
                      <w:lang w:val="en-US" w:eastAsia="zh-CN" w:bidi="ar-SA"/>
                    </w:rPr>
                  </w:pPr>
                  <w:r>
                    <w:rPr>
                      <w:rFonts w:hint="eastAsia" w:cs="Times New Roman"/>
                      <w:snapToGrid w:val="0"/>
                      <w:color w:val="auto"/>
                      <w:kern w:val="2"/>
                      <w:sz w:val="21"/>
                      <w:szCs w:val="21"/>
                      <w:lang w:val="en-US" w:eastAsia="zh-CN" w:bidi="ar-SA"/>
                    </w:rPr>
                    <w:t>2</w:t>
                  </w:r>
                </w:p>
              </w:tc>
              <w:tc>
                <w:tcPr>
                  <w:tcW w:w="1114" w:type="dxa"/>
                  <w:shd w:val="clear" w:color="auto" w:fill="auto"/>
                  <w:noWrap w:val="0"/>
                  <w:vAlign w:val="center"/>
                </w:tcPr>
                <w:p w14:paraId="36438D84">
                  <w:pPr>
                    <w:pStyle w:val="244"/>
                    <w:keepNext w:val="0"/>
                    <w:keepLines w:val="0"/>
                    <w:suppressLineNumbers w:val="0"/>
                    <w:spacing w:before="0" w:beforeAutospacing="0" w:after="0" w:afterAutospacing="0"/>
                    <w:ind w:left="0" w:leftChars="0" w:right="0" w:rightChars="0"/>
                    <w:rPr>
                      <w:rFonts w:hint="default" w:ascii="Times New Roman" w:hAnsi="Times New Roman" w:eastAsia="宋体" w:cs="Times New Roman"/>
                      <w:snapToGrid w:val="0"/>
                      <w:color w:val="auto"/>
                      <w:kern w:val="2"/>
                      <w:sz w:val="21"/>
                      <w:szCs w:val="21"/>
                      <w:lang w:val="en-US" w:eastAsia="zh-CN" w:bidi="ar-SA"/>
                    </w:rPr>
                  </w:pPr>
                  <w:r>
                    <w:rPr>
                      <w:rFonts w:hint="default" w:ascii="Times New Roman" w:hAnsi="Times New Roman" w:cs="Times New Roman"/>
                      <w:color w:val="auto"/>
                      <w:sz w:val="21"/>
                      <w:szCs w:val="21"/>
                      <w:lang w:val="en-US" w:eastAsia="zh-CN"/>
                    </w:rPr>
                    <w:t>废抹布</w:t>
                  </w:r>
                </w:p>
              </w:tc>
              <w:tc>
                <w:tcPr>
                  <w:tcW w:w="737" w:type="dxa"/>
                  <w:shd w:val="clear" w:color="auto" w:fill="auto"/>
                  <w:noWrap w:val="0"/>
                  <w:vAlign w:val="center"/>
                </w:tcPr>
                <w:p w14:paraId="1D0AB50D">
                  <w:pPr>
                    <w:pStyle w:val="244"/>
                    <w:keepNext w:val="0"/>
                    <w:keepLines w:val="0"/>
                    <w:suppressLineNumbers w:val="0"/>
                    <w:spacing w:before="0" w:beforeAutospacing="0" w:after="0" w:afterAutospacing="0"/>
                    <w:ind w:left="0" w:leftChars="0" w:right="0" w:rightChars="0"/>
                    <w:rPr>
                      <w:rFonts w:hint="default" w:ascii="Times New Roman" w:hAnsi="Times New Roman" w:eastAsia="宋体" w:cs="Times New Roman"/>
                      <w:snapToGrid w:val="0"/>
                      <w:color w:val="auto"/>
                      <w:kern w:val="2"/>
                      <w:sz w:val="21"/>
                      <w:szCs w:val="21"/>
                      <w:lang w:val="en-US" w:eastAsia="zh-CN" w:bidi="ar-SA"/>
                    </w:rPr>
                  </w:pPr>
                  <w:r>
                    <w:rPr>
                      <w:rFonts w:hint="default" w:ascii="Times New Roman" w:hAnsi="Times New Roman" w:cs="Times New Roman"/>
                      <w:color w:val="auto"/>
                      <w:sz w:val="21"/>
                      <w:szCs w:val="21"/>
                    </w:rPr>
                    <w:t>HW</w:t>
                  </w:r>
                  <w:r>
                    <w:rPr>
                      <w:rFonts w:hint="eastAsia" w:cs="Times New Roman"/>
                      <w:color w:val="auto"/>
                      <w:sz w:val="21"/>
                      <w:szCs w:val="21"/>
                      <w:lang w:val="en-US" w:eastAsia="zh-CN"/>
                    </w:rPr>
                    <w:t>49</w:t>
                  </w:r>
                </w:p>
              </w:tc>
              <w:tc>
                <w:tcPr>
                  <w:tcW w:w="1065" w:type="dxa"/>
                  <w:shd w:val="clear" w:color="auto" w:fill="auto"/>
                  <w:noWrap w:val="0"/>
                  <w:vAlign w:val="center"/>
                </w:tcPr>
                <w:p w14:paraId="0A5087E9">
                  <w:pPr>
                    <w:pStyle w:val="244"/>
                    <w:keepNext w:val="0"/>
                    <w:keepLines w:val="0"/>
                    <w:suppressLineNumbers w:val="0"/>
                    <w:spacing w:before="0" w:beforeAutospacing="0" w:after="0" w:afterAutospacing="0"/>
                    <w:ind w:left="0" w:leftChars="0" w:right="0" w:rightChars="0"/>
                    <w:rPr>
                      <w:rFonts w:hint="default" w:ascii="Times New Roman" w:hAnsi="Times New Roman" w:eastAsia="宋体" w:cs="Times New Roman"/>
                      <w:snapToGrid w:val="0"/>
                      <w:color w:val="auto"/>
                      <w:kern w:val="2"/>
                      <w:sz w:val="21"/>
                      <w:szCs w:val="21"/>
                      <w:lang w:val="en-US" w:eastAsia="zh-CN" w:bidi="ar-SA"/>
                    </w:rPr>
                  </w:pPr>
                  <w:r>
                    <w:rPr>
                      <w:rFonts w:hint="default" w:ascii="Times New Roman" w:hAnsi="Times New Roman" w:cs="Times New Roman"/>
                      <w:color w:val="auto"/>
                      <w:sz w:val="21"/>
                      <w:szCs w:val="21"/>
                    </w:rPr>
                    <w:t>900-</w:t>
                  </w:r>
                  <w:r>
                    <w:rPr>
                      <w:rFonts w:hint="default" w:ascii="Times New Roman" w:hAnsi="Times New Roman" w:cs="Times New Roman"/>
                      <w:color w:val="auto"/>
                      <w:sz w:val="21"/>
                      <w:szCs w:val="21"/>
                      <w:lang w:val="en-US" w:eastAsia="zh-CN"/>
                    </w:rPr>
                    <w:t>041</w:t>
                  </w:r>
                  <w:r>
                    <w:rPr>
                      <w:rFonts w:hint="default" w:ascii="Times New Roman" w:hAnsi="Times New Roman" w:cs="Times New Roman"/>
                      <w:color w:val="auto"/>
                      <w:sz w:val="21"/>
                      <w:szCs w:val="21"/>
                    </w:rPr>
                    <w:t>-</w:t>
                  </w:r>
                  <w:r>
                    <w:rPr>
                      <w:rFonts w:hint="default" w:ascii="Times New Roman" w:hAnsi="Times New Roman" w:cs="Times New Roman"/>
                      <w:color w:val="auto"/>
                      <w:sz w:val="21"/>
                      <w:szCs w:val="21"/>
                      <w:lang w:val="en-US" w:eastAsia="zh-CN"/>
                    </w:rPr>
                    <w:t>49</w:t>
                  </w:r>
                </w:p>
              </w:tc>
              <w:tc>
                <w:tcPr>
                  <w:tcW w:w="750" w:type="dxa"/>
                  <w:shd w:val="clear" w:color="auto" w:fill="auto"/>
                  <w:noWrap w:val="0"/>
                  <w:vAlign w:val="center"/>
                </w:tcPr>
                <w:p w14:paraId="0DDDA416">
                  <w:pPr>
                    <w:pStyle w:val="244"/>
                    <w:keepNext w:val="0"/>
                    <w:keepLines w:val="0"/>
                    <w:suppressLineNumbers w:val="0"/>
                    <w:spacing w:before="0" w:beforeAutospacing="0" w:after="0" w:afterAutospacing="0"/>
                    <w:ind w:left="0" w:leftChars="0" w:right="0" w:rightChars="0"/>
                    <w:rPr>
                      <w:rFonts w:hint="default" w:ascii="Times New Roman" w:hAnsi="Times New Roman" w:eastAsia="宋体" w:cs="Times New Roman"/>
                      <w:snapToGrid w:val="0"/>
                      <w:color w:val="auto"/>
                      <w:kern w:val="2"/>
                      <w:sz w:val="21"/>
                      <w:szCs w:val="21"/>
                      <w:lang w:val="en-US" w:eastAsia="zh-CN" w:bidi="ar-SA"/>
                    </w:rPr>
                  </w:pPr>
                  <w:r>
                    <w:rPr>
                      <w:rFonts w:hint="default" w:ascii="Times New Roman" w:hAnsi="Times New Roman" w:cs="Times New Roman"/>
                      <w:color w:val="auto"/>
                      <w:sz w:val="21"/>
                      <w:szCs w:val="21"/>
                      <w:lang w:val="en-US" w:eastAsia="zh-CN"/>
                    </w:rPr>
                    <w:t>0.01</w:t>
                  </w:r>
                </w:p>
              </w:tc>
              <w:tc>
                <w:tcPr>
                  <w:tcW w:w="945" w:type="dxa"/>
                  <w:shd w:val="clear" w:color="auto" w:fill="auto"/>
                  <w:noWrap w:val="0"/>
                  <w:vAlign w:val="center"/>
                </w:tcPr>
                <w:p w14:paraId="0598E1A9">
                  <w:pPr>
                    <w:pStyle w:val="244"/>
                    <w:keepNext w:val="0"/>
                    <w:keepLines w:val="0"/>
                    <w:suppressLineNumbers w:val="0"/>
                    <w:spacing w:before="0" w:beforeAutospacing="0" w:after="0" w:afterAutospacing="0"/>
                    <w:ind w:left="0" w:leftChars="0" w:right="0" w:rightChars="0"/>
                    <w:rPr>
                      <w:rFonts w:hint="default" w:ascii="Times New Roman" w:hAnsi="Times New Roman" w:eastAsia="宋体" w:cs="Times New Roman"/>
                      <w:snapToGrid w:val="0"/>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印刷</w:t>
                  </w:r>
                </w:p>
              </w:tc>
              <w:tc>
                <w:tcPr>
                  <w:tcW w:w="540" w:type="dxa"/>
                  <w:shd w:val="clear" w:color="auto" w:fill="auto"/>
                  <w:noWrap w:val="0"/>
                  <w:vAlign w:val="center"/>
                </w:tcPr>
                <w:p w14:paraId="0019CE2B">
                  <w:pPr>
                    <w:pStyle w:val="244"/>
                    <w:keepNext w:val="0"/>
                    <w:keepLines w:val="0"/>
                    <w:suppressLineNumbers w:val="0"/>
                    <w:spacing w:before="0" w:beforeAutospacing="0" w:after="0" w:afterAutospacing="0"/>
                    <w:ind w:left="0" w:leftChars="0" w:right="0" w:rightChars="0"/>
                    <w:rPr>
                      <w:rFonts w:hint="default" w:ascii="Times New Roman" w:hAnsi="Times New Roman" w:eastAsia="宋体" w:cs="Times New Roman"/>
                      <w:snapToGrid w:val="0"/>
                      <w:color w:val="auto"/>
                      <w:kern w:val="2"/>
                      <w:sz w:val="21"/>
                      <w:szCs w:val="21"/>
                      <w:lang w:val="en-US" w:eastAsia="zh-CN" w:bidi="ar-SA"/>
                    </w:rPr>
                  </w:pPr>
                  <w:r>
                    <w:rPr>
                      <w:rFonts w:hint="default" w:ascii="Times New Roman" w:hAnsi="Times New Roman" w:cs="Times New Roman"/>
                      <w:color w:val="auto"/>
                      <w:sz w:val="21"/>
                      <w:szCs w:val="21"/>
                      <w:lang w:eastAsia="zh-CN"/>
                    </w:rPr>
                    <w:t>固态</w:t>
                  </w:r>
                </w:p>
              </w:tc>
              <w:tc>
                <w:tcPr>
                  <w:tcW w:w="780" w:type="dxa"/>
                  <w:shd w:val="clear" w:color="auto" w:fill="auto"/>
                  <w:noWrap w:val="0"/>
                  <w:vAlign w:val="center"/>
                </w:tcPr>
                <w:p w14:paraId="2D94B8F5">
                  <w:pPr>
                    <w:pStyle w:val="244"/>
                    <w:keepNext w:val="0"/>
                    <w:keepLines w:val="0"/>
                    <w:suppressLineNumbers w:val="0"/>
                    <w:spacing w:before="0" w:beforeAutospacing="0" w:after="0" w:afterAutospacing="0"/>
                    <w:ind w:left="0" w:leftChars="0" w:right="0" w:rightChars="0"/>
                    <w:rPr>
                      <w:rFonts w:hint="default" w:ascii="Times New Roman" w:hAnsi="Times New Roman" w:eastAsia="宋体" w:cs="Times New Roman"/>
                      <w:snapToGrid w:val="0"/>
                      <w:color w:val="auto"/>
                      <w:kern w:val="2"/>
                      <w:sz w:val="21"/>
                      <w:szCs w:val="21"/>
                      <w:lang w:val="en-US" w:eastAsia="zh-CN" w:bidi="ar-SA"/>
                    </w:rPr>
                  </w:pPr>
                  <w:r>
                    <w:rPr>
                      <w:rFonts w:hint="default" w:ascii="Times New Roman" w:hAnsi="Times New Roman" w:cs="Times New Roman"/>
                      <w:color w:val="auto"/>
                      <w:sz w:val="21"/>
                      <w:szCs w:val="21"/>
                      <w:lang w:val="en-US" w:eastAsia="zh-CN"/>
                    </w:rPr>
                    <w:t>不定期</w:t>
                  </w:r>
                </w:p>
              </w:tc>
              <w:tc>
                <w:tcPr>
                  <w:tcW w:w="706" w:type="dxa"/>
                  <w:shd w:val="clear" w:color="auto" w:fill="auto"/>
                  <w:noWrap w:val="0"/>
                  <w:vAlign w:val="center"/>
                </w:tcPr>
                <w:p w14:paraId="7167CB8E">
                  <w:pPr>
                    <w:pStyle w:val="244"/>
                    <w:keepNext w:val="0"/>
                    <w:keepLines w:val="0"/>
                    <w:suppressLineNumbers w:val="0"/>
                    <w:spacing w:before="0" w:beforeAutospacing="0" w:after="0" w:afterAutospacing="0"/>
                    <w:ind w:left="0" w:leftChars="0" w:right="0" w:rightChars="0"/>
                    <w:rPr>
                      <w:rFonts w:hint="default" w:ascii="Times New Roman" w:hAnsi="Times New Roman" w:eastAsia="宋体" w:cs="Times New Roman"/>
                      <w:snapToGrid w:val="0"/>
                      <w:color w:val="auto"/>
                      <w:kern w:val="2"/>
                      <w:sz w:val="21"/>
                      <w:szCs w:val="21"/>
                      <w:lang w:val="en-US" w:eastAsia="zh-CN" w:bidi="ar-SA"/>
                    </w:rPr>
                  </w:pPr>
                  <w:r>
                    <w:rPr>
                      <w:rFonts w:hint="default" w:ascii="Times New Roman" w:hAnsi="Times New Roman" w:cs="Times New Roman"/>
                      <w:b w:val="0"/>
                      <w:color w:val="000000"/>
                      <w:szCs w:val="21"/>
                    </w:rPr>
                    <w:t>1次/</w:t>
                  </w:r>
                  <w:r>
                    <w:rPr>
                      <w:rFonts w:hint="default" w:ascii="Times New Roman" w:hAnsi="Times New Roman" w:cs="Times New Roman"/>
                      <w:b w:val="0"/>
                      <w:color w:val="000000"/>
                      <w:szCs w:val="21"/>
                      <w:lang w:eastAsia="zh-CN"/>
                    </w:rPr>
                    <w:t>年</w:t>
                  </w:r>
                </w:p>
              </w:tc>
              <w:tc>
                <w:tcPr>
                  <w:tcW w:w="733" w:type="dxa"/>
                  <w:shd w:val="clear" w:color="auto" w:fill="auto"/>
                  <w:noWrap w:val="0"/>
                  <w:vAlign w:val="center"/>
                </w:tcPr>
                <w:p w14:paraId="445C9280">
                  <w:pPr>
                    <w:pStyle w:val="244"/>
                    <w:keepNext w:val="0"/>
                    <w:keepLines w:val="0"/>
                    <w:suppressLineNumbers w:val="0"/>
                    <w:spacing w:before="0" w:beforeAutospacing="0" w:after="0" w:afterAutospacing="0"/>
                    <w:ind w:left="0" w:leftChars="0" w:right="0" w:rightChars="0"/>
                    <w:rPr>
                      <w:rFonts w:hint="default" w:ascii="Times New Roman" w:hAnsi="Times New Roman" w:eastAsia="宋体" w:cs="Times New Roman"/>
                      <w:b w:val="0"/>
                      <w:snapToGrid w:val="0"/>
                      <w:color w:val="000000"/>
                      <w:kern w:val="2"/>
                      <w:sz w:val="21"/>
                      <w:szCs w:val="21"/>
                      <w:lang w:val="en-US" w:eastAsia="zh-CN" w:bidi="ar-SA"/>
                    </w:rPr>
                  </w:pPr>
                  <w:r>
                    <w:rPr>
                      <w:rFonts w:hint="default" w:ascii="Times New Roman" w:hAnsi="Times New Roman" w:cs="Times New Roman"/>
                      <w:b w:val="0"/>
                      <w:color w:val="000000"/>
                      <w:szCs w:val="21"/>
                      <w:lang w:val="en-US" w:eastAsia="zh-CN"/>
                    </w:rPr>
                    <w:t>0.01</w:t>
                  </w:r>
                </w:p>
              </w:tc>
              <w:tc>
                <w:tcPr>
                  <w:tcW w:w="571" w:type="dxa"/>
                  <w:shd w:val="clear" w:color="auto" w:fill="auto"/>
                  <w:noWrap w:val="0"/>
                  <w:vAlign w:val="center"/>
                </w:tcPr>
                <w:p w14:paraId="15C63C7E">
                  <w:pPr>
                    <w:pStyle w:val="244"/>
                    <w:keepNext w:val="0"/>
                    <w:keepLines w:val="0"/>
                    <w:suppressLineNumbers w:val="0"/>
                    <w:spacing w:before="0" w:beforeAutospacing="0" w:after="0" w:afterAutospacing="0"/>
                    <w:ind w:left="0" w:leftChars="0" w:right="0" w:rightChars="0"/>
                    <w:rPr>
                      <w:rFonts w:hint="default" w:ascii="Times New Roman" w:hAnsi="Times New Roman" w:eastAsia="宋体" w:cs="Times New Roman"/>
                      <w:snapToGrid w:val="0"/>
                      <w:color w:val="auto"/>
                      <w:kern w:val="2"/>
                      <w:sz w:val="21"/>
                      <w:szCs w:val="21"/>
                      <w:lang w:val="en-US" w:eastAsia="zh-CN" w:bidi="ar-SA"/>
                    </w:rPr>
                  </w:pPr>
                  <w:r>
                    <w:rPr>
                      <w:rFonts w:hint="default" w:ascii="Times New Roman" w:hAnsi="Times New Roman" w:eastAsia="宋体" w:cs="Times New Roman"/>
                      <w:snapToGrid w:val="0"/>
                      <w:color w:val="auto"/>
                      <w:sz w:val="21"/>
                      <w:szCs w:val="18"/>
                      <w:lang w:eastAsia="zh-CN"/>
                    </w:rPr>
                    <w:t>T</w:t>
                  </w:r>
                  <w:r>
                    <w:rPr>
                      <w:rFonts w:hint="default" w:ascii="Times New Roman" w:hAnsi="Times New Roman" w:eastAsia="宋体" w:cs="Times New Roman"/>
                      <w:snapToGrid w:val="0"/>
                      <w:color w:val="auto"/>
                      <w:sz w:val="21"/>
                      <w:szCs w:val="18"/>
                      <w:lang w:val="en-US" w:eastAsia="zh-CN"/>
                    </w:rPr>
                    <w:t>/</w:t>
                  </w:r>
                  <w:r>
                    <w:rPr>
                      <w:rFonts w:hint="default" w:ascii="Times New Roman" w:hAnsi="Times New Roman" w:eastAsia="宋体" w:cs="Times New Roman"/>
                      <w:snapToGrid w:val="0"/>
                      <w:color w:val="auto"/>
                      <w:sz w:val="21"/>
                      <w:szCs w:val="18"/>
                      <w:lang w:eastAsia="zh-CN"/>
                    </w:rPr>
                    <w:t>I</w:t>
                  </w:r>
                </w:p>
              </w:tc>
            </w:tr>
            <w:tr w14:paraId="4FFFBA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4" w:hRule="atLeast"/>
                <w:jc w:val="center"/>
              </w:trPr>
              <w:tc>
                <w:tcPr>
                  <w:tcW w:w="320" w:type="dxa"/>
                  <w:shd w:val="clear" w:color="auto" w:fill="auto"/>
                  <w:noWrap w:val="0"/>
                  <w:vAlign w:val="center"/>
                </w:tcPr>
                <w:p w14:paraId="48A164D7">
                  <w:pPr>
                    <w:pStyle w:val="244"/>
                    <w:keepNext w:val="0"/>
                    <w:keepLines w:val="0"/>
                    <w:suppressLineNumbers w:val="0"/>
                    <w:spacing w:before="0" w:beforeAutospacing="0" w:after="0" w:afterAutospacing="0"/>
                    <w:ind w:left="0" w:leftChars="0" w:right="0" w:rightChars="0"/>
                    <w:rPr>
                      <w:rFonts w:hint="default" w:ascii="Times New Roman" w:hAnsi="Times New Roman" w:eastAsia="宋体" w:cs="Times New Roman"/>
                      <w:snapToGrid w:val="0"/>
                      <w:color w:val="auto"/>
                      <w:kern w:val="2"/>
                      <w:sz w:val="21"/>
                      <w:szCs w:val="21"/>
                      <w:lang w:val="en-US" w:eastAsia="zh-CN" w:bidi="ar-SA"/>
                    </w:rPr>
                  </w:pPr>
                  <w:r>
                    <w:rPr>
                      <w:rFonts w:hint="eastAsia" w:cs="Times New Roman"/>
                      <w:color w:val="auto"/>
                      <w:sz w:val="21"/>
                      <w:szCs w:val="21"/>
                      <w:lang w:val="en-US" w:eastAsia="zh-CN"/>
                    </w:rPr>
                    <w:t>3</w:t>
                  </w:r>
                </w:p>
              </w:tc>
              <w:tc>
                <w:tcPr>
                  <w:tcW w:w="1114" w:type="dxa"/>
                  <w:shd w:val="clear" w:color="auto" w:fill="auto"/>
                  <w:noWrap w:val="0"/>
                  <w:vAlign w:val="center"/>
                </w:tcPr>
                <w:p w14:paraId="434DCED5">
                  <w:pPr>
                    <w:pStyle w:val="244"/>
                    <w:keepNext w:val="0"/>
                    <w:keepLines w:val="0"/>
                    <w:suppressLineNumbers w:val="0"/>
                    <w:spacing w:before="0" w:beforeAutospacing="0" w:after="0" w:afterAutospacing="0"/>
                    <w:ind w:left="0" w:leftChars="0" w:right="0" w:rightChars="0"/>
                    <w:rPr>
                      <w:rFonts w:hint="default" w:ascii="Times New Roman" w:hAnsi="Times New Roman" w:eastAsia="宋体" w:cs="Times New Roman"/>
                      <w:snapToGrid w:val="0"/>
                      <w:color w:val="auto"/>
                      <w:kern w:val="2"/>
                      <w:sz w:val="21"/>
                      <w:szCs w:val="21"/>
                      <w:lang w:val="en-US" w:eastAsia="zh-CN" w:bidi="ar-SA"/>
                    </w:rPr>
                  </w:pPr>
                  <w:r>
                    <w:rPr>
                      <w:rFonts w:hint="default" w:ascii="Times New Roman" w:hAnsi="Times New Roman" w:cs="Times New Roman"/>
                      <w:color w:val="auto"/>
                      <w:sz w:val="21"/>
                      <w:szCs w:val="21"/>
                      <w:lang w:val="en-US" w:eastAsia="zh-CN"/>
                    </w:rPr>
                    <w:t>废胶粘剂桶</w:t>
                  </w:r>
                </w:p>
              </w:tc>
              <w:tc>
                <w:tcPr>
                  <w:tcW w:w="737" w:type="dxa"/>
                  <w:shd w:val="clear" w:color="auto" w:fill="auto"/>
                  <w:noWrap w:val="0"/>
                  <w:vAlign w:val="center"/>
                </w:tcPr>
                <w:p w14:paraId="394AC57B">
                  <w:pPr>
                    <w:pStyle w:val="244"/>
                    <w:keepNext w:val="0"/>
                    <w:keepLines w:val="0"/>
                    <w:suppressLineNumbers w:val="0"/>
                    <w:spacing w:before="0" w:beforeAutospacing="0" w:after="0" w:afterAutospacing="0"/>
                    <w:ind w:left="0" w:leftChars="0" w:right="0" w:rightChars="0"/>
                    <w:rPr>
                      <w:rFonts w:hint="default" w:ascii="Times New Roman" w:hAnsi="Times New Roman" w:eastAsia="宋体" w:cs="Times New Roman"/>
                      <w:snapToGrid w:val="0"/>
                      <w:color w:val="auto"/>
                      <w:kern w:val="2"/>
                      <w:sz w:val="21"/>
                      <w:szCs w:val="21"/>
                      <w:lang w:val="en-US" w:eastAsia="zh-CN" w:bidi="ar-SA"/>
                    </w:rPr>
                  </w:pPr>
                  <w:r>
                    <w:rPr>
                      <w:rFonts w:hint="default" w:ascii="Times New Roman" w:hAnsi="Times New Roman" w:cs="Times New Roman"/>
                      <w:color w:val="auto"/>
                      <w:sz w:val="21"/>
                      <w:szCs w:val="21"/>
                    </w:rPr>
                    <w:t>HW</w:t>
                  </w:r>
                  <w:r>
                    <w:rPr>
                      <w:rFonts w:hint="default" w:ascii="Times New Roman" w:hAnsi="Times New Roman" w:cs="Times New Roman"/>
                      <w:color w:val="auto"/>
                      <w:sz w:val="21"/>
                      <w:szCs w:val="21"/>
                      <w:lang w:val="en-US" w:eastAsia="zh-CN"/>
                    </w:rPr>
                    <w:t>49</w:t>
                  </w:r>
                </w:p>
              </w:tc>
              <w:tc>
                <w:tcPr>
                  <w:tcW w:w="1065" w:type="dxa"/>
                  <w:shd w:val="clear" w:color="auto" w:fill="auto"/>
                  <w:noWrap w:val="0"/>
                  <w:vAlign w:val="center"/>
                </w:tcPr>
                <w:p w14:paraId="6679AC11">
                  <w:pPr>
                    <w:pStyle w:val="244"/>
                    <w:keepNext w:val="0"/>
                    <w:keepLines w:val="0"/>
                    <w:suppressLineNumbers w:val="0"/>
                    <w:spacing w:before="0" w:beforeAutospacing="0" w:after="0" w:afterAutospacing="0"/>
                    <w:ind w:left="0" w:leftChars="0" w:right="0" w:rightChars="0"/>
                    <w:rPr>
                      <w:rFonts w:hint="default" w:ascii="Times New Roman" w:hAnsi="Times New Roman" w:eastAsia="宋体" w:cs="Times New Roman"/>
                      <w:snapToGrid w:val="0"/>
                      <w:color w:val="auto"/>
                      <w:kern w:val="2"/>
                      <w:sz w:val="21"/>
                      <w:szCs w:val="21"/>
                      <w:lang w:val="en-US" w:eastAsia="zh-CN" w:bidi="ar-SA"/>
                    </w:rPr>
                  </w:pPr>
                  <w:r>
                    <w:rPr>
                      <w:rFonts w:hint="default" w:ascii="Times New Roman" w:hAnsi="Times New Roman" w:cs="Times New Roman"/>
                      <w:color w:val="auto"/>
                      <w:sz w:val="21"/>
                      <w:szCs w:val="21"/>
                    </w:rPr>
                    <w:t>900-</w:t>
                  </w:r>
                  <w:r>
                    <w:rPr>
                      <w:rFonts w:hint="default" w:ascii="Times New Roman" w:hAnsi="Times New Roman" w:cs="Times New Roman"/>
                      <w:color w:val="auto"/>
                      <w:sz w:val="21"/>
                      <w:szCs w:val="21"/>
                      <w:lang w:val="en-US" w:eastAsia="zh-CN"/>
                    </w:rPr>
                    <w:t>041</w:t>
                  </w:r>
                  <w:r>
                    <w:rPr>
                      <w:rFonts w:hint="default" w:ascii="Times New Roman" w:hAnsi="Times New Roman" w:cs="Times New Roman"/>
                      <w:color w:val="auto"/>
                      <w:sz w:val="21"/>
                      <w:szCs w:val="21"/>
                    </w:rPr>
                    <w:t>-</w:t>
                  </w:r>
                  <w:r>
                    <w:rPr>
                      <w:rFonts w:hint="default" w:ascii="Times New Roman" w:hAnsi="Times New Roman" w:cs="Times New Roman"/>
                      <w:color w:val="auto"/>
                      <w:sz w:val="21"/>
                      <w:szCs w:val="21"/>
                      <w:lang w:val="en-US" w:eastAsia="zh-CN"/>
                    </w:rPr>
                    <w:t>49</w:t>
                  </w:r>
                </w:p>
              </w:tc>
              <w:tc>
                <w:tcPr>
                  <w:tcW w:w="750" w:type="dxa"/>
                  <w:shd w:val="clear" w:color="auto" w:fill="auto"/>
                  <w:noWrap w:val="0"/>
                  <w:vAlign w:val="center"/>
                </w:tcPr>
                <w:p w14:paraId="7D16F7FF">
                  <w:pPr>
                    <w:pStyle w:val="244"/>
                    <w:keepNext w:val="0"/>
                    <w:keepLines w:val="0"/>
                    <w:suppressLineNumbers w:val="0"/>
                    <w:spacing w:before="0" w:beforeAutospacing="0" w:after="0" w:afterAutospacing="0"/>
                    <w:ind w:left="0" w:leftChars="0" w:right="0" w:rightChars="0"/>
                    <w:rPr>
                      <w:rFonts w:hint="default" w:ascii="Times New Roman" w:hAnsi="Times New Roman" w:eastAsia="宋体" w:cs="Times New Roman"/>
                      <w:snapToGrid w:val="0"/>
                      <w:color w:val="auto"/>
                      <w:kern w:val="2"/>
                      <w:sz w:val="21"/>
                      <w:szCs w:val="21"/>
                      <w:lang w:val="en-US" w:eastAsia="zh-CN" w:bidi="ar-SA"/>
                    </w:rPr>
                  </w:pPr>
                  <w:r>
                    <w:rPr>
                      <w:rFonts w:hint="eastAsia" w:cs="Times New Roman"/>
                      <w:color w:val="auto"/>
                      <w:sz w:val="21"/>
                      <w:szCs w:val="21"/>
                      <w:lang w:val="en-US" w:eastAsia="zh-CN"/>
                    </w:rPr>
                    <w:t>1.0</w:t>
                  </w:r>
                </w:p>
              </w:tc>
              <w:tc>
                <w:tcPr>
                  <w:tcW w:w="945" w:type="dxa"/>
                  <w:shd w:val="clear" w:color="auto" w:fill="auto"/>
                  <w:noWrap w:val="0"/>
                  <w:vAlign w:val="center"/>
                </w:tcPr>
                <w:p w14:paraId="3F1A1A4F">
                  <w:pPr>
                    <w:pStyle w:val="244"/>
                    <w:keepNext w:val="0"/>
                    <w:keepLines w:val="0"/>
                    <w:suppressLineNumbers w:val="0"/>
                    <w:spacing w:before="0" w:beforeAutospacing="0" w:after="0" w:afterAutospacing="0"/>
                    <w:ind w:left="0" w:leftChars="0" w:right="0" w:rightChars="0"/>
                    <w:rPr>
                      <w:rFonts w:hint="default" w:ascii="Times New Roman" w:hAnsi="Times New Roman" w:eastAsia="宋体" w:cs="Times New Roman"/>
                      <w:snapToGrid w:val="0"/>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复合</w:t>
                  </w:r>
                </w:p>
              </w:tc>
              <w:tc>
                <w:tcPr>
                  <w:tcW w:w="540" w:type="dxa"/>
                  <w:shd w:val="clear" w:color="auto" w:fill="auto"/>
                  <w:noWrap w:val="0"/>
                  <w:vAlign w:val="center"/>
                </w:tcPr>
                <w:p w14:paraId="28DC1F7E">
                  <w:pPr>
                    <w:pStyle w:val="244"/>
                    <w:keepNext w:val="0"/>
                    <w:keepLines w:val="0"/>
                    <w:suppressLineNumbers w:val="0"/>
                    <w:spacing w:before="0" w:beforeAutospacing="0" w:after="0" w:afterAutospacing="0"/>
                    <w:ind w:left="0" w:leftChars="0" w:right="0" w:rightChars="0"/>
                    <w:rPr>
                      <w:rFonts w:hint="default" w:ascii="Times New Roman" w:hAnsi="Times New Roman" w:eastAsia="宋体" w:cs="Times New Roman"/>
                      <w:snapToGrid w:val="0"/>
                      <w:color w:val="auto"/>
                      <w:kern w:val="2"/>
                      <w:sz w:val="21"/>
                      <w:szCs w:val="21"/>
                      <w:lang w:val="en-US" w:eastAsia="zh-CN" w:bidi="ar-SA"/>
                    </w:rPr>
                  </w:pPr>
                  <w:r>
                    <w:rPr>
                      <w:rFonts w:hint="default" w:ascii="Times New Roman" w:hAnsi="Times New Roman" w:cs="Times New Roman"/>
                      <w:color w:val="auto"/>
                      <w:sz w:val="21"/>
                      <w:szCs w:val="21"/>
                      <w:lang w:eastAsia="zh-CN"/>
                    </w:rPr>
                    <w:t>固态</w:t>
                  </w:r>
                </w:p>
              </w:tc>
              <w:tc>
                <w:tcPr>
                  <w:tcW w:w="780" w:type="dxa"/>
                  <w:shd w:val="clear" w:color="auto" w:fill="auto"/>
                  <w:noWrap w:val="0"/>
                  <w:vAlign w:val="center"/>
                </w:tcPr>
                <w:p w14:paraId="2927F811">
                  <w:pPr>
                    <w:pStyle w:val="244"/>
                    <w:keepNext w:val="0"/>
                    <w:keepLines w:val="0"/>
                    <w:suppressLineNumbers w:val="0"/>
                    <w:spacing w:before="0" w:beforeAutospacing="0" w:after="0" w:afterAutospacing="0"/>
                    <w:ind w:left="0" w:leftChars="0" w:right="0" w:rightChars="0"/>
                    <w:rPr>
                      <w:rFonts w:hint="default" w:ascii="Times New Roman" w:hAnsi="Times New Roman" w:eastAsia="宋体" w:cs="Times New Roman"/>
                      <w:snapToGrid w:val="0"/>
                      <w:color w:val="auto"/>
                      <w:kern w:val="2"/>
                      <w:sz w:val="21"/>
                      <w:szCs w:val="21"/>
                      <w:lang w:val="en-US" w:eastAsia="zh-CN" w:bidi="ar-SA"/>
                    </w:rPr>
                  </w:pPr>
                  <w:r>
                    <w:rPr>
                      <w:rFonts w:hint="default" w:ascii="Times New Roman" w:hAnsi="Times New Roman" w:cs="Times New Roman"/>
                      <w:color w:val="auto"/>
                      <w:sz w:val="21"/>
                      <w:szCs w:val="21"/>
                      <w:lang w:val="en-US" w:eastAsia="zh-CN"/>
                    </w:rPr>
                    <w:t>不定期</w:t>
                  </w:r>
                </w:p>
              </w:tc>
              <w:tc>
                <w:tcPr>
                  <w:tcW w:w="706" w:type="dxa"/>
                  <w:shd w:val="clear" w:color="auto" w:fill="auto"/>
                  <w:noWrap w:val="0"/>
                  <w:vAlign w:val="center"/>
                </w:tcPr>
                <w:p w14:paraId="0540B8C0">
                  <w:pPr>
                    <w:pStyle w:val="244"/>
                    <w:keepNext w:val="0"/>
                    <w:keepLines w:val="0"/>
                    <w:suppressLineNumbers w:val="0"/>
                    <w:spacing w:before="0" w:beforeAutospacing="0" w:after="0" w:afterAutospacing="0"/>
                    <w:ind w:left="0" w:leftChars="0" w:right="0" w:rightChars="0"/>
                    <w:rPr>
                      <w:rFonts w:hint="default" w:ascii="Times New Roman" w:hAnsi="Times New Roman" w:eastAsia="宋体" w:cs="Times New Roman"/>
                      <w:snapToGrid w:val="0"/>
                      <w:color w:val="auto"/>
                      <w:kern w:val="2"/>
                      <w:sz w:val="21"/>
                      <w:szCs w:val="18"/>
                      <w:lang w:val="en-US" w:eastAsia="zh-CN" w:bidi="ar-SA"/>
                    </w:rPr>
                  </w:pPr>
                  <w:r>
                    <w:rPr>
                      <w:rFonts w:hint="default" w:ascii="Times New Roman" w:hAnsi="Times New Roman" w:cs="Times New Roman"/>
                      <w:b w:val="0"/>
                      <w:color w:val="000000"/>
                      <w:szCs w:val="21"/>
                    </w:rPr>
                    <w:t>1次/</w:t>
                  </w:r>
                  <w:r>
                    <w:rPr>
                      <w:rFonts w:hint="default" w:ascii="Times New Roman" w:hAnsi="Times New Roman" w:cs="Times New Roman"/>
                      <w:b w:val="0"/>
                      <w:color w:val="000000"/>
                      <w:szCs w:val="21"/>
                      <w:lang w:eastAsia="zh-CN"/>
                    </w:rPr>
                    <w:t>季</w:t>
                  </w:r>
                </w:p>
              </w:tc>
              <w:tc>
                <w:tcPr>
                  <w:tcW w:w="733" w:type="dxa"/>
                  <w:shd w:val="clear" w:color="auto" w:fill="auto"/>
                  <w:noWrap w:val="0"/>
                  <w:vAlign w:val="center"/>
                </w:tcPr>
                <w:p w14:paraId="6F014C1B">
                  <w:pPr>
                    <w:pStyle w:val="244"/>
                    <w:keepNext w:val="0"/>
                    <w:keepLines w:val="0"/>
                    <w:suppressLineNumbers w:val="0"/>
                    <w:spacing w:before="0" w:beforeAutospacing="0" w:after="0" w:afterAutospacing="0"/>
                    <w:ind w:left="0" w:leftChars="0" w:right="0" w:rightChars="0"/>
                    <w:rPr>
                      <w:rFonts w:hint="default" w:ascii="Times New Roman" w:hAnsi="Times New Roman" w:eastAsia="宋体" w:cs="Times New Roman"/>
                      <w:b w:val="0"/>
                      <w:snapToGrid w:val="0"/>
                      <w:color w:val="000000"/>
                      <w:kern w:val="2"/>
                      <w:sz w:val="21"/>
                      <w:szCs w:val="21"/>
                      <w:lang w:val="en-US" w:eastAsia="zh-CN" w:bidi="ar-SA"/>
                    </w:rPr>
                  </w:pPr>
                  <w:r>
                    <w:rPr>
                      <w:rFonts w:hint="default" w:cs="Times New Roman"/>
                      <w:b w:val="0"/>
                      <w:color w:val="000000"/>
                      <w:szCs w:val="21"/>
                      <w:lang w:val="en-US" w:eastAsia="zh-CN"/>
                    </w:rPr>
                    <w:t>0.</w:t>
                  </w:r>
                  <w:r>
                    <w:rPr>
                      <w:rFonts w:hint="eastAsia" w:cs="Times New Roman"/>
                      <w:b w:val="0"/>
                      <w:color w:val="000000"/>
                      <w:szCs w:val="21"/>
                      <w:lang w:val="en-US" w:eastAsia="zh-CN"/>
                    </w:rPr>
                    <w:t>25</w:t>
                  </w:r>
                </w:p>
              </w:tc>
              <w:tc>
                <w:tcPr>
                  <w:tcW w:w="571" w:type="dxa"/>
                  <w:shd w:val="clear" w:color="auto" w:fill="auto"/>
                  <w:noWrap w:val="0"/>
                  <w:vAlign w:val="center"/>
                </w:tcPr>
                <w:p w14:paraId="31D79559">
                  <w:pPr>
                    <w:pStyle w:val="244"/>
                    <w:keepNext w:val="0"/>
                    <w:keepLines w:val="0"/>
                    <w:suppressLineNumbers w:val="0"/>
                    <w:spacing w:before="0" w:beforeAutospacing="0" w:after="0" w:afterAutospacing="0"/>
                    <w:ind w:left="0" w:leftChars="0" w:right="0" w:rightChars="0"/>
                    <w:rPr>
                      <w:rFonts w:hint="default" w:ascii="Times New Roman" w:hAnsi="Times New Roman" w:eastAsia="宋体" w:cs="Times New Roman"/>
                      <w:snapToGrid w:val="0"/>
                      <w:color w:val="auto"/>
                      <w:kern w:val="2"/>
                      <w:sz w:val="21"/>
                      <w:szCs w:val="21"/>
                      <w:lang w:val="en-US" w:eastAsia="zh-CN" w:bidi="ar-SA"/>
                    </w:rPr>
                  </w:pPr>
                  <w:r>
                    <w:rPr>
                      <w:rFonts w:hint="default" w:ascii="Times New Roman" w:hAnsi="Times New Roman" w:eastAsia="宋体" w:cs="Times New Roman"/>
                      <w:snapToGrid w:val="0"/>
                      <w:color w:val="auto"/>
                      <w:sz w:val="21"/>
                      <w:szCs w:val="18"/>
                      <w:lang w:eastAsia="zh-CN"/>
                    </w:rPr>
                    <w:t>T</w:t>
                  </w:r>
                  <w:r>
                    <w:rPr>
                      <w:rFonts w:hint="default" w:ascii="Times New Roman" w:hAnsi="Times New Roman" w:eastAsia="宋体" w:cs="Times New Roman"/>
                      <w:snapToGrid w:val="0"/>
                      <w:color w:val="auto"/>
                      <w:sz w:val="21"/>
                      <w:szCs w:val="18"/>
                      <w:lang w:val="en-US" w:eastAsia="zh-CN"/>
                    </w:rPr>
                    <w:t>/</w:t>
                  </w:r>
                  <w:r>
                    <w:rPr>
                      <w:rFonts w:hint="default" w:ascii="Times New Roman" w:hAnsi="Times New Roman" w:eastAsia="宋体" w:cs="Times New Roman"/>
                      <w:snapToGrid w:val="0"/>
                      <w:color w:val="auto"/>
                      <w:sz w:val="21"/>
                      <w:szCs w:val="18"/>
                      <w:lang w:eastAsia="zh-CN"/>
                    </w:rPr>
                    <w:t>In</w:t>
                  </w:r>
                </w:p>
              </w:tc>
            </w:tr>
            <w:tr w14:paraId="20E7BD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4" w:hRule="atLeast"/>
                <w:jc w:val="center"/>
              </w:trPr>
              <w:tc>
                <w:tcPr>
                  <w:tcW w:w="320" w:type="dxa"/>
                  <w:shd w:val="clear" w:color="auto" w:fill="auto"/>
                  <w:noWrap w:val="0"/>
                  <w:vAlign w:val="center"/>
                </w:tcPr>
                <w:p w14:paraId="52882CB2">
                  <w:pPr>
                    <w:pStyle w:val="244"/>
                    <w:keepNext w:val="0"/>
                    <w:keepLines w:val="0"/>
                    <w:suppressLineNumbers w:val="0"/>
                    <w:spacing w:before="0" w:beforeAutospacing="0" w:after="0" w:afterAutospacing="0"/>
                    <w:ind w:left="0" w:leftChars="0" w:right="0" w:rightChars="0"/>
                    <w:rPr>
                      <w:rFonts w:hint="default" w:ascii="Times New Roman" w:hAnsi="Times New Roman" w:eastAsia="宋体" w:cs="Times New Roman"/>
                      <w:snapToGrid w:val="0"/>
                      <w:color w:val="auto"/>
                      <w:kern w:val="2"/>
                      <w:sz w:val="21"/>
                      <w:szCs w:val="21"/>
                      <w:lang w:val="en-US" w:eastAsia="zh-CN" w:bidi="ar-SA"/>
                    </w:rPr>
                  </w:pPr>
                  <w:r>
                    <w:rPr>
                      <w:rFonts w:hint="eastAsia" w:cs="Times New Roman"/>
                      <w:color w:val="auto"/>
                      <w:sz w:val="21"/>
                      <w:szCs w:val="21"/>
                      <w:lang w:val="en-US" w:eastAsia="zh-CN"/>
                    </w:rPr>
                    <w:t>4</w:t>
                  </w:r>
                </w:p>
              </w:tc>
              <w:tc>
                <w:tcPr>
                  <w:tcW w:w="1114" w:type="dxa"/>
                  <w:shd w:val="clear" w:color="auto" w:fill="auto"/>
                  <w:noWrap w:val="0"/>
                  <w:vAlign w:val="center"/>
                </w:tcPr>
                <w:p w14:paraId="7FC47AE2">
                  <w:pPr>
                    <w:pStyle w:val="244"/>
                    <w:keepNext w:val="0"/>
                    <w:keepLines w:val="0"/>
                    <w:suppressLineNumbers w:val="0"/>
                    <w:spacing w:before="0" w:beforeAutospacing="0" w:after="0" w:afterAutospacing="0"/>
                    <w:ind w:left="0" w:leftChars="0" w:right="0" w:rightChars="0"/>
                    <w:rPr>
                      <w:rFonts w:hint="default" w:ascii="Times New Roman" w:hAnsi="Times New Roman" w:eastAsia="宋体" w:cs="Times New Roman"/>
                      <w:snapToGrid w:val="0"/>
                      <w:color w:val="auto"/>
                      <w:kern w:val="2"/>
                      <w:sz w:val="21"/>
                      <w:szCs w:val="21"/>
                      <w:lang w:val="en-US" w:eastAsia="zh-CN" w:bidi="ar-SA"/>
                    </w:rPr>
                  </w:pPr>
                  <w:r>
                    <w:rPr>
                      <w:rFonts w:hint="default" w:ascii="Times New Roman" w:hAnsi="Times New Roman" w:cs="Times New Roman"/>
                      <w:color w:val="auto"/>
                      <w:sz w:val="21"/>
                      <w:szCs w:val="21"/>
                      <w:lang w:val="en-US" w:eastAsia="zh-CN"/>
                    </w:rPr>
                    <w:t>废活性炭</w:t>
                  </w:r>
                </w:p>
              </w:tc>
              <w:tc>
                <w:tcPr>
                  <w:tcW w:w="737" w:type="dxa"/>
                  <w:shd w:val="clear" w:color="auto" w:fill="auto"/>
                  <w:noWrap w:val="0"/>
                  <w:vAlign w:val="center"/>
                </w:tcPr>
                <w:p w14:paraId="51000401">
                  <w:pPr>
                    <w:pStyle w:val="244"/>
                    <w:keepNext w:val="0"/>
                    <w:keepLines w:val="0"/>
                    <w:suppressLineNumbers w:val="0"/>
                    <w:spacing w:before="0" w:beforeAutospacing="0" w:after="0" w:afterAutospacing="0"/>
                    <w:ind w:left="0" w:leftChars="0" w:right="0" w:rightChars="0"/>
                    <w:rPr>
                      <w:rFonts w:hint="default" w:ascii="Times New Roman" w:hAnsi="Times New Roman" w:eastAsia="宋体" w:cs="Times New Roman"/>
                      <w:snapToGrid w:val="0"/>
                      <w:color w:val="auto"/>
                      <w:kern w:val="2"/>
                      <w:sz w:val="21"/>
                      <w:szCs w:val="21"/>
                      <w:lang w:val="en-US" w:eastAsia="zh-CN" w:bidi="ar-SA"/>
                    </w:rPr>
                  </w:pPr>
                  <w:r>
                    <w:rPr>
                      <w:rFonts w:hint="default" w:ascii="Times New Roman" w:hAnsi="Times New Roman" w:eastAsia="宋体" w:cs="Times New Roman"/>
                      <w:color w:val="auto"/>
                      <w:sz w:val="21"/>
                      <w:szCs w:val="21"/>
                      <w:lang w:eastAsia="zh-CN"/>
                    </w:rPr>
                    <w:t>HW49</w:t>
                  </w:r>
                </w:p>
              </w:tc>
              <w:tc>
                <w:tcPr>
                  <w:tcW w:w="1065" w:type="dxa"/>
                  <w:shd w:val="clear" w:color="auto" w:fill="auto"/>
                  <w:noWrap w:val="0"/>
                  <w:vAlign w:val="center"/>
                </w:tcPr>
                <w:p w14:paraId="0D85D58C">
                  <w:pPr>
                    <w:pStyle w:val="244"/>
                    <w:keepNext w:val="0"/>
                    <w:keepLines w:val="0"/>
                    <w:suppressLineNumbers w:val="0"/>
                    <w:spacing w:before="0" w:beforeAutospacing="0" w:after="0" w:afterAutospacing="0"/>
                    <w:ind w:left="0" w:leftChars="0" w:right="0" w:rightChars="0"/>
                    <w:rPr>
                      <w:rFonts w:hint="default" w:ascii="Times New Roman" w:hAnsi="Times New Roman" w:eastAsia="宋体" w:cs="Times New Roman"/>
                      <w:snapToGrid w:val="0"/>
                      <w:color w:val="auto"/>
                      <w:kern w:val="2"/>
                      <w:sz w:val="21"/>
                      <w:szCs w:val="21"/>
                      <w:lang w:val="en-US" w:eastAsia="zh-CN" w:bidi="ar-SA"/>
                    </w:rPr>
                  </w:pPr>
                  <w:r>
                    <w:rPr>
                      <w:rFonts w:hint="default" w:ascii="Times New Roman" w:hAnsi="Times New Roman" w:eastAsia="宋体" w:cs="Times New Roman"/>
                      <w:color w:val="auto"/>
                      <w:sz w:val="21"/>
                      <w:szCs w:val="21"/>
                      <w:lang w:eastAsia="zh-CN"/>
                    </w:rPr>
                    <w:t>900-0</w:t>
                  </w:r>
                  <w:r>
                    <w:rPr>
                      <w:rFonts w:hint="default" w:ascii="Times New Roman" w:hAnsi="Times New Roman" w:eastAsia="宋体" w:cs="Times New Roman"/>
                      <w:color w:val="auto"/>
                      <w:sz w:val="21"/>
                      <w:szCs w:val="21"/>
                      <w:lang w:val="en-US" w:eastAsia="zh-CN"/>
                    </w:rPr>
                    <w:t>39</w:t>
                  </w:r>
                  <w:r>
                    <w:rPr>
                      <w:rFonts w:hint="default" w:ascii="Times New Roman" w:hAnsi="Times New Roman" w:eastAsia="宋体" w:cs="Times New Roman"/>
                      <w:color w:val="auto"/>
                      <w:sz w:val="21"/>
                      <w:szCs w:val="21"/>
                      <w:lang w:eastAsia="zh-CN"/>
                    </w:rPr>
                    <w:t>-49</w:t>
                  </w:r>
                </w:p>
              </w:tc>
              <w:tc>
                <w:tcPr>
                  <w:tcW w:w="750" w:type="dxa"/>
                  <w:shd w:val="clear" w:color="auto" w:fill="auto"/>
                  <w:noWrap w:val="0"/>
                  <w:vAlign w:val="center"/>
                </w:tcPr>
                <w:p w14:paraId="1BAF6AD2">
                  <w:pPr>
                    <w:pStyle w:val="244"/>
                    <w:keepNext w:val="0"/>
                    <w:keepLines w:val="0"/>
                    <w:suppressLineNumbers w:val="0"/>
                    <w:spacing w:before="0" w:beforeAutospacing="0" w:after="0" w:afterAutospacing="0"/>
                    <w:ind w:left="0" w:leftChars="0" w:right="0" w:rightChars="0"/>
                    <w:rPr>
                      <w:rFonts w:hint="default" w:ascii="Times New Roman" w:hAnsi="Times New Roman" w:eastAsia="宋体" w:cs="Times New Roman"/>
                      <w:snapToGrid w:val="0"/>
                      <w:color w:val="auto"/>
                      <w:kern w:val="2"/>
                      <w:sz w:val="21"/>
                      <w:szCs w:val="21"/>
                      <w:lang w:val="en-US" w:eastAsia="zh-CN" w:bidi="ar-SA"/>
                    </w:rPr>
                  </w:pPr>
                  <w:r>
                    <w:rPr>
                      <w:rFonts w:hint="default" w:cs="Times New Roman"/>
                      <w:color w:val="auto"/>
                      <w:sz w:val="21"/>
                      <w:szCs w:val="21"/>
                      <w:lang w:val="en-US" w:eastAsia="zh-CN"/>
                    </w:rPr>
                    <w:t>19.012</w:t>
                  </w:r>
                </w:p>
              </w:tc>
              <w:tc>
                <w:tcPr>
                  <w:tcW w:w="945" w:type="dxa"/>
                  <w:shd w:val="clear" w:color="auto" w:fill="auto"/>
                  <w:noWrap w:val="0"/>
                  <w:vAlign w:val="center"/>
                </w:tcPr>
                <w:p w14:paraId="3A5339AC">
                  <w:pPr>
                    <w:pStyle w:val="244"/>
                    <w:keepNext w:val="0"/>
                    <w:keepLines w:val="0"/>
                    <w:suppressLineNumbers w:val="0"/>
                    <w:spacing w:before="0" w:beforeAutospacing="0" w:after="0" w:afterAutospacing="0"/>
                    <w:ind w:left="0" w:leftChars="0" w:right="0" w:rightChars="0"/>
                    <w:rPr>
                      <w:rFonts w:hint="default" w:ascii="Times New Roman" w:hAnsi="Times New Roman" w:eastAsia="宋体" w:cs="Times New Roman"/>
                      <w:snapToGrid w:val="0"/>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废气治理</w:t>
                  </w:r>
                </w:p>
              </w:tc>
              <w:tc>
                <w:tcPr>
                  <w:tcW w:w="540" w:type="dxa"/>
                  <w:shd w:val="clear" w:color="auto" w:fill="auto"/>
                  <w:noWrap w:val="0"/>
                  <w:vAlign w:val="center"/>
                </w:tcPr>
                <w:p w14:paraId="7813747F">
                  <w:pPr>
                    <w:pStyle w:val="244"/>
                    <w:keepNext w:val="0"/>
                    <w:keepLines w:val="0"/>
                    <w:suppressLineNumbers w:val="0"/>
                    <w:spacing w:before="0" w:beforeAutospacing="0" w:after="0" w:afterAutospacing="0"/>
                    <w:ind w:left="0" w:leftChars="0" w:right="0" w:rightChars="0"/>
                    <w:rPr>
                      <w:rFonts w:hint="default" w:ascii="Times New Roman" w:hAnsi="Times New Roman" w:eastAsia="宋体" w:cs="Times New Roman"/>
                      <w:snapToGrid w:val="0"/>
                      <w:color w:val="auto"/>
                      <w:kern w:val="2"/>
                      <w:sz w:val="21"/>
                      <w:szCs w:val="21"/>
                      <w:lang w:val="en-US" w:eastAsia="zh-CN" w:bidi="ar-SA"/>
                    </w:rPr>
                  </w:pPr>
                  <w:r>
                    <w:rPr>
                      <w:rFonts w:hint="default" w:ascii="Times New Roman" w:hAnsi="Times New Roman" w:cs="Times New Roman"/>
                      <w:color w:val="auto"/>
                      <w:sz w:val="21"/>
                      <w:szCs w:val="21"/>
                    </w:rPr>
                    <w:t>固态</w:t>
                  </w:r>
                </w:p>
              </w:tc>
              <w:tc>
                <w:tcPr>
                  <w:tcW w:w="780" w:type="dxa"/>
                  <w:shd w:val="clear" w:color="auto" w:fill="auto"/>
                  <w:noWrap w:val="0"/>
                  <w:vAlign w:val="center"/>
                </w:tcPr>
                <w:p w14:paraId="18E9373C">
                  <w:pPr>
                    <w:pStyle w:val="244"/>
                    <w:keepNext w:val="0"/>
                    <w:keepLines w:val="0"/>
                    <w:suppressLineNumbers w:val="0"/>
                    <w:spacing w:before="0" w:beforeAutospacing="0" w:after="0" w:afterAutospacing="0"/>
                    <w:ind w:left="0" w:leftChars="0" w:right="0" w:rightChars="0"/>
                    <w:rPr>
                      <w:rFonts w:hint="default" w:ascii="Times New Roman" w:hAnsi="Times New Roman" w:eastAsia="宋体" w:cs="Times New Roman"/>
                      <w:snapToGrid w:val="0"/>
                      <w:color w:val="auto"/>
                      <w:kern w:val="2"/>
                      <w:sz w:val="21"/>
                      <w:szCs w:val="21"/>
                      <w:lang w:val="en-US" w:eastAsia="zh-CN" w:bidi="ar-SA"/>
                    </w:rPr>
                  </w:pPr>
                  <w:r>
                    <w:rPr>
                      <w:rFonts w:hint="default" w:cs="Times New Roman"/>
                      <w:color w:val="auto"/>
                      <w:sz w:val="21"/>
                      <w:szCs w:val="21"/>
                      <w:lang w:val="en-US" w:eastAsia="zh-CN"/>
                    </w:rPr>
                    <w:t>半年</w:t>
                  </w:r>
                </w:p>
              </w:tc>
              <w:tc>
                <w:tcPr>
                  <w:tcW w:w="706" w:type="dxa"/>
                  <w:shd w:val="clear" w:color="auto" w:fill="auto"/>
                  <w:noWrap w:val="0"/>
                  <w:vAlign w:val="center"/>
                </w:tcPr>
                <w:p w14:paraId="35D7FC40">
                  <w:pPr>
                    <w:pStyle w:val="244"/>
                    <w:keepNext w:val="0"/>
                    <w:keepLines w:val="0"/>
                    <w:suppressLineNumbers w:val="0"/>
                    <w:spacing w:before="0" w:beforeAutospacing="0" w:after="0" w:afterAutospacing="0"/>
                    <w:ind w:left="0" w:leftChars="0" w:right="0" w:rightChars="0"/>
                    <w:rPr>
                      <w:rFonts w:hint="default" w:ascii="Times New Roman" w:hAnsi="Times New Roman" w:eastAsia="宋体" w:cs="Times New Roman"/>
                      <w:snapToGrid w:val="0"/>
                      <w:color w:val="auto"/>
                      <w:kern w:val="2"/>
                      <w:sz w:val="21"/>
                      <w:szCs w:val="21"/>
                      <w:lang w:val="en-US" w:eastAsia="zh-CN" w:bidi="ar-SA"/>
                    </w:rPr>
                  </w:pPr>
                  <w:r>
                    <w:rPr>
                      <w:rFonts w:hint="default" w:ascii="Times New Roman" w:hAnsi="Times New Roman" w:cs="Times New Roman"/>
                      <w:b w:val="0"/>
                      <w:color w:val="000000"/>
                      <w:szCs w:val="21"/>
                    </w:rPr>
                    <w:t>1次/</w:t>
                  </w:r>
                  <w:r>
                    <w:rPr>
                      <w:rFonts w:hint="default" w:cs="Times New Roman"/>
                      <w:b w:val="0"/>
                      <w:color w:val="000000"/>
                      <w:szCs w:val="21"/>
                      <w:lang w:eastAsia="zh-CN"/>
                    </w:rPr>
                    <w:t>半年</w:t>
                  </w:r>
                </w:p>
              </w:tc>
              <w:tc>
                <w:tcPr>
                  <w:tcW w:w="733" w:type="dxa"/>
                  <w:shd w:val="clear" w:color="auto" w:fill="auto"/>
                  <w:noWrap w:val="0"/>
                  <w:vAlign w:val="center"/>
                </w:tcPr>
                <w:p w14:paraId="4A2AC8D6">
                  <w:pPr>
                    <w:pStyle w:val="244"/>
                    <w:keepNext w:val="0"/>
                    <w:keepLines w:val="0"/>
                    <w:suppressLineNumbers w:val="0"/>
                    <w:spacing w:before="0" w:beforeAutospacing="0" w:after="0" w:afterAutospacing="0"/>
                    <w:ind w:left="0" w:leftChars="0" w:right="0" w:rightChars="0"/>
                    <w:rPr>
                      <w:rFonts w:hint="default" w:ascii="Times New Roman" w:hAnsi="Times New Roman" w:eastAsia="宋体" w:cs="Times New Roman"/>
                      <w:b w:val="0"/>
                      <w:snapToGrid w:val="0"/>
                      <w:color w:val="000000"/>
                      <w:kern w:val="2"/>
                      <w:sz w:val="21"/>
                      <w:szCs w:val="21"/>
                      <w:lang w:val="en-US" w:eastAsia="zh-CN" w:bidi="ar-SA"/>
                    </w:rPr>
                  </w:pPr>
                  <w:r>
                    <w:rPr>
                      <w:rFonts w:hint="default" w:cs="Times New Roman"/>
                      <w:b w:val="0"/>
                      <w:color w:val="000000"/>
                      <w:szCs w:val="21"/>
                      <w:lang w:val="en-US" w:eastAsia="zh-CN"/>
                    </w:rPr>
                    <w:t>9.506</w:t>
                  </w:r>
                </w:p>
              </w:tc>
              <w:tc>
                <w:tcPr>
                  <w:tcW w:w="571" w:type="dxa"/>
                  <w:shd w:val="clear" w:color="auto" w:fill="auto"/>
                  <w:noWrap w:val="0"/>
                  <w:vAlign w:val="center"/>
                </w:tcPr>
                <w:p w14:paraId="0C35C9D4">
                  <w:pPr>
                    <w:pStyle w:val="244"/>
                    <w:keepNext w:val="0"/>
                    <w:keepLines w:val="0"/>
                    <w:suppressLineNumbers w:val="0"/>
                    <w:spacing w:before="0" w:beforeAutospacing="0" w:after="0" w:afterAutospacing="0"/>
                    <w:ind w:left="0" w:leftChars="0" w:right="0" w:rightChars="0"/>
                    <w:rPr>
                      <w:rFonts w:hint="default" w:ascii="Times New Roman" w:hAnsi="Times New Roman" w:eastAsia="宋体" w:cs="Times New Roman"/>
                      <w:snapToGrid w:val="0"/>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T</w:t>
                  </w:r>
                </w:p>
              </w:tc>
            </w:tr>
            <w:tr w14:paraId="5F5AB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4" w:hRule="atLeast"/>
                <w:jc w:val="center"/>
              </w:trPr>
              <w:tc>
                <w:tcPr>
                  <w:tcW w:w="320" w:type="dxa"/>
                  <w:shd w:val="clear" w:color="auto" w:fill="auto"/>
                  <w:noWrap w:val="0"/>
                  <w:vAlign w:val="center"/>
                </w:tcPr>
                <w:p w14:paraId="22218CF0">
                  <w:pPr>
                    <w:pStyle w:val="244"/>
                    <w:keepNext w:val="0"/>
                    <w:keepLines w:val="0"/>
                    <w:suppressLineNumbers w:val="0"/>
                    <w:spacing w:before="0" w:beforeAutospacing="0" w:after="0" w:afterAutospacing="0"/>
                    <w:ind w:left="0" w:leftChars="0" w:right="0" w:rightChars="0"/>
                    <w:rPr>
                      <w:rFonts w:hint="default" w:ascii="Times New Roman" w:hAnsi="Times New Roman" w:eastAsia="宋体" w:cs="Times New Roman"/>
                      <w:snapToGrid w:val="0"/>
                      <w:color w:val="auto"/>
                      <w:kern w:val="2"/>
                      <w:sz w:val="21"/>
                      <w:szCs w:val="21"/>
                      <w:lang w:val="en-US" w:eastAsia="zh-CN" w:bidi="ar-SA"/>
                    </w:rPr>
                  </w:pPr>
                  <w:r>
                    <w:rPr>
                      <w:rFonts w:hint="eastAsia" w:cs="Times New Roman"/>
                      <w:color w:val="auto"/>
                      <w:sz w:val="21"/>
                      <w:szCs w:val="21"/>
                      <w:lang w:val="en-US" w:eastAsia="zh-CN"/>
                    </w:rPr>
                    <w:t>5</w:t>
                  </w:r>
                </w:p>
              </w:tc>
              <w:tc>
                <w:tcPr>
                  <w:tcW w:w="1114" w:type="dxa"/>
                  <w:shd w:val="clear" w:color="auto" w:fill="auto"/>
                  <w:noWrap w:val="0"/>
                  <w:vAlign w:val="center"/>
                </w:tcPr>
                <w:p w14:paraId="25D7BDC7">
                  <w:pPr>
                    <w:pStyle w:val="244"/>
                    <w:keepNext w:val="0"/>
                    <w:keepLines w:val="0"/>
                    <w:suppressLineNumbers w:val="0"/>
                    <w:spacing w:before="0" w:beforeAutospacing="0" w:after="0" w:afterAutospacing="0"/>
                    <w:ind w:left="0" w:leftChars="0" w:right="0" w:rightChars="0"/>
                    <w:rPr>
                      <w:rFonts w:hint="default" w:ascii="Times New Roman" w:hAnsi="Times New Roman" w:eastAsia="宋体" w:cs="Times New Roman"/>
                      <w:snapToGrid w:val="0"/>
                      <w:color w:val="auto"/>
                      <w:kern w:val="2"/>
                      <w:sz w:val="21"/>
                      <w:szCs w:val="21"/>
                      <w:lang w:val="en-US" w:eastAsia="zh-CN" w:bidi="ar-SA"/>
                    </w:rPr>
                  </w:pPr>
                  <w:r>
                    <w:rPr>
                      <w:rFonts w:hint="default" w:ascii="Times New Roman" w:hAnsi="Times New Roman" w:cs="Times New Roman"/>
                      <w:color w:val="auto"/>
                      <w:sz w:val="21"/>
                      <w:szCs w:val="21"/>
                      <w:lang w:val="en-US" w:eastAsia="zh-CN"/>
                    </w:rPr>
                    <w:t>废过滤介质</w:t>
                  </w:r>
                </w:p>
              </w:tc>
              <w:tc>
                <w:tcPr>
                  <w:tcW w:w="737" w:type="dxa"/>
                  <w:shd w:val="clear" w:color="auto" w:fill="auto"/>
                  <w:noWrap w:val="0"/>
                  <w:vAlign w:val="center"/>
                </w:tcPr>
                <w:p w14:paraId="01F79886">
                  <w:pPr>
                    <w:pStyle w:val="244"/>
                    <w:keepNext w:val="0"/>
                    <w:keepLines w:val="0"/>
                    <w:suppressLineNumbers w:val="0"/>
                    <w:spacing w:before="0" w:beforeAutospacing="0" w:after="0" w:afterAutospacing="0"/>
                    <w:ind w:left="0" w:leftChars="0" w:right="0" w:rightChars="0"/>
                    <w:rPr>
                      <w:rFonts w:hint="default" w:ascii="Times New Roman" w:hAnsi="Times New Roman" w:eastAsia="宋体" w:cs="Times New Roman"/>
                      <w:snapToGrid w:val="0"/>
                      <w:color w:val="auto"/>
                      <w:kern w:val="2"/>
                      <w:sz w:val="21"/>
                      <w:szCs w:val="21"/>
                      <w:lang w:val="en-US" w:eastAsia="zh-CN" w:bidi="ar-SA"/>
                    </w:rPr>
                  </w:pPr>
                  <w:r>
                    <w:rPr>
                      <w:rFonts w:hint="default" w:ascii="Times New Roman" w:hAnsi="Times New Roman" w:cs="Times New Roman"/>
                      <w:color w:val="auto"/>
                      <w:sz w:val="21"/>
                      <w:szCs w:val="21"/>
                    </w:rPr>
                    <w:t>HW</w:t>
                  </w:r>
                  <w:r>
                    <w:rPr>
                      <w:rFonts w:hint="default" w:ascii="Times New Roman" w:hAnsi="Times New Roman" w:cs="Times New Roman"/>
                      <w:color w:val="auto"/>
                      <w:sz w:val="21"/>
                      <w:szCs w:val="21"/>
                      <w:lang w:val="en-US" w:eastAsia="zh-CN"/>
                    </w:rPr>
                    <w:t>49</w:t>
                  </w:r>
                </w:p>
              </w:tc>
              <w:tc>
                <w:tcPr>
                  <w:tcW w:w="1065" w:type="dxa"/>
                  <w:shd w:val="clear" w:color="auto" w:fill="auto"/>
                  <w:noWrap w:val="0"/>
                  <w:vAlign w:val="center"/>
                </w:tcPr>
                <w:p w14:paraId="0BA8E26C">
                  <w:pPr>
                    <w:pStyle w:val="244"/>
                    <w:keepNext w:val="0"/>
                    <w:keepLines w:val="0"/>
                    <w:suppressLineNumbers w:val="0"/>
                    <w:spacing w:before="0" w:beforeAutospacing="0" w:after="0" w:afterAutospacing="0"/>
                    <w:ind w:left="0" w:leftChars="0" w:right="0" w:rightChars="0"/>
                    <w:rPr>
                      <w:rFonts w:hint="default" w:ascii="Times New Roman" w:hAnsi="Times New Roman" w:eastAsia="宋体" w:cs="Times New Roman"/>
                      <w:snapToGrid w:val="0"/>
                      <w:color w:val="auto"/>
                      <w:kern w:val="2"/>
                      <w:sz w:val="21"/>
                      <w:szCs w:val="21"/>
                      <w:lang w:val="en-US" w:eastAsia="zh-CN" w:bidi="ar-SA"/>
                    </w:rPr>
                  </w:pPr>
                  <w:r>
                    <w:rPr>
                      <w:rFonts w:hint="default" w:ascii="Times New Roman" w:hAnsi="Times New Roman" w:cs="Times New Roman"/>
                      <w:color w:val="auto"/>
                      <w:sz w:val="21"/>
                      <w:szCs w:val="21"/>
                    </w:rPr>
                    <w:t>900-</w:t>
                  </w:r>
                  <w:r>
                    <w:rPr>
                      <w:rFonts w:hint="default" w:ascii="Times New Roman" w:hAnsi="Times New Roman" w:cs="Times New Roman"/>
                      <w:color w:val="auto"/>
                      <w:sz w:val="21"/>
                      <w:szCs w:val="21"/>
                      <w:lang w:val="en-US" w:eastAsia="zh-CN"/>
                    </w:rPr>
                    <w:t>041</w:t>
                  </w:r>
                  <w:r>
                    <w:rPr>
                      <w:rFonts w:hint="default" w:ascii="Times New Roman" w:hAnsi="Times New Roman" w:cs="Times New Roman"/>
                      <w:color w:val="auto"/>
                      <w:sz w:val="21"/>
                      <w:szCs w:val="21"/>
                    </w:rPr>
                    <w:t>-</w:t>
                  </w:r>
                  <w:r>
                    <w:rPr>
                      <w:rFonts w:hint="default" w:ascii="Times New Roman" w:hAnsi="Times New Roman" w:cs="Times New Roman"/>
                      <w:color w:val="auto"/>
                      <w:sz w:val="21"/>
                      <w:szCs w:val="21"/>
                      <w:lang w:val="en-US" w:eastAsia="zh-CN"/>
                    </w:rPr>
                    <w:t>49</w:t>
                  </w:r>
                </w:p>
              </w:tc>
              <w:tc>
                <w:tcPr>
                  <w:tcW w:w="750" w:type="dxa"/>
                  <w:shd w:val="clear" w:color="auto" w:fill="auto"/>
                  <w:noWrap w:val="0"/>
                  <w:vAlign w:val="center"/>
                </w:tcPr>
                <w:p w14:paraId="11001609">
                  <w:pPr>
                    <w:pStyle w:val="244"/>
                    <w:keepNext w:val="0"/>
                    <w:keepLines w:val="0"/>
                    <w:suppressLineNumbers w:val="0"/>
                    <w:spacing w:before="0" w:beforeAutospacing="0" w:after="0" w:afterAutospacing="0"/>
                    <w:ind w:left="0" w:leftChars="0" w:right="0" w:rightChars="0"/>
                    <w:rPr>
                      <w:rFonts w:hint="default" w:ascii="Times New Roman" w:hAnsi="Times New Roman" w:eastAsia="宋体" w:cs="Times New Roman"/>
                      <w:snapToGrid w:val="0"/>
                      <w:color w:val="auto"/>
                      <w:kern w:val="2"/>
                      <w:sz w:val="21"/>
                      <w:szCs w:val="21"/>
                      <w:lang w:val="en-US" w:eastAsia="zh-CN" w:bidi="ar-SA"/>
                    </w:rPr>
                  </w:pPr>
                  <w:r>
                    <w:rPr>
                      <w:rFonts w:hint="default" w:cs="Times New Roman"/>
                      <w:color w:val="auto"/>
                      <w:sz w:val="21"/>
                      <w:szCs w:val="21"/>
                      <w:lang w:val="en-US" w:eastAsia="zh-CN"/>
                    </w:rPr>
                    <w:t>0.1</w:t>
                  </w:r>
                </w:p>
              </w:tc>
              <w:tc>
                <w:tcPr>
                  <w:tcW w:w="945" w:type="dxa"/>
                  <w:shd w:val="clear" w:color="auto" w:fill="auto"/>
                  <w:noWrap w:val="0"/>
                  <w:vAlign w:val="center"/>
                </w:tcPr>
                <w:p w14:paraId="664BF9DD">
                  <w:pPr>
                    <w:pStyle w:val="244"/>
                    <w:keepNext w:val="0"/>
                    <w:keepLines w:val="0"/>
                    <w:suppressLineNumbers w:val="0"/>
                    <w:spacing w:before="0" w:beforeAutospacing="0" w:after="0" w:afterAutospacing="0"/>
                    <w:ind w:left="0" w:leftChars="0" w:right="0" w:rightChars="0"/>
                    <w:rPr>
                      <w:rFonts w:hint="default" w:ascii="Times New Roman" w:hAnsi="Times New Roman" w:eastAsia="宋体" w:cs="Times New Roman"/>
                      <w:snapToGrid w:val="0"/>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洁净车间空气过滤器</w:t>
                  </w:r>
                </w:p>
              </w:tc>
              <w:tc>
                <w:tcPr>
                  <w:tcW w:w="540" w:type="dxa"/>
                  <w:shd w:val="clear" w:color="auto" w:fill="auto"/>
                  <w:noWrap w:val="0"/>
                  <w:vAlign w:val="center"/>
                </w:tcPr>
                <w:p w14:paraId="04ED43D2">
                  <w:pPr>
                    <w:pStyle w:val="244"/>
                    <w:keepNext w:val="0"/>
                    <w:keepLines w:val="0"/>
                    <w:suppressLineNumbers w:val="0"/>
                    <w:spacing w:before="0" w:beforeAutospacing="0" w:after="0" w:afterAutospacing="0"/>
                    <w:ind w:left="0" w:leftChars="0" w:right="0" w:rightChars="0"/>
                    <w:rPr>
                      <w:rFonts w:hint="default" w:ascii="Times New Roman" w:hAnsi="Times New Roman" w:eastAsia="宋体" w:cs="Times New Roman"/>
                      <w:snapToGrid w:val="0"/>
                      <w:color w:val="auto"/>
                      <w:kern w:val="2"/>
                      <w:sz w:val="21"/>
                      <w:szCs w:val="21"/>
                      <w:lang w:val="en-US" w:eastAsia="zh-CN" w:bidi="ar-SA"/>
                    </w:rPr>
                  </w:pPr>
                  <w:r>
                    <w:rPr>
                      <w:rFonts w:hint="default" w:ascii="Times New Roman" w:hAnsi="Times New Roman" w:cs="Times New Roman"/>
                      <w:color w:val="auto"/>
                      <w:sz w:val="21"/>
                      <w:szCs w:val="21"/>
                      <w:lang w:eastAsia="zh-CN"/>
                    </w:rPr>
                    <w:t>固态</w:t>
                  </w:r>
                </w:p>
              </w:tc>
              <w:tc>
                <w:tcPr>
                  <w:tcW w:w="780" w:type="dxa"/>
                  <w:shd w:val="clear" w:color="auto" w:fill="auto"/>
                  <w:noWrap w:val="0"/>
                  <w:vAlign w:val="center"/>
                </w:tcPr>
                <w:p w14:paraId="52AF21EE">
                  <w:pPr>
                    <w:pStyle w:val="244"/>
                    <w:keepNext w:val="0"/>
                    <w:keepLines w:val="0"/>
                    <w:suppressLineNumbers w:val="0"/>
                    <w:spacing w:before="0" w:beforeAutospacing="0" w:after="0" w:afterAutospacing="0"/>
                    <w:ind w:left="0" w:leftChars="0" w:right="0" w:rightChars="0"/>
                    <w:rPr>
                      <w:rFonts w:hint="default" w:ascii="Times New Roman" w:hAnsi="Times New Roman" w:eastAsia="宋体" w:cs="Times New Roman"/>
                      <w:snapToGrid w:val="0"/>
                      <w:color w:val="auto"/>
                      <w:kern w:val="2"/>
                      <w:sz w:val="21"/>
                      <w:szCs w:val="21"/>
                      <w:lang w:val="en-US" w:eastAsia="zh-CN" w:bidi="ar-SA"/>
                    </w:rPr>
                  </w:pPr>
                  <w:r>
                    <w:rPr>
                      <w:rFonts w:hint="default" w:ascii="Times New Roman" w:hAnsi="Times New Roman" w:cs="Times New Roman"/>
                      <w:color w:val="auto"/>
                      <w:sz w:val="21"/>
                      <w:szCs w:val="21"/>
                      <w:lang w:val="en-US" w:eastAsia="zh-CN"/>
                    </w:rPr>
                    <w:t>年</w:t>
                  </w:r>
                </w:p>
              </w:tc>
              <w:tc>
                <w:tcPr>
                  <w:tcW w:w="706" w:type="dxa"/>
                  <w:shd w:val="clear" w:color="auto" w:fill="auto"/>
                  <w:noWrap w:val="0"/>
                  <w:vAlign w:val="center"/>
                </w:tcPr>
                <w:p w14:paraId="44B9727B">
                  <w:pPr>
                    <w:pStyle w:val="244"/>
                    <w:keepNext w:val="0"/>
                    <w:keepLines w:val="0"/>
                    <w:suppressLineNumbers w:val="0"/>
                    <w:spacing w:before="0" w:beforeAutospacing="0" w:after="0" w:afterAutospacing="0"/>
                    <w:ind w:left="0" w:leftChars="0" w:right="0" w:rightChars="0"/>
                    <w:rPr>
                      <w:rFonts w:hint="default" w:ascii="Times New Roman" w:hAnsi="Times New Roman" w:eastAsia="宋体" w:cs="Times New Roman"/>
                      <w:snapToGrid w:val="0"/>
                      <w:color w:val="auto"/>
                      <w:kern w:val="2"/>
                      <w:sz w:val="21"/>
                      <w:szCs w:val="18"/>
                      <w:lang w:val="en-US" w:eastAsia="zh-CN" w:bidi="ar-SA"/>
                    </w:rPr>
                  </w:pPr>
                  <w:r>
                    <w:rPr>
                      <w:rFonts w:hint="default" w:ascii="Times New Roman" w:hAnsi="Times New Roman" w:cs="Times New Roman"/>
                      <w:b w:val="0"/>
                      <w:color w:val="000000"/>
                      <w:szCs w:val="21"/>
                    </w:rPr>
                    <w:t>1次/</w:t>
                  </w:r>
                  <w:r>
                    <w:rPr>
                      <w:rFonts w:hint="default" w:ascii="Times New Roman" w:hAnsi="Times New Roman" w:cs="Times New Roman"/>
                      <w:b w:val="0"/>
                      <w:color w:val="000000"/>
                      <w:szCs w:val="21"/>
                      <w:lang w:eastAsia="zh-CN"/>
                    </w:rPr>
                    <w:t>年</w:t>
                  </w:r>
                </w:p>
              </w:tc>
              <w:tc>
                <w:tcPr>
                  <w:tcW w:w="733" w:type="dxa"/>
                  <w:shd w:val="clear" w:color="auto" w:fill="auto"/>
                  <w:noWrap w:val="0"/>
                  <w:vAlign w:val="center"/>
                </w:tcPr>
                <w:p w14:paraId="633BDAE5">
                  <w:pPr>
                    <w:pStyle w:val="244"/>
                    <w:keepNext w:val="0"/>
                    <w:keepLines w:val="0"/>
                    <w:suppressLineNumbers w:val="0"/>
                    <w:spacing w:before="0" w:beforeAutospacing="0" w:after="0" w:afterAutospacing="0"/>
                    <w:ind w:left="0" w:leftChars="0" w:right="0" w:rightChars="0"/>
                    <w:rPr>
                      <w:rFonts w:hint="default" w:ascii="Times New Roman" w:hAnsi="Times New Roman" w:eastAsia="宋体" w:cs="Times New Roman"/>
                      <w:b w:val="0"/>
                      <w:snapToGrid w:val="0"/>
                      <w:color w:val="000000"/>
                      <w:kern w:val="2"/>
                      <w:sz w:val="21"/>
                      <w:szCs w:val="21"/>
                      <w:lang w:val="en-US" w:eastAsia="zh-CN" w:bidi="ar-SA"/>
                    </w:rPr>
                  </w:pPr>
                  <w:r>
                    <w:rPr>
                      <w:rFonts w:hint="default" w:cs="Times New Roman"/>
                      <w:b w:val="0"/>
                      <w:color w:val="000000"/>
                      <w:szCs w:val="21"/>
                      <w:lang w:val="en-US" w:eastAsia="zh-CN"/>
                    </w:rPr>
                    <w:t>0.1</w:t>
                  </w:r>
                </w:p>
              </w:tc>
              <w:tc>
                <w:tcPr>
                  <w:tcW w:w="571" w:type="dxa"/>
                  <w:shd w:val="clear" w:color="auto" w:fill="auto"/>
                  <w:noWrap w:val="0"/>
                  <w:vAlign w:val="center"/>
                </w:tcPr>
                <w:p w14:paraId="65640C23">
                  <w:pPr>
                    <w:pStyle w:val="244"/>
                    <w:keepNext w:val="0"/>
                    <w:keepLines w:val="0"/>
                    <w:suppressLineNumbers w:val="0"/>
                    <w:spacing w:before="0" w:beforeAutospacing="0" w:after="0" w:afterAutospacing="0"/>
                    <w:ind w:left="0" w:leftChars="0" w:right="0" w:rightChars="0"/>
                    <w:rPr>
                      <w:rFonts w:hint="default" w:ascii="Times New Roman" w:hAnsi="Times New Roman" w:eastAsia="宋体" w:cs="Times New Roman"/>
                      <w:snapToGrid w:val="0"/>
                      <w:color w:val="auto"/>
                      <w:kern w:val="2"/>
                      <w:sz w:val="21"/>
                      <w:szCs w:val="21"/>
                      <w:lang w:val="en-US" w:eastAsia="zh-CN" w:bidi="ar-SA"/>
                    </w:rPr>
                  </w:pPr>
                  <w:r>
                    <w:rPr>
                      <w:rFonts w:hint="default" w:ascii="Times New Roman" w:hAnsi="Times New Roman" w:eastAsia="宋体" w:cs="Times New Roman"/>
                      <w:snapToGrid w:val="0"/>
                      <w:color w:val="auto"/>
                      <w:sz w:val="21"/>
                      <w:szCs w:val="18"/>
                      <w:lang w:eastAsia="zh-CN"/>
                    </w:rPr>
                    <w:t>T</w:t>
                  </w:r>
                  <w:r>
                    <w:rPr>
                      <w:rFonts w:hint="default" w:ascii="Times New Roman" w:hAnsi="Times New Roman" w:eastAsia="宋体" w:cs="Times New Roman"/>
                      <w:snapToGrid w:val="0"/>
                      <w:color w:val="auto"/>
                      <w:sz w:val="21"/>
                      <w:szCs w:val="18"/>
                      <w:lang w:val="en-US" w:eastAsia="zh-CN"/>
                    </w:rPr>
                    <w:t>/</w:t>
                  </w:r>
                  <w:r>
                    <w:rPr>
                      <w:rFonts w:hint="default" w:ascii="Times New Roman" w:hAnsi="Times New Roman" w:eastAsia="宋体" w:cs="Times New Roman"/>
                      <w:snapToGrid w:val="0"/>
                      <w:color w:val="auto"/>
                      <w:sz w:val="21"/>
                      <w:szCs w:val="18"/>
                      <w:lang w:eastAsia="zh-CN"/>
                    </w:rPr>
                    <w:t>In</w:t>
                  </w:r>
                </w:p>
              </w:tc>
            </w:tr>
          </w:tbl>
          <w:p w14:paraId="36DA3E6C">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firstLine="532" w:firstLineChars="222"/>
              <w:textAlignment w:val="auto"/>
              <w:rPr>
                <w:rFonts w:hint="default" w:ascii="Times New Roman" w:hAnsi="Times New Roman" w:eastAsia="宋体" w:cs="Times New Roman"/>
                <w:bCs/>
                <w:color w:val="auto"/>
                <w:sz w:val="24"/>
                <w:szCs w:val="24"/>
              </w:rPr>
            </w:pPr>
            <w:r>
              <w:rPr>
                <w:rFonts w:hint="default" w:ascii="Times New Roman" w:hAnsi="Times New Roman" w:eastAsia="宋体" w:cs="Times New Roman"/>
                <w:color w:val="auto"/>
                <w:sz w:val="24"/>
                <w:szCs w:val="24"/>
                <w:lang w:val="en-US" w:eastAsia="zh-CN"/>
              </w:rPr>
              <w:t>①</w:t>
            </w:r>
            <w:r>
              <w:rPr>
                <w:rFonts w:hint="default" w:ascii="Times New Roman" w:hAnsi="Times New Roman" w:eastAsia="宋体" w:cs="Times New Roman"/>
                <w:bCs/>
                <w:color w:val="auto"/>
                <w:sz w:val="24"/>
                <w:szCs w:val="24"/>
              </w:rPr>
              <w:t>危险废物贮存场所（设施）环境影响分析</w:t>
            </w:r>
          </w:p>
          <w:p w14:paraId="6181BB30">
            <w:pPr>
              <w:pStyle w:val="1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本项目产生的危险废物暂存</w:t>
            </w:r>
            <w:r>
              <w:rPr>
                <w:rFonts w:hint="default" w:ascii="Times New Roman" w:hAnsi="Times New Roman" w:eastAsia="宋体" w:cs="Times New Roman"/>
                <w:color w:val="auto"/>
                <w:sz w:val="24"/>
                <w:szCs w:val="24"/>
                <w:lang w:eastAsia="zh-CN"/>
              </w:rPr>
              <w:t>依托现有工程</w:t>
            </w:r>
            <w:r>
              <w:rPr>
                <w:rFonts w:hint="default" w:ascii="Times New Roman" w:hAnsi="Times New Roman" w:eastAsia="宋体" w:cs="Times New Roman"/>
                <w:color w:val="auto"/>
                <w:sz w:val="24"/>
                <w:szCs w:val="24"/>
                <w:highlight w:val="none"/>
              </w:rPr>
              <w:t>危废暂存间（</w:t>
            </w:r>
            <w:r>
              <w:rPr>
                <w:rFonts w:hint="default" w:ascii="Times New Roman" w:hAnsi="Times New Roman" w:eastAsia="宋体" w:cs="Times New Roman"/>
                <w:color w:val="auto"/>
                <w:sz w:val="24"/>
                <w:szCs w:val="24"/>
                <w:highlight w:val="none"/>
                <w:lang w:val="en-US" w:eastAsia="zh-CN"/>
              </w:rPr>
              <w:t>30</w:t>
            </w:r>
            <w:r>
              <w:rPr>
                <w:rFonts w:hint="default" w:ascii="Times New Roman" w:hAnsi="Times New Roman" w:eastAsia="宋体" w:cs="Times New Roman"/>
                <w:color w:val="auto"/>
                <w:sz w:val="24"/>
                <w:szCs w:val="24"/>
                <w:highlight w:val="none"/>
              </w:rPr>
              <w:t>m</w:t>
            </w:r>
            <w:r>
              <w:rPr>
                <w:rFonts w:hint="default" w:ascii="Times New Roman" w:hAnsi="Times New Roman" w:eastAsia="宋体" w:cs="Times New Roman"/>
                <w:color w:val="auto"/>
                <w:sz w:val="24"/>
                <w:szCs w:val="24"/>
                <w:highlight w:val="none"/>
                <w:vertAlign w:val="superscript"/>
              </w:rPr>
              <w:t>2</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sz w:val="24"/>
                <w:szCs w:val="24"/>
                <w:highlight w:val="none"/>
                <w:lang w:eastAsia="zh-CN"/>
              </w:rPr>
              <w:t>现有工程危废间</w:t>
            </w:r>
            <w:r>
              <w:rPr>
                <w:rFonts w:hint="default" w:ascii="Times New Roman" w:hAnsi="Times New Roman" w:eastAsia="宋体" w:cs="Times New Roman"/>
                <w:color w:val="auto"/>
                <w:sz w:val="24"/>
                <w:szCs w:val="24"/>
              </w:rPr>
              <w:t>按照《危险废物贮存污染控制标准》（GB18597-20</w:t>
            </w:r>
            <w:r>
              <w:rPr>
                <w:rFonts w:hint="default" w:ascii="Times New Roman" w:hAnsi="Times New Roman" w:eastAsia="宋体" w:cs="Times New Roman"/>
                <w:color w:val="auto"/>
                <w:sz w:val="24"/>
                <w:szCs w:val="24"/>
                <w:lang w:val="en-US" w:eastAsia="zh-CN"/>
              </w:rPr>
              <w:t>23</w:t>
            </w:r>
            <w:r>
              <w:rPr>
                <w:rFonts w:hint="default" w:ascii="Times New Roman" w:hAnsi="Times New Roman" w:eastAsia="宋体" w:cs="Times New Roman"/>
                <w:color w:val="auto"/>
                <w:sz w:val="24"/>
                <w:szCs w:val="24"/>
              </w:rPr>
              <w:t>）的要求</w:t>
            </w:r>
            <w:r>
              <w:rPr>
                <w:rFonts w:hint="default" w:ascii="Times New Roman" w:hAnsi="Times New Roman" w:eastAsia="宋体" w:cs="Times New Roman"/>
                <w:color w:val="auto"/>
                <w:sz w:val="24"/>
                <w:szCs w:val="24"/>
                <w:lang w:eastAsia="zh-CN"/>
              </w:rPr>
              <w:t>建设</w:t>
            </w:r>
            <w:r>
              <w:rPr>
                <w:rFonts w:hint="default" w:ascii="Times New Roman" w:hAnsi="Times New Roman" w:eastAsia="宋体" w:cs="Times New Roman"/>
                <w:color w:val="auto"/>
                <w:sz w:val="24"/>
                <w:szCs w:val="24"/>
              </w:rPr>
              <w:t>。危废暂存间具备防风、防雨、防晒措施，地面</w:t>
            </w:r>
            <w:r>
              <w:rPr>
                <w:rFonts w:hint="default" w:ascii="Times New Roman" w:hAnsi="Times New Roman" w:eastAsia="宋体" w:cs="Times New Roman"/>
                <w:sz w:val="24"/>
                <w:szCs w:val="24"/>
              </w:rPr>
              <w:t>防渗、耐腐蚀，地面无裂隙，设置</w:t>
            </w:r>
            <w:r>
              <w:rPr>
                <w:rFonts w:hint="default" w:ascii="Times New Roman" w:hAnsi="Times New Roman" w:eastAsia="宋体" w:cs="Times New Roman"/>
                <w:sz w:val="24"/>
                <w:szCs w:val="24"/>
                <w:lang w:eastAsia="zh-CN"/>
              </w:rPr>
              <w:t>了</w:t>
            </w:r>
            <w:r>
              <w:rPr>
                <w:rFonts w:hint="default" w:ascii="Times New Roman" w:hAnsi="Times New Roman" w:eastAsia="宋体" w:cs="Times New Roman"/>
                <w:sz w:val="24"/>
                <w:szCs w:val="24"/>
              </w:rPr>
              <w:t>明显的危废标志牌，危废用专用容器收集后放置于暂存间内，贮放期间危废暂存间封闭，贮放危废容器应及时加盖或封闭。危废间</w:t>
            </w:r>
            <w:r>
              <w:rPr>
                <w:rFonts w:hint="default" w:ascii="Times New Roman" w:hAnsi="Times New Roman" w:eastAsia="宋体" w:cs="Times New Roman"/>
                <w:sz w:val="24"/>
                <w:szCs w:val="24"/>
                <w:lang w:eastAsia="zh-CN"/>
              </w:rPr>
              <w:t>已</w:t>
            </w:r>
            <w:r>
              <w:rPr>
                <w:rFonts w:hint="default" w:ascii="Times New Roman" w:hAnsi="Times New Roman" w:eastAsia="宋体" w:cs="Times New Roman"/>
                <w:sz w:val="24"/>
                <w:szCs w:val="24"/>
              </w:rPr>
              <w:t>采取以下防渗措施：</w:t>
            </w:r>
            <w:r>
              <w:rPr>
                <w:rFonts w:hint="default" w:ascii="Times New Roman" w:hAnsi="Times New Roman" w:eastAsia="宋体" w:cs="Times New Roman"/>
                <w:color w:val="auto"/>
                <w:sz w:val="24"/>
                <w:szCs w:val="24"/>
              </w:rPr>
              <w:t>地面底层采用三合土压实，中间层铺耐酸水泥，上层采用环氧地坪胶刷涂层，做到表面无裂隙，防渗系数≤1×10</w:t>
            </w:r>
            <w:r>
              <w:rPr>
                <w:rFonts w:hint="default" w:ascii="Times New Roman" w:hAnsi="Times New Roman" w:eastAsia="宋体" w:cs="Times New Roman"/>
                <w:color w:val="auto"/>
                <w:sz w:val="24"/>
                <w:szCs w:val="24"/>
                <w:vertAlign w:val="superscript"/>
              </w:rPr>
              <w:t>-10</w:t>
            </w:r>
            <w:r>
              <w:rPr>
                <w:rFonts w:hint="default" w:ascii="Times New Roman" w:hAnsi="Times New Roman" w:eastAsia="宋体" w:cs="Times New Roman"/>
                <w:color w:val="auto"/>
                <w:sz w:val="24"/>
                <w:szCs w:val="24"/>
              </w:rPr>
              <w:t>cm/s</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lang w:val="en-US" w:eastAsia="zh-CN"/>
              </w:rPr>
              <w:t>等效黏土防渗层Mb≥6.0m。</w:t>
            </w:r>
          </w:p>
          <w:p w14:paraId="1B51A2A2">
            <w:pPr>
              <w:pStyle w:val="1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eastAsia="zh-CN"/>
              </w:rPr>
              <w:t>现有工程危废间储存能力为</w:t>
            </w:r>
            <w:r>
              <w:rPr>
                <w:rFonts w:hint="default" w:ascii="Times New Roman" w:hAnsi="Times New Roman" w:eastAsia="宋体" w:cs="Times New Roman"/>
                <w:sz w:val="24"/>
                <w:szCs w:val="24"/>
                <w:lang w:val="en-US" w:eastAsia="zh-CN"/>
              </w:rPr>
              <w:t>15t，建筑面积</w:t>
            </w:r>
            <w:r>
              <w:rPr>
                <w:rFonts w:hint="default" w:ascii="Times New Roman" w:hAnsi="Times New Roman" w:eastAsia="宋体" w:cs="Times New Roman"/>
                <w:color w:val="auto"/>
                <w:sz w:val="24"/>
                <w:szCs w:val="24"/>
                <w:highlight w:val="none"/>
                <w:lang w:val="en-US" w:eastAsia="zh-CN"/>
              </w:rPr>
              <w:t>30</w:t>
            </w:r>
            <w:r>
              <w:rPr>
                <w:rFonts w:hint="default" w:ascii="Times New Roman" w:hAnsi="Times New Roman" w:eastAsia="宋体" w:cs="Times New Roman"/>
                <w:color w:val="auto"/>
                <w:sz w:val="24"/>
                <w:szCs w:val="24"/>
                <w:highlight w:val="none"/>
              </w:rPr>
              <w:t>m</w:t>
            </w:r>
            <w:r>
              <w:rPr>
                <w:rFonts w:hint="default" w:ascii="Times New Roman" w:hAnsi="Times New Roman" w:eastAsia="宋体" w:cs="Times New Roman"/>
                <w:color w:val="auto"/>
                <w:sz w:val="24"/>
                <w:szCs w:val="24"/>
                <w:highlight w:val="none"/>
                <w:vertAlign w:val="superscript"/>
              </w:rPr>
              <w:t>2</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sz w:val="24"/>
                <w:szCs w:val="24"/>
                <w:highlight w:val="none"/>
                <w:lang w:eastAsia="zh-CN"/>
              </w:rPr>
              <w:t>除</w:t>
            </w:r>
            <w:r>
              <w:rPr>
                <w:rFonts w:hint="default" w:ascii="Times New Roman" w:hAnsi="Times New Roman" w:eastAsia="宋体" w:cs="Times New Roman"/>
                <w:color w:val="auto"/>
                <w:sz w:val="24"/>
                <w:szCs w:val="24"/>
                <w:highlight w:val="none"/>
                <w:lang w:val="en-US" w:eastAsia="zh-CN"/>
              </w:rPr>
              <w:t>废过滤介质</w:t>
            </w:r>
            <w:r>
              <w:rPr>
                <w:rFonts w:hint="eastAsia"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eastAsia="zh-CN"/>
              </w:rPr>
              <w:t>废抹布每年清运一次，废活性炭每半年清运一次外，其他危险废物均每季度清运一次，</w:t>
            </w:r>
            <w:r>
              <w:rPr>
                <w:rFonts w:hint="default" w:ascii="Times New Roman" w:hAnsi="Times New Roman" w:eastAsia="宋体" w:cs="Times New Roman"/>
                <w:sz w:val="24"/>
                <w:szCs w:val="24"/>
                <w:lang w:eastAsia="zh-CN"/>
              </w:rPr>
              <w:t>技改项目完成后，全厂危险废物最大暂存量为</w:t>
            </w:r>
            <w:r>
              <w:rPr>
                <w:rFonts w:hint="eastAsia" w:ascii="Times New Roman" w:hAnsi="Times New Roman" w:eastAsia="宋体" w:cs="Times New Roman"/>
                <w:sz w:val="24"/>
                <w:szCs w:val="24"/>
                <w:lang w:val="en-US" w:eastAsia="zh-CN"/>
              </w:rPr>
              <w:t>10.241</w:t>
            </w:r>
            <w:r>
              <w:rPr>
                <w:rFonts w:hint="default" w:ascii="Times New Roman" w:hAnsi="Times New Roman" w:eastAsia="宋体" w:cs="Times New Roman"/>
                <w:sz w:val="24"/>
                <w:szCs w:val="24"/>
                <w:lang w:val="en-US" w:eastAsia="zh-CN"/>
              </w:rPr>
              <w:t>t，现有工程危废间能够满足危险废物暂存要求，依托可行。</w:t>
            </w:r>
          </w:p>
          <w:p w14:paraId="189A9B00">
            <w:pPr>
              <w:pStyle w:val="1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jc w:val="both"/>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因此危废贮放期间不会对环境空气、地表水、地下水、土壤以及环境敏感保护目标造成影响。项目危险废物贮存场所（设施）基本情况见下表。</w:t>
            </w:r>
          </w:p>
          <w:p w14:paraId="62924487">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Autospacing="0" w:line="240" w:lineRule="auto"/>
              <w:ind w:left="0" w:right="0" w:firstLine="422" w:firstLineChars="200"/>
              <w:jc w:val="center"/>
              <w:textAlignment w:val="auto"/>
              <w:rPr>
                <w:rFonts w:hint="default" w:ascii="Times New Roman" w:hAnsi="Times New Roman" w:eastAsia="宋体" w:cs="Times New Roman"/>
                <w:b/>
                <w:color w:val="auto"/>
                <w:sz w:val="21"/>
                <w:szCs w:val="21"/>
                <w:highlight w:val="none"/>
                <w:lang w:val="en-US" w:eastAsia="zh-CN"/>
              </w:rPr>
            </w:pPr>
            <w:r>
              <w:rPr>
                <w:rFonts w:hint="default" w:ascii="Times New Roman" w:hAnsi="Times New Roman" w:eastAsia="宋体" w:cs="Times New Roman"/>
                <w:b/>
                <w:bCs/>
                <w:color w:val="000000"/>
                <w:kern w:val="0"/>
                <w:sz w:val="21"/>
                <w:szCs w:val="21"/>
                <w:lang w:val="en-US" w:eastAsia="zh-CN" w:bidi="ar-SA"/>
              </w:rPr>
              <w:t>项目危险废物贮存场所（设施）基本情况</w:t>
            </w:r>
          </w:p>
          <w:tbl>
            <w:tblPr>
              <w:tblStyle w:val="38"/>
              <w:tblW w:w="82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9"/>
              <w:gridCol w:w="1571"/>
              <w:gridCol w:w="2360"/>
              <w:gridCol w:w="1875"/>
            </w:tblGrid>
            <w:tr w14:paraId="4E358C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49" w:type="dxa"/>
                  <w:noWrap w:val="0"/>
                  <w:vAlign w:val="center"/>
                </w:tcPr>
                <w:p w14:paraId="0D68FCEA">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名称</w:t>
                  </w:r>
                </w:p>
              </w:tc>
              <w:tc>
                <w:tcPr>
                  <w:tcW w:w="1571" w:type="dxa"/>
                  <w:noWrap w:val="0"/>
                  <w:vAlign w:val="center"/>
                </w:tcPr>
                <w:p w14:paraId="537831E3">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危废暂存间</w:t>
                  </w:r>
                </w:p>
              </w:tc>
              <w:tc>
                <w:tcPr>
                  <w:tcW w:w="2360" w:type="dxa"/>
                  <w:noWrap w:val="0"/>
                  <w:vAlign w:val="center"/>
                </w:tcPr>
                <w:p w14:paraId="41E0B9EA">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编号</w:t>
                  </w:r>
                </w:p>
              </w:tc>
              <w:tc>
                <w:tcPr>
                  <w:tcW w:w="1875" w:type="dxa"/>
                  <w:noWrap w:val="0"/>
                  <w:vAlign w:val="center"/>
                </w:tcPr>
                <w:p w14:paraId="3AE70EB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WF-01</w:t>
                  </w:r>
                </w:p>
              </w:tc>
            </w:tr>
            <w:tr w14:paraId="31207D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49" w:type="dxa"/>
                  <w:noWrap w:val="0"/>
                  <w:vAlign w:val="center"/>
                </w:tcPr>
                <w:p w14:paraId="1D90E350">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类型</w:t>
                  </w:r>
                </w:p>
              </w:tc>
              <w:tc>
                <w:tcPr>
                  <w:tcW w:w="1571" w:type="dxa"/>
                  <w:noWrap w:val="0"/>
                  <w:vAlign w:val="center"/>
                </w:tcPr>
                <w:p w14:paraId="7EB26067">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自行贮存</w:t>
                  </w:r>
                </w:p>
              </w:tc>
              <w:tc>
                <w:tcPr>
                  <w:tcW w:w="2360" w:type="dxa"/>
                  <w:noWrap w:val="0"/>
                  <w:vAlign w:val="center"/>
                </w:tcPr>
                <w:p w14:paraId="14002A96">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位置</w:t>
                  </w:r>
                </w:p>
              </w:tc>
              <w:tc>
                <w:tcPr>
                  <w:tcW w:w="1875" w:type="dxa"/>
                  <w:noWrap w:val="0"/>
                  <w:vAlign w:val="center"/>
                </w:tcPr>
                <w:p w14:paraId="7F0D866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N38.337823°</w:t>
                  </w:r>
                </w:p>
                <w:p w14:paraId="1EF737C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E117.525499°</w:t>
                  </w:r>
                </w:p>
              </w:tc>
            </w:tr>
            <w:tr w14:paraId="69E52D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49" w:type="dxa"/>
                  <w:noWrap w:val="0"/>
                  <w:vAlign w:val="center"/>
                </w:tcPr>
                <w:p w14:paraId="38CC9231">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是否符合相关标准要求（仅贮存设施填报）</w:t>
                  </w:r>
                </w:p>
              </w:tc>
              <w:tc>
                <w:tcPr>
                  <w:tcW w:w="1571" w:type="dxa"/>
                  <w:noWrap w:val="0"/>
                  <w:vAlign w:val="center"/>
                </w:tcPr>
                <w:p w14:paraId="48112C15">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是</w:t>
                  </w:r>
                </w:p>
              </w:tc>
              <w:tc>
                <w:tcPr>
                  <w:tcW w:w="2360" w:type="dxa"/>
                  <w:noWrap w:val="0"/>
                  <w:vAlign w:val="center"/>
                </w:tcPr>
                <w:p w14:paraId="2BCFB82A">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自行利用/处置方式</w:t>
                  </w:r>
                </w:p>
              </w:tc>
              <w:tc>
                <w:tcPr>
                  <w:tcW w:w="1875" w:type="dxa"/>
                  <w:noWrap w:val="0"/>
                  <w:vAlign w:val="center"/>
                </w:tcPr>
                <w:p w14:paraId="2333599A">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r>
            <w:tr w14:paraId="0A1CBE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49" w:type="dxa"/>
                  <w:noWrap w:val="0"/>
                  <w:vAlign w:val="center"/>
                </w:tcPr>
                <w:p w14:paraId="09B7B5DE">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自行贮存/利用/处置能力</w:t>
                  </w:r>
                </w:p>
              </w:tc>
              <w:tc>
                <w:tcPr>
                  <w:tcW w:w="1571" w:type="dxa"/>
                  <w:noWrap w:val="0"/>
                  <w:vAlign w:val="center"/>
                </w:tcPr>
                <w:p w14:paraId="24C6769A">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cs="Times New Roman"/>
                      <w:color w:val="auto"/>
                      <w:szCs w:val="21"/>
                      <w:lang w:val="en-US" w:eastAsia="zh-CN"/>
                    </w:rPr>
                    <w:t>15</w:t>
                  </w:r>
                  <w:r>
                    <w:rPr>
                      <w:rFonts w:hint="default" w:ascii="Times New Roman" w:hAnsi="Times New Roman" w:cs="Times New Roman"/>
                      <w:color w:val="auto"/>
                      <w:szCs w:val="21"/>
                    </w:rPr>
                    <w:t>t</w:t>
                  </w:r>
                </w:p>
              </w:tc>
              <w:tc>
                <w:tcPr>
                  <w:tcW w:w="2360" w:type="dxa"/>
                  <w:noWrap w:val="0"/>
                  <w:vAlign w:val="center"/>
                </w:tcPr>
                <w:p w14:paraId="61CCA497">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面积（仅贮存设施填报）</w:t>
                  </w:r>
                </w:p>
              </w:tc>
              <w:tc>
                <w:tcPr>
                  <w:tcW w:w="1875" w:type="dxa"/>
                  <w:noWrap w:val="0"/>
                  <w:vAlign w:val="center"/>
                </w:tcPr>
                <w:p w14:paraId="7002EFFF">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30</w:t>
                  </w:r>
                  <w:r>
                    <w:rPr>
                      <w:rFonts w:hint="default" w:ascii="Times New Roman" w:hAnsi="Times New Roman" w:cs="Times New Roman"/>
                      <w:color w:val="auto"/>
                      <w:szCs w:val="21"/>
                    </w:rPr>
                    <w:t>m</w:t>
                  </w:r>
                  <w:r>
                    <w:rPr>
                      <w:rFonts w:hint="default" w:ascii="Times New Roman" w:hAnsi="Times New Roman" w:cs="Times New Roman"/>
                      <w:color w:val="auto"/>
                      <w:szCs w:val="21"/>
                      <w:vertAlign w:val="superscript"/>
                    </w:rPr>
                    <w:t>2</w:t>
                  </w:r>
                </w:p>
              </w:tc>
            </w:tr>
          </w:tbl>
          <w:p w14:paraId="7CB7ADF6">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firstLine="480" w:firstLineChars="200"/>
              <w:jc w:val="both"/>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②运输过程的环境影响分析</w:t>
            </w:r>
          </w:p>
          <w:p w14:paraId="00B8AB07">
            <w:pPr>
              <w:keepNext w:val="0"/>
              <w:keepLines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危险废物从生产区由工人及时收集并使用专用容器贮放于危废暂存间，不会产生散落、泄漏等情况，因此不会对环境产生影响。</w:t>
            </w:r>
          </w:p>
          <w:p w14:paraId="75632B3A">
            <w:pPr>
              <w:keepNext w:val="0"/>
              <w:keepLines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危险废物厂外转运由有资质的危废处置单位负责，危险废物由专用容器收集，专车运输。运输过程按照国家有关规定制定危险废物管理计划，并向所在地县级以上地方人民政府环境保护行政主管部门申报危险废物的种类、产生量、流向、贮存、处置等有关资料，运输过程不会对环境造成影响。</w:t>
            </w:r>
          </w:p>
          <w:p w14:paraId="22DA0D03">
            <w:pPr>
              <w:keepNext w:val="0"/>
              <w:keepLines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③具备危废资质单位接收能力分析</w:t>
            </w:r>
          </w:p>
          <w:p w14:paraId="12107663">
            <w:pPr>
              <w:keepNext w:val="0"/>
              <w:keepLines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危险废物</w:t>
            </w:r>
            <w:r>
              <w:rPr>
                <w:rFonts w:hint="default" w:ascii="Times New Roman" w:hAnsi="Times New Roman" w:eastAsia="宋体" w:cs="Times New Roman"/>
                <w:color w:val="auto"/>
                <w:sz w:val="24"/>
                <w:szCs w:val="24"/>
              </w:rPr>
              <w:t>经统一收集后，交由有资质的单位（其核准经营危险废物的类别应包括企业产生的危险废物类别）进行处理、处置。</w:t>
            </w:r>
          </w:p>
          <w:p w14:paraId="1004DFD6">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szCs w:val="24"/>
              </w:rPr>
              <w:t>采取以上措施后，危险废物处理符合《危险废物贮存</w:t>
            </w:r>
            <w:r>
              <w:rPr>
                <w:rFonts w:hint="default" w:ascii="Times New Roman" w:hAnsi="Times New Roman" w:eastAsia="宋体" w:cs="Times New Roman"/>
                <w:sz w:val="24"/>
                <w:szCs w:val="24"/>
              </w:rPr>
              <w:t>污染控制标准》（GB18597-20</w:t>
            </w:r>
            <w:r>
              <w:rPr>
                <w:rFonts w:hint="default" w:ascii="Times New Roman" w:hAnsi="Times New Roman" w:cs="Times New Roman"/>
                <w:sz w:val="24"/>
                <w:szCs w:val="24"/>
                <w:lang w:val="en-US" w:eastAsia="zh-CN"/>
              </w:rPr>
              <w:t>23</w:t>
            </w:r>
            <w:r>
              <w:rPr>
                <w:rFonts w:hint="default" w:ascii="Times New Roman" w:hAnsi="Times New Roman" w:eastAsia="宋体" w:cs="Times New Roman"/>
                <w:sz w:val="24"/>
                <w:szCs w:val="24"/>
              </w:rPr>
              <w:t>）标准中有关要求，对环境影响很小。</w:t>
            </w:r>
          </w:p>
          <w:p w14:paraId="6B10E13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snapToGrid w:val="0"/>
                <w:color w:val="auto"/>
                <w:sz w:val="24"/>
                <w:szCs w:val="24"/>
                <w:highlight w:val="none"/>
                <w:lang w:val="en-US" w:eastAsia="zh-CN"/>
              </w:rPr>
            </w:pPr>
            <w:r>
              <w:rPr>
                <w:rFonts w:hint="default" w:ascii="Times New Roman" w:hAnsi="Times New Roman" w:eastAsia="宋体" w:cs="Times New Roman"/>
                <w:snapToGrid w:val="0"/>
                <w:color w:val="auto"/>
                <w:sz w:val="24"/>
                <w:szCs w:val="24"/>
                <w:highlight w:val="none"/>
                <w:lang w:eastAsia="zh-CN"/>
              </w:rPr>
              <w:t>危废</w:t>
            </w:r>
            <w:r>
              <w:rPr>
                <w:rFonts w:hint="default" w:ascii="Times New Roman" w:hAnsi="Times New Roman" w:eastAsia="宋体" w:cs="Times New Roman"/>
                <w:snapToGrid w:val="0"/>
                <w:color w:val="auto"/>
                <w:sz w:val="24"/>
                <w:szCs w:val="24"/>
                <w:highlight w:val="none"/>
                <w:lang w:val="en-US" w:eastAsia="zh-CN"/>
              </w:rPr>
              <w:t>暂存</w:t>
            </w:r>
            <w:r>
              <w:rPr>
                <w:rFonts w:hint="default" w:ascii="Times New Roman" w:hAnsi="Times New Roman" w:eastAsia="宋体" w:cs="Times New Roman"/>
                <w:snapToGrid w:val="0"/>
                <w:color w:val="auto"/>
                <w:sz w:val="24"/>
                <w:szCs w:val="24"/>
                <w:highlight w:val="none"/>
                <w:lang w:eastAsia="zh-CN"/>
              </w:rPr>
              <w:t>间标识要求见下表：</w:t>
            </w:r>
          </w:p>
          <w:p w14:paraId="719994CD">
            <w:pPr>
              <w:keepNext w:val="0"/>
              <w:keepLines w:val="0"/>
              <w:suppressLineNumbers w:val="0"/>
              <w:spacing w:before="0" w:beforeLines="0" w:beforeAutospacing="0" w:after="0" w:afterAutospacing="0" w:line="240" w:lineRule="auto"/>
              <w:ind w:left="0" w:right="0" w:firstLine="422" w:firstLineChars="200"/>
              <w:jc w:val="center"/>
              <w:rPr>
                <w:rFonts w:hint="default" w:ascii="Times New Roman" w:hAnsi="Times New Roman" w:eastAsia="宋体" w:cs="Times New Roman"/>
                <w:b/>
                <w:bCs/>
                <w:color w:val="000000"/>
                <w:kern w:val="0"/>
                <w:sz w:val="21"/>
                <w:szCs w:val="21"/>
                <w:lang w:val="en-US" w:eastAsia="zh-CN" w:bidi="ar-SA"/>
              </w:rPr>
            </w:pPr>
            <w:r>
              <w:rPr>
                <w:rFonts w:hint="default" w:ascii="Times New Roman" w:hAnsi="Times New Roman" w:eastAsia="宋体" w:cs="Times New Roman"/>
                <w:b/>
                <w:bCs/>
                <w:color w:val="000000"/>
                <w:kern w:val="0"/>
                <w:sz w:val="21"/>
                <w:szCs w:val="21"/>
                <w:lang w:val="en-US" w:eastAsia="zh-CN" w:bidi="ar-SA"/>
              </w:rPr>
              <w:t>危险废物贮存设施分区、标志、标签示例</w:t>
            </w:r>
          </w:p>
          <w:tbl>
            <w:tblPr>
              <w:tblStyle w:val="38"/>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13" w:type="dxa"/>
                <w:bottom w:w="0" w:type="dxa"/>
                <w:right w:w="0" w:type="dxa"/>
              </w:tblCellMar>
            </w:tblPr>
            <w:tblGrid>
              <w:gridCol w:w="835"/>
              <w:gridCol w:w="2352"/>
              <w:gridCol w:w="5034"/>
            </w:tblGrid>
            <w:tr w14:paraId="3B5A8C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0" w:type="dxa"/>
                </w:tblCellMar>
              </w:tblPrEx>
              <w:trPr>
                <w:trHeight w:val="23" w:hRule="atLeast"/>
                <w:jc w:val="center"/>
              </w:trPr>
              <w:tc>
                <w:tcPr>
                  <w:tcW w:w="508" w:type="pct"/>
                  <w:noWrap w:val="0"/>
                  <w:vAlign w:val="center"/>
                </w:tcPr>
                <w:p w14:paraId="49F2188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napToGrid w:val="0"/>
                      <w:color w:val="auto"/>
                      <w:sz w:val="21"/>
                      <w:szCs w:val="21"/>
                      <w:highlight w:val="none"/>
                    </w:rPr>
                  </w:pPr>
                  <w:r>
                    <w:rPr>
                      <w:rFonts w:hint="default" w:ascii="Times New Roman" w:hAnsi="Times New Roman" w:eastAsia="宋体" w:cs="Times New Roman"/>
                      <w:snapToGrid w:val="0"/>
                      <w:color w:val="auto"/>
                      <w:sz w:val="21"/>
                      <w:szCs w:val="21"/>
                      <w:highlight w:val="none"/>
                    </w:rPr>
                    <w:t>场合</w:t>
                  </w:r>
                </w:p>
              </w:tc>
              <w:tc>
                <w:tcPr>
                  <w:tcW w:w="1430" w:type="pct"/>
                  <w:noWrap w:val="0"/>
                  <w:vAlign w:val="center"/>
                </w:tcPr>
                <w:p w14:paraId="0097E29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napToGrid w:val="0"/>
                      <w:color w:val="auto"/>
                      <w:sz w:val="21"/>
                      <w:szCs w:val="21"/>
                      <w:highlight w:val="none"/>
                    </w:rPr>
                  </w:pPr>
                  <w:r>
                    <w:rPr>
                      <w:rFonts w:hint="default" w:ascii="Times New Roman" w:hAnsi="Times New Roman" w:eastAsia="宋体" w:cs="Times New Roman"/>
                      <w:snapToGrid w:val="0"/>
                      <w:color w:val="auto"/>
                      <w:sz w:val="21"/>
                      <w:szCs w:val="21"/>
                      <w:highlight w:val="none"/>
                    </w:rPr>
                    <w:t>样式</w:t>
                  </w:r>
                </w:p>
              </w:tc>
              <w:tc>
                <w:tcPr>
                  <w:tcW w:w="3061" w:type="pct"/>
                  <w:noWrap w:val="0"/>
                  <w:vAlign w:val="center"/>
                </w:tcPr>
                <w:p w14:paraId="35F3280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napToGrid w:val="0"/>
                      <w:color w:val="auto"/>
                      <w:sz w:val="21"/>
                      <w:szCs w:val="21"/>
                      <w:highlight w:val="none"/>
                    </w:rPr>
                  </w:pPr>
                  <w:r>
                    <w:rPr>
                      <w:rFonts w:hint="default" w:ascii="Times New Roman" w:hAnsi="Times New Roman" w:eastAsia="宋体" w:cs="Times New Roman"/>
                      <w:snapToGrid w:val="0"/>
                      <w:color w:val="auto"/>
                      <w:sz w:val="21"/>
                      <w:szCs w:val="21"/>
                      <w:highlight w:val="none"/>
                    </w:rPr>
                    <w:t>要求</w:t>
                  </w:r>
                </w:p>
              </w:tc>
            </w:tr>
            <w:tr w14:paraId="27712D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0" w:type="dxa"/>
                </w:tblCellMar>
              </w:tblPrEx>
              <w:trPr>
                <w:trHeight w:val="23" w:hRule="atLeast"/>
                <w:jc w:val="center"/>
              </w:trPr>
              <w:tc>
                <w:tcPr>
                  <w:tcW w:w="508" w:type="pct"/>
                  <w:noWrap w:val="0"/>
                  <w:vAlign w:val="center"/>
                </w:tcPr>
                <w:p w14:paraId="17D5038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napToGrid w:val="0"/>
                      <w:color w:val="auto"/>
                      <w:sz w:val="21"/>
                      <w:szCs w:val="21"/>
                      <w:highlight w:val="none"/>
                      <w:lang w:val="en-US" w:eastAsia="zh-CN"/>
                    </w:rPr>
                  </w:pPr>
                  <w:r>
                    <w:rPr>
                      <w:rFonts w:hint="default" w:ascii="Times New Roman" w:hAnsi="Times New Roman" w:eastAsia="宋体" w:cs="Times New Roman"/>
                      <w:snapToGrid w:val="0"/>
                      <w:color w:val="auto"/>
                      <w:sz w:val="21"/>
                      <w:szCs w:val="21"/>
                      <w:highlight w:val="none"/>
                      <w:lang w:val="en-US" w:eastAsia="zh-CN"/>
                    </w:rPr>
                    <w:t>危险废物贮存设施标志</w:t>
                  </w:r>
                </w:p>
              </w:tc>
              <w:tc>
                <w:tcPr>
                  <w:tcW w:w="1430" w:type="pct"/>
                  <w:noWrap w:val="0"/>
                  <w:vAlign w:val="center"/>
                </w:tcPr>
                <w:p w14:paraId="7CBD64A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highlight w:val="none"/>
                    </w:rPr>
                    <w:drawing>
                      <wp:inline distT="0" distB="0" distL="114300" distR="114300">
                        <wp:extent cx="1364615" cy="868680"/>
                        <wp:effectExtent l="0" t="0" r="0" b="0"/>
                        <wp:docPr id="26"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72"/>
                                <pic:cNvPicPr>
                                  <a:picLocks noChangeAspect="1"/>
                                </pic:cNvPicPr>
                              </pic:nvPicPr>
                              <pic:blipFill>
                                <a:blip r:embed="rId26"/>
                                <a:stretch>
                                  <a:fillRect/>
                                </a:stretch>
                              </pic:blipFill>
                              <pic:spPr>
                                <a:xfrm>
                                  <a:off x="0" y="0"/>
                                  <a:ext cx="1364615" cy="868680"/>
                                </a:xfrm>
                                <a:prstGeom prst="rect">
                                  <a:avLst/>
                                </a:prstGeom>
                                <a:noFill/>
                                <a:ln>
                                  <a:noFill/>
                                </a:ln>
                              </pic:spPr>
                            </pic:pic>
                          </a:graphicData>
                        </a:graphic>
                      </wp:inline>
                    </w:drawing>
                  </w:r>
                </w:p>
              </w:tc>
              <w:tc>
                <w:tcPr>
                  <w:tcW w:w="3061" w:type="pct"/>
                  <w:noWrap w:val="0"/>
                  <w:vAlign w:val="center"/>
                </w:tcPr>
                <w:p w14:paraId="5F78C5C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snapToGrid w:val="0"/>
                      <w:color w:val="auto"/>
                      <w:sz w:val="21"/>
                      <w:szCs w:val="21"/>
                      <w:highlight w:val="none"/>
                      <w:lang w:val="en-US" w:eastAsia="zh-CN"/>
                    </w:rPr>
                  </w:pPr>
                  <w:r>
                    <w:rPr>
                      <w:rFonts w:hint="default" w:ascii="Times New Roman" w:hAnsi="Times New Roman" w:eastAsia="宋体" w:cs="Times New Roman"/>
                      <w:snapToGrid w:val="0"/>
                      <w:color w:val="auto"/>
                      <w:sz w:val="21"/>
                      <w:szCs w:val="21"/>
                      <w:highlight w:val="none"/>
                      <w:lang w:val="en-US" w:eastAsia="zh-CN"/>
                    </w:rPr>
                    <w:t>1、危险废物贮存设施标志宜采用坚固耐用的材料（如1.5 mm～2mm冷轧钢板），并做搪瓷处理或贴膜处理。一般不宜使用遇水变形、变质或易燃的材料。柱式标志牌的立柱可采用38×4无缝钢管或其他坚固耐用的材料，并经过防腐处理。</w:t>
                  </w:r>
                </w:p>
                <w:p w14:paraId="01A8563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snapToGrid w:val="0"/>
                      <w:color w:val="auto"/>
                      <w:sz w:val="21"/>
                      <w:szCs w:val="21"/>
                      <w:highlight w:val="none"/>
                      <w:lang w:val="en-US" w:eastAsia="zh-CN"/>
                    </w:rPr>
                  </w:pPr>
                  <w:r>
                    <w:rPr>
                      <w:rFonts w:hint="default" w:ascii="Times New Roman" w:hAnsi="Times New Roman" w:eastAsia="宋体" w:cs="Times New Roman"/>
                      <w:snapToGrid w:val="0"/>
                      <w:color w:val="auto"/>
                      <w:sz w:val="21"/>
                      <w:szCs w:val="21"/>
                      <w:highlight w:val="none"/>
                      <w:lang w:val="en-US" w:eastAsia="zh-CN"/>
                    </w:rPr>
                    <w:t>2、危险废物贮存设施标志的图形和文字应清晰、完整，保证在足够的观察距离条件下也不影响阅读。三角形警告性图形与其他信息间宜加黑色分界线区分，分界线的宽度宜不小于3mm。</w:t>
                  </w:r>
                </w:p>
                <w:p w14:paraId="58D4A72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snapToGrid w:val="0"/>
                      <w:color w:val="auto"/>
                      <w:sz w:val="21"/>
                      <w:szCs w:val="21"/>
                      <w:highlight w:val="none"/>
                      <w:lang w:val="en-US" w:eastAsia="zh-CN"/>
                    </w:rPr>
                  </w:pPr>
                  <w:r>
                    <w:rPr>
                      <w:rFonts w:hint="default" w:ascii="Times New Roman" w:hAnsi="Times New Roman" w:eastAsia="宋体" w:cs="Times New Roman"/>
                      <w:snapToGrid w:val="0"/>
                      <w:color w:val="auto"/>
                      <w:sz w:val="21"/>
                      <w:szCs w:val="21"/>
                      <w:highlight w:val="none"/>
                      <w:lang w:val="en-US" w:eastAsia="zh-CN"/>
                    </w:rPr>
                    <w:t xml:space="preserve">3、危险废物贮存、利用、处置设施的标志牌和立柱无明显变形。标志牌表面无气泡，膜或搪瓷无脱落。图案清晰，色泽一致，没有明显缺损。 </w:t>
                  </w:r>
                </w:p>
                <w:p w14:paraId="4F0E89D2">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default" w:ascii="Times New Roman" w:hAnsi="Times New Roman" w:eastAsia="宋体" w:cs="Times New Roman"/>
                      <w:snapToGrid w:val="0"/>
                      <w:color w:val="auto"/>
                      <w:sz w:val="21"/>
                      <w:szCs w:val="21"/>
                      <w:highlight w:val="none"/>
                      <w:lang w:val="en-US" w:eastAsia="zh-CN"/>
                    </w:rPr>
                  </w:pPr>
                  <w:r>
                    <w:rPr>
                      <w:rFonts w:hint="default" w:ascii="Times New Roman" w:hAnsi="Times New Roman" w:eastAsia="宋体" w:cs="Times New Roman"/>
                      <w:snapToGrid w:val="0"/>
                      <w:color w:val="auto"/>
                      <w:sz w:val="21"/>
                      <w:szCs w:val="21"/>
                      <w:highlight w:val="none"/>
                      <w:lang w:val="en-US" w:eastAsia="zh-CN"/>
                    </w:rPr>
                    <w:t>4、危险废物贮存设施标志可采用横版或竖版的形式，标志制作应符合《危险废物识别标志设置技术规范》要求的样式。</w:t>
                  </w:r>
                </w:p>
              </w:tc>
            </w:tr>
            <w:tr w14:paraId="54B4EE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0" w:type="dxa"/>
                </w:tblCellMar>
              </w:tblPrEx>
              <w:trPr>
                <w:trHeight w:val="23" w:hRule="atLeast"/>
                <w:jc w:val="center"/>
              </w:trPr>
              <w:tc>
                <w:tcPr>
                  <w:tcW w:w="508" w:type="pct"/>
                  <w:noWrap w:val="0"/>
                  <w:vAlign w:val="center"/>
                </w:tcPr>
                <w:p w14:paraId="344F494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napToGrid w:val="0"/>
                      <w:color w:val="auto"/>
                      <w:sz w:val="21"/>
                      <w:szCs w:val="21"/>
                      <w:highlight w:val="none"/>
                      <w:lang w:eastAsia="zh-CN"/>
                    </w:rPr>
                  </w:pPr>
                  <w:r>
                    <w:rPr>
                      <w:rFonts w:hint="default" w:ascii="Times New Roman" w:hAnsi="Times New Roman" w:eastAsia="宋体" w:cs="Times New Roman"/>
                      <w:snapToGrid w:val="0"/>
                      <w:color w:val="auto"/>
                      <w:sz w:val="21"/>
                      <w:szCs w:val="21"/>
                      <w:highlight w:val="none"/>
                      <w:lang w:val="en-US" w:eastAsia="zh-CN"/>
                    </w:rPr>
                    <w:t>危险废物分区标志</w:t>
                  </w:r>
                </w:p>
              </w:tc>
              <w:tc>
                <w:tcPr>
                  <w:tcW w:w="1430" w:type="pct"/>
                  <w:noWrap w:val="0"/>
                  <w:vAlign w:val="center"/>
                </w:tcPr>
                <w:p w14:paraId="70AE404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snapToGrid w:val="0"/>
                      <w:color w:val="auto"/>
                      <w:sz w:val="21"/>
                      <w:szCs w:val="21"/>
                      <w:highlight w:val="none"/>
                    </w:rPr>
                  </w:pPr>
                  <w:r>
                    <w:rPr>
                      <w:rFonts w:hint="default" w:ascii="Times New Roman" w:hAnsi="Times New Roman" w:eastAsia="宋体" w:cs="Times New Roman"/>
                      <w:color w:val="auto"/>
                      <w:sz w:val="24"/>
                      <w:szCs w:val="24"/>
                      <w:highlight w:val="none"/>
                    </w:rPr>
                    <w:drawing>
                      <wp:inline distT="0" distB="0" distL="114300" distR="114300">
                        <wp:extent cx="1357630" cy="1503045"/>
                        <wp:effectExtent l="0" t="0" r="0" b="0"/>
                        <wp:docPr id="27" name="图片 7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73" descr="IMG_256"/>
                                <pic:cNvPicPr>
                                  <a:picLocks noChangeAspect="1"/>
                                </pic:cNvPicPr>
                              </pic:nvPicPr>
                              <pic:blipFill>
                                <a:blip r:embed="rId27"/>
                                <a:stretch>
                                  <a:fillRect/>
                                </a:stretch>
                              </pic:blipFill>
                              <pic:spPr>
                                <a:xfrm>
                                  <a:off x="0" y="0"/>
                                  <a:ext cx="1357630" cy="1503045"/>
                                </a:xfrm>
                                <a:prstGeom prst="rect">
                                  <a:avLst/>
                                </a:prstGeom>
                                <a:noFill/>
                                <a:ln>
                                  <a:noFill/>
                                </a:ln>
                              </pic:spPr>
                            </pic:pic>
                          </a:graphicData>
                        </a:graphic>
                      </wp:inline>
                    </w:drawing>
                  </w:r>
                </w:p>
              </w:tc>
              <w:tc>
                <w:tcPr>
                  <w:tcW w:w="3061" w:type="pct"/>
                  <w:noWrap w:val="0"/>
                  <w:vAlign w:val="center"/>
                </w:tcPr>
                <w:p w14:paraId="0273564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snapToGrid w:val="0"/>
                      <w:color w:val="auto"/>
                      <w:sz w:val="21"/>
                      <w:szCs w:val="21"/>
                      <w:highlight w:val="none"/>
                      <w:lang w:val="en-US" w:eastAsia="zh-CN"/>
                    </w:rPr>
                  </w:pPr>
                  <w:r>
                    <w:rPr>
                      <w:rFonts w:hint="default" w:ascii="Times New Roman" w:hAnsi="Times New Roman" w:eastAsia="宋体" w:cs="Times New Roman"/>
                      <w:snapToGrid w:val="0"/>
                      <w:color w:val="auto"/>
                      <w:sz w:val="21"/>
                      <w:szCs w:val="21"/>
                      <w:highlight w:val="none"/>
                      <w:lang w:val="en-US" w:eastAsia="zh-CN"/>
                    </w:rPr>
                    <w:t>1、背景色应采用黄色，RGB颜色值为（255,255, 0）。废物种类信息应采用醒目的橘黄色，RGB颜色值为（255,150,0）。字体颜色为黑色，RGB 颜色值为（0,0,0）。</w:t>
                  </w:r>
                </w:p>
                <w:p w14:paraId="388F295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snapToGrid w:val="0"/>
                      <w:color w:val="auto"/>
                      <w:sz w:val="21"/>
                      <w:szCs w:val="21"/>
                      <w:highlight w:val="none"/>
                      <w:lang w:val="en-US" w:eastAsia="zh-CN"/>
                    </w:rPr>
                  </w:pPr>
                  <w:r>
                    <w:rPr>
                      <w:rFonts w:hint="default" w:ascii="Times New Roman" w:hAnsi="Times New Roman" w:eastAsia="宋体" w:cs="Times New Roman"/>
                      <w:snapToGrid w:val="0"/>
                      <w:color w:val="auto"/>
                      <w:sz w:val="21"/>
                      <w:szCs w:val="21"/>
                      <w:highlight w:val="none"/>
                      <w:lang w:val="en-US" w:eastAsia="zh-CN"/>
                    </w:rPr>
                    <w:t>2、的字体宜采用黑体字，其中“危险废物贮存分区标志”字样应加粗放大并居中显示。</w:t>
                  </w:r>
                </w:p>
                <w:p w14:paraId="52E2B37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snapToGrid w:val="0"/>
                      <w:color w:val="auto"/>
                      <w:sz w:val="21"/>
                      <w:szCs w:val="21"/>
                      <w:highlight w:val="none"/>
                      <w:lang w:val="en-US" w:eastAsia="zh-CN"/>
                    </w:rPr>
                  </w:pPr>
                  <w:r>
                    <w:rPr>
                      <w:rFonts w:hint="default" w:ascii="Times New Roman" w:hAnsi="Times New Roman" w:eastAsia="宋体" w:cs="Times New Roman"/>
                      <w:snapToGrid w:val="0"/>
                      <w:color w:val="auto"/>
                      <w:sz w:val="21"/>
                      <w:szCs w:val="21"/>
                      <w:highlight w:val="none"/>
                      <w:lang w:val="en-US" w:eastAsia="zh-CN"/>
                    </w:rPr>
                    <w:t>3、危险废物贮存分区标志的尺寸宜根据对应的观察距离按照《危险废物识别标志设置技术规范》表2中的要求设置。</w:t>
                  </w:r>
                </w:p>
                <w:p w14:paraId="10132F1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snapToGrid w:val="0"/>
                      <w:color w:val="auto"/>
                      <w:sz w:val="21"/>
                      <w:szCs w:val="21"/>
                      <w:highlight w:val="none"/>
                      <w:lang w:val="en-US" w:eastAsia="zh-CN"/>
                    </w:rPr>
                  </w:pPr>
                  <w:r>
                    <w:rPr>
                      <w:rFonts w:hint="default" w:ascii="Times New Roman" w:hAnsi="Times New Roman" w:eastAsia="宋体" w:cs="Times New Roman"/>
                      <w:snapToGrid w:val="0"/>
                      <w:color w:val="auto"/>
                      <w:sz w:val="21"/>
                      <w:szCs w:val="21"/>
                      <w:highlight w:val="none"/>
                      <w:lang w:val="en-US" w:eastAsia="zh-CN"/>
                    </w:rPr>
                    <w:t>4、危险废物贮存分区标志的衬底宜采用坚固耐用的材料，并具有耐用性和防水性。废物贮存种类信息等可采用印刷纸张、不粘胶材质或塑料卡片等，以便固定在衬底上。</w:t>
                  </w:r>
                </w:p>
                <w:p w14:paraId="32FDE099">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default" w:ascii="Times New Roman" w:hAnsi="Times New Roman" w:eastAsia="宋体" w:cs="Times New Roman"/>
                      <w:snapToGrid w:val="0"/>
                      <w:color w:val="auto"/>
                      <w:sz w:val="21"/>
                      <w:szCs w:val="21"/>
                      <w:highlight w:val="none"/>
                      <w:lang w:eastAsia="zh-CN"/>
                    </w:rPr>
                  </w:pPr>
                  <w:r>
                    <w:rPr>
                      <w:rFonts w:hint="default" w:ascii="Times New Roman" w:hAnsi="Times New Roman" w:eastAsia="宋体" w:cs="Times New Roman"/>
                      <w:snapToGrid w:val="0"/>
                      <w:color w:val="auto"/>
                      <w:sz w:val="21"/>
                      <w:szCs w:val="21"/>
                      <w:highlight w:val="none"/>
                      <w:lang w:val="en-US" w:eastAsia="zh-CN"/>
                    </w:rPr>
                    <w:t>5、危险废物贮存分区标志的图形和文字应清晰、完整，保证在足够的观察距离条件下不影响阅读。“危险废物贮存分区标志”字样与其他信息宜加黑色分界线区分，分界线的宽度不小于2 mm。</w:t>
                  </w:r>
                </w:p>
              </w:tc>
            </w:tr>
            <w:tr w14:paraId="6F36AA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0" w:type="dxa"/>
                </w:tblCellMar>
              </w:tblPrEx>
              <w:trPr>
                <w:trHeight w:val="1029" w:hRule="atLeast"/>
                <w:jc w:val="center"/>
              </w:trPr>
              <w:tc>
                <w:tcPr>
                  <w:tcW w:w="508" w:type="pct"/>
                  <w:noWrap w:val="0"/>
                  <w:vAlign w:val="center"/>
                </w:tcPr>
                <w:p w14:paraId="1D21606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napToGrid w:val="0"/>
                      <w:color w:val="auto"/>
                      <w:sz w:val="21"/>
                      <w:szCs w:val="21"/>
                      <w:highlight w:val="none"/>
                      <w:lang w:eastAsia="zh-CN"/>
                    </w:rPr>
                  </w:pPr>
                  <w:r>
                    <w:rPr>
                      <w:rFonts w:hint="default" w:ascii="Times New Roman" w:hAnsi="Times New Roman" w:eastAsia="宋体" w:cs="Times New Roman"/>
                      <w:snapToGrid w:val="0"/>
                      <w:color w:val="auto"/>
                      <w:sz w:val="21"/>
                      <w:szCs w:val="21"/>
                      <w:highlight w:val="none"/>
                      <w:lang w:eastAsia="zh-CN"/>
                    </w:rPr>
                    <w:t>危险废物标签</w:t>
                  </w:r>
                </w:p>
              </w:tc>
              <w:tc>
                <w:tcPr>
                  <w:tcW w:w="1430" w:type="pct"/>
                  <w:noWrap w:val="0"/>
                  <w:vAlign w:val="center"/>
                </w:tcPr>
                <w:p w14:paraId="7FE4EDE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snapToGrid w:val="0"/>
                      <w:color w:val="auto"/>
                      <w:sz w:val="21"/>
                      <w:szCs w:val="21"/>
                      <w:highlight w:val="none"/>
                      <w:lang w:eastAsia="zh-CN"/>
                    </w:rPr>
                  </w:pPr>
                  <w:r>
                    <w:rPr>
                      <w:rFonts w:hint="default" w:ascii="Times New Roman" w:hAnsi="Times New Roman" w:eastAsia="宋体" w:cs="Times New Roman"/>
                      <w:color w:val="auto"/>
                      <w:sz w:val="24"/>
                      <w:szCs w:val="24"/>
                      <w:highlight w:val="none"/>
                    </w:rPr>
                    <w:drawing>
                      <wp:inline distT="0" distB="0" distL="114300" distR="114300">
                        <wp:extent cx="1390650" cy="1353820"/>
                        <wp:effectExtent l="0" t="0" r="0" b="0"/>
                        <wp:docPr id="31" name="图片 7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74" descr="IMG_256"/>
                                <pic:cNvPicPr>
                                  <a:picLocks noChangeAspect="1"/>
                                </pic:cNvPicPr>
                              </pic:nvPicPr>
                              <pic:blipFill>
                                <a:blip r:embed="rId28"/>
                                <a:srcRect b="7695"/>
                                <a:stretch>
                                  <a:fillRect/>
                                </a:stretch>
                              </pic:blipFill>
                              <pic:spPr>
                                <a:xfrm>
                                  <a:off x="0" y="0"/>
                                  <a:ext cx="1390650" cy="1353820"/>
                                </a:xfrm>
                                <a:prstGeom prst="rect">
                                  <a:avLst/>
                                </a:prstGeom>
                                <a:noFill/>
                                <a:ln>
                                  <a:noFill/>
                                </a:ln>
                              </pic:spPr>
                            </pic:pic>
                          </a:graphicData>
                        </a:graphic>
                      </wp:inline>
                    </w:drawing>
                  </w:r>
                </w:p>
              </w:tc>
              <w:tc>
                <w:tcPr>
                  <w:tcW w:w="3061" w:type="pct"/>
                  <w:noWrap w:val="0"/>
                  <w:vAlign w:val="center"/>
                </w:tcPr>
                <w:p w14:paraId="476BCE1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default" w:ascii="Times New Roman" w:hAnsi="Times New Roman" w:eastAsia="宋体" w:cs="Times New Roman"/>
                      <w:snapToGrid w:val="0"/>
                      <w:color w:val="auto"/>
                      <w:sz w:val="21"/>
                      <w:szCs w:val="21"/>
                      <w:highlight w:val="none"/>
                      <w:lang w:val="en-US" w:eastAsia="zh-CN"/>
                    </w:rPr>
                  </w:pPr>
                  <w:r>
                    <w:rPr>
                      <w:rFonts w:hint="default" w:ascii="Times New Roman" w:hAnsi="Times New Roman" w:eastAsia="宋体" w:cs="Times New Roman"/>
                      <w:snapToGrid w:val="0"/>
                      <w:color w:val="auto"/>
                      <w:sz w:val="21"/>
                      <w:szCs w:val="21"/>
                      <w:highlight w:val="none"/>
                      <w:lang w:val="en-US" w:eastAsia="zh-CN"/>
                    </w:rPr>
                    <w:t>1、危险废物标签的背景色应采用醒目的橘黄色，RGB颜色值为（255,150,0）。标签边框和字体颜色为黑色，RGB颜色值为（0,0,0）。</w:t>
                  </w:r>
                </w:p>
                <w:p w14:paraId="790E1D7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default" w:ascii="Times New Roman" w:hAnsi="Times New Roman" w:eastAsia="宋体" w:cs="Times New Roman"/>
                      <w:snapToGrid w:val="0"/>
                      <w:color w:val="auto"/>
                      <w:sz w:val="21"/>
                      <w:szCs w:val="21"/>
                      <w:highlight w:val="none"/>
                      <w:lang w:val="en-US" w:eastAsia="zh-CN"/>
                    </w:rPr>
                  </w:pPr>
                  <w:r>
                    <w:rPr>
                      <w:rFonts w:hint="default" w:ascii="Times New Roman" w:hAnsi="Times New Roman" w:eastAsia="宋体" w:cs="Times New Roman"/>
                      <w:snapToGrid w:val="0"/>
                      <w:color w:val="auto"/>
                      <w:sz w:val="21"/>
                      <w:szCs w:val="21"/>
                      <w:highlight w:val="none"/>
                      <w:lang w:val="en-US" w:eastAsia="zh-CN"/>
                    </w:rPr>
                    <w:t>2、标签字体宜采用黑体字，其中“危险废物”字样应加粗放大。</w:t>
                  </w:r>
                </w:p>
                <w:p w14:paraId="1219FB5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default" w:ascii="Times New Roman" w:hAnsi="Times New Roman" w:eastAsia="宋体" w:cs="Times New Roman"/>
                      <w:snapToGrid w:val="0"/>
                      <w:color w:val="auto"/>
                      <w:sz w:val="21"/>
                      <w:szCs w:val="21"/>
                      <w:highlight w:val="none"/>
                      <w:lang w:val="en-US" w:eastAsia="zh-CN"/>
                    </w:rPr>
                  </w:pPr>
                  <w:r>
                    <w:rPr>
                      <w:rFonts w:hint="default" w:ascii="Times New Roman" w:hAnsi="Times New Roman" w:eastAsia="宋体" w:cs="Times New Roman"/>
                      <w:snapToGrid w:val="0"/>
                      <w:color w:val="auto"/>
                      <w:sz w:val="21"/>
                      <w:szCs w:val="21"/>
                      <w:highlight w:val="none"/>
                      <w:lang w:val="en-US" w:eastAsia="zh-CN"/>
                    </w:rPr>
                    <w:t>3、危险废物标签的尺寸宜根据容器或包装物的容积按照《危险废物识别标志设置技术规范》表1中的要求设置。</w:t>
                  </w:r>
                </w:p>
                <w:p w14:paraId="75832F4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default" w:ascii="Times New Roman" w:hAnsi="Times New Roman" w:eastAsia="宋体" w:cs="Times New Roman"/>
                      <w:snapToGrid w:val="0"/>
                      <w:color w:val="auto"/>
                      <w:sz w:val="21"/>
                      <w:szCs w:val="21"/>
                      <w:highlight w:val="none"/>
                      <w:lang w:val="en-US" w:eastAsia="zh-CN"/>
                    </w:rPr>
                  </w:pPr>
                  <w:r>
                    <w:rPr>
                      <w:rFonts w:hint="default" w:ascii="Times New Roman" w:hAnsi="Times New Roman" w:eastAsia="宋体" w:cs="Times New Roman"/>
                      <w:snapToGrid w:val="0"/>
                      <w:color w:val="auto"/>
                      <w:sz w:val="21"/>
                      <w:szCs w:val="21"/>
                      <w:highlight w:val="none"/>
                      <w:lang w:val="en-US" w:eastAsia="zh-CN"/>
                    </w:rPr>
                    <w:t>4、危险废物标签所选用的材质宜具有一定的耐用性和防水性。标签可采用不干胶印刷品，或印刷品外加防水塑料袋或塑封等。</w:t>
                  </w:r>
                </w:p>
                <w:p w14:paraId="543B7D1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default" w:ascii="Times New Roman" w:hAnsi="Times New Roman" w:eastAsia="宋体" w:cs="Times New Roman"/>
                      <w:snapToGrid w:val="0"/>
                      <w:color w:val="auto"/>
                      <w:sz w:val="21"/>
                      <w:szCs w:val="21"/>
                      <w:highlight w:val="none"/>
                      <w:lang w:eastAsia="zh-CN"/>
                    </w:rPr>
                  </w:pPr>
                  <w:r>
                    <w:rPr>
                      <w:rFonts w:hint="default" w:ascii="Times New Roman" w:hAnsi="Times New Roman" w:eastAsia="宋体" w:cs="Times New Roman"/>
                      <w:snapToGrid w:val="0"/>
                      <w:color w:val="auto"/>
                      <w:sz w:val="21"/>
                      <w:szCs w:val="21"/>
                      <w:highlight w:val="none"/>
                      <w:lang w:val="en-US" w:eastAsia="zh-CN"/>
                    </w:rPr>
                    <w:t>5、危险废物标签印刷的油墨应均匀，图案和文字应清晰、完整。危险废物标签的文字边缘宜加黑色边框，边框宽度不小于1 mm，边框外宜留不小于3 mm的空白。</w:t>
                  </w:r>
                </w:p>
              </w:tc>
            </w:tr>
          </w:tbl>
          <w:p w14:paraId="30BFBDB2">
            <w:pPr>
              <w:keepNext w:val="0"/>
              <w:keepLines w:val="0"/>
              <w:pageBreakBefore w:val="0"/>
              <w:widowControl w:val="0"/>
              <w:numPr>
                <w:ilvl w:val="0"/>
                <w:numId w:val="6"/>
              </w:numPr>
              <w:suppressLineNumbers w:val="0"/>
              <w:tabs>
                <w:tab w:val="left" w:pos="1290"/>
              </w:tabs>
              <w:kinsoku/>
              <w:wordWrap/>
              <w:overflowPunct/>
              <w:topLinePunct w:val="0"/>
              <w:autoSpaceDE/>
              <w:autoSpaceDN/>
              <w:bidi w:val="0"/>
              <w:adjustRightInd/>
              <w:snapToGrid/>
              <w:spacing w:before="157" w:beforeLines="50" w:beforeAutospacing="0" w:after="0" w:afterAutospacing="0" w:line="360" w:lineRule="auto"/>
              <w:ind w:left="0" w:leftChars="0" w:right="0" w:firstLine="480" w:firstLineChars="200"/>
              <w:textAlignment w:val="auto"/>
              <w:rPr>
                <w:rFonts w:hint="default" w:ascii="Times New Roman" w:hAnsi="Times New Roman" w:eastAsia="宋体" w:cs="Times New Roman"/>
                <w:color w:val="auto"/>
                <w:sz w:val="24"/>
              </w:rPr>
            </w:pPr>
            <w:r>
              <w:rPr>
                <w:rFonts w:hint="default" w:ascii="Times New Roman" w:hAnsi="Times New Roman" w:cs="Times New Roman"/>
                <w:sz w:val="24"/>
              </w:rPr>
              <w:t>生活垃圾</w:t>
            </w:r>
          </w:p>
          <w:p w14:paraId="2C3BB458">
            <w:pPr>
              <w:keepNext w:val="0"/>
              <w:keepLines w:val="0"/>
              <w:numPr>
                <w:ilvl w:val="0"/>
                <w:numId w:val="0"/>
              </w:numPr>
              <w:suppressLineNumbers w:val="0"/>
              <w:tabs>
                <w:tab w:val="left" w:pos="1290"/>
              </w:tabs>
              <w:spacing w:before="0" w:beforeAutospacing="0" w:after="0" w:afterAutospacing="0" w:line="360" w:lineRule="auto"/>
              <w:ind w:left="0" w:right="0"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smallCaps w:val="0"/>
                <w:color w:val="auto"/>
                <w:kern w:val="2"/>
                <w:sz w:val="24"/>
                <w:szCs w:val="24"/>
                <w:lang w:val="en-US" w:eastAsia="zh-CN" w:bidi="ar-SA"/>
              </w:rPr>
              <w:t>项目无新增劳动定员，洁净车间劳动人员由原有劳动人员调剂，无新增生活垃圾</w:t>
            </w:r>
            <w:r>
              <w:rPr>
                <w:rFonts w:hint="default" w:ascii="Times New Roman" w:hAnsi="Times New Roman" w:eastAsia="宋体" w:cs="Times New Roman"/>
                <w:color w:val="auto"/>
                <w:sz w:val="24"/>
              </w:rPr>
              <w:t>。</w:t>
            </w:r>
          </w:p>
          <w:p w14:paraId="02294F58">
            <w:pPr>
              <w:keepNext w:val="0"/>
              <w:keepLines w:val="0"/>
              <w:suppressLineNumbers w:val="0"/>
              <w:tabs>
                <w:tab w:val="left" w:pos="1290"/>
              </w:tabs>
              <w:spacing w:before="0" w:beforeAutospacing="0" w:after="0" w:afterAutospacing="0" w:line="360" w:lineRule="auto"/>
              <w:ind w:left="0" w:right="0" w:firstLine="480" w:firstLineChars="200"/>
              <w:rPr>
                <w:rFonts w:hint="default" w:ascii="Times New Roman" w:hAnsi="Times New Roman" w:cs="Times New Roman"/>
                <w:kern w:val="24"/>
                <w:sz w:val="24"/>
              </w:rPr>
            </w:pPr>
            <w:r>
              <w:rPr>
                <w:rFonts w:hint="default" w:ascii="Times New Roman" w:hAnsi="Times New Roman" w:cs="Times New Roman"/>
                <w:color w:val="000000"/>
                <w:kern w:val="0"/>
                <w:sz w:val="24"/>
              </w:rPr>
              <w:t>综上所述，本项目运营期产生的固体废物均全部综合利用或妥善处置，不外排，不会对环境造成影响。</w:t>
            </w:r>
          </w:p>
          <w:p w14:paraId="1244FBCD">
            <w:pPr>
              <w:keepNext w:val="0"/>
              <w:keepLines w:val="0"/>
              <w:suppressLineNumbers w:val="0"/>
              <w:spacing w:before="0" w:beforeAutospacing="0" w:after="0" w:afterAutospacing="0" w:line="360" w:lineRule="auto"/>
              <w:ind w:left="0" w:right="0"/>
              <w:jc w:val="left"/>
              <w:rPr>
                <w:rFonts w:hint="default" w:ascii="Times New Roman" w:hAnsi="Times New Roman" w:cs="Times New Roman"/>
                <w:b/>
                <w:bCs/>
                <w:sz w:val="24"/>
                <w:szCs w:val="22"/>
              </w:rPr>
            </w:pPr>
            <w:r>
              <w:rPr>
                <w:rFonts w:hint="default" w:ascii="Times New Roman" w:hAnsi="Times New Roman" w:cs="Times New Roman"/>
                <w:b/>
                <w:bCs/>
                <w:sz w:val="24"/>
                <w:szCs w:val="22"/>
              </w:rPr>
              <w:t>5、地下水、土壤影响分析</w:t>
            </w:r>
          </w:p>
          <w:p w14:paraId="6691266F">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sz w:val="24"/>
              </w:rPr>
            </w:pPr>
            <w:r>
              <w:rPr>
                <w:rFonts w:hint="default" w:ascii="Times New Roman" w:hAnsi="Times New Roman" w:cs="Times New Roman"/>
                <w:sz w:val="24"/>
              </w:rPr>
              <w:t>（1）污染源、污染物类型及污染途径</w:t>
            </w:r>
          </w:p>
          <w:p w14:paraId="204BE645">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4"/>
              </w:rPr>
            </w:pPr>
            <w:r>
              <w:rPr>
                <w:rFonts w:hint="default" w:ascii="Times New Roman" w:hAnsi="Times New Roman" w:cs="Times New Roman"/>
                <w:color w:val="auto"/>
                <w:sz w:val="24"/>
                <w:szCs w:val="24"/>
                <w:highlight w:val="none"/>
                <w:lang w:val="en-US" w:eastAsia="zh-CN"/>
              </w:rPr>
              <w:t>技改项目非洁净车间吹膜、印刷、复合工序废气经过集气装置收集，通过二级活性炭吸附装置处理后，由1根15m高排气筒（DA001）排放，</w:t>
            </w:r>
            <w:r>
              <w:rPr>
                <w:rFonts w:hint="default" w:ascii="Times New Roman" w:hAnsi="Times New Roman" w:eastAsia="宋体" w:cs="Times New Roman"/>
                <w:color w:val="auto"/>
                <w:sz w:val="24"/>
                <w:szCs w:val="24"/>
                <w:highlight w:val="none"/>
                <w:lang w:val="en-US" w:eastAsia="zh-CN"/>
              </w:rPr>
              <w:t>非</w:t>
            </w:r>
            <w:r>
              <w:rPr>
                <w:rFonts w:hint="default" w:ascii="Times New Roman" w:hAnsi="Times New Roman" w:cs="Times New Roman"/>
                <w:color w:val="auto"/>
                <w:sz w:val="24"/>
                <w:szCs w:val="24"/>
                <w:highlight w:val="none"/>
                <w:lang w:val="en-US" w:eastAsia="zh-CN"/>
              </w:rPr>
              <w:t>洁净车间印刷、复合、固化工序</w:t>
            </w:r>
            <w:r>
              <w:rPr>
                <w:rFonts w:hint="default" w:cs="Times New Roman"/>
                <w:color w:val="auto"/>
                <w:sz w:val="24"/>
                <w:szCs w:val="24"/>
                <w:highlight w:val="none"/>
                <w:lang w:val="en-US" w:eastAsia="zh-CN"/>
              </w:rPr>
              <w:t>与洁净车间水性油墨配制</w:t>
            </w:r>
            <w:r>
              <w:rPr>
                <w:rFonts w:hint="eastAsia" w:cs="Times New Roman"/>
                <w:color w:val="auto"/>
                <w:sz w:val="24"/>
                <w:szCs w:val="24"/>
                <w:highlight w:val="none"/>
                <w:lang w:val="en-US" w:eastAsia="zh-CN"/>
              </w:rPr>
              <w:t>、擦拭</w:t>
            </w:r>
            <w:r>
              <w:rPr>
                <w:rFonts w:hint="default" w:ascii="Times New Roman" w:hAnsi="Times New Roman" w:cs="Times New Roman"/>
                <w:color w:val="auto"/>
                <w:sz w:val="24"/>
                <w:szCs w:val="24"/>
                <w:highlight w:val="none"/>
                <w:lang w:val="en-US" w:eastAsia="zh-CN"/>
              </w:rPr>
              <w:t>废气经过集气装置收集，通过二级活性炭吸附装置处理后，由1根15m高排气筒（DA002）排放，洁净车间印刷、复合、固化工序废气经过集气装置收集，通过二级活性炭吸附装置处理后，由1根15m高排气筒（DA003）排放，</w:t>
            </w:r>
            <w:r>
              <w:rPr>
                <w:rFonts w:hint="default" w:ascii="Times New Roman" w:hAnsi="Times New Roman" w:eastAsia="宋体" w:cs="Times New Roman"/>
                <w:color w:val="auto"/>
                <w:sz w:val="24"/>
                <w:szCs w:val="24"/>
              </w:rPr>
              <w:t>主要污染物为非甲烷总烃</w:t>
            </w:r>
            <w:r>
              <w:rPr>
                <w:rFonts w:hint="default" w:ascii="Times New Roman" w:hAnsi="Times New Roman" w:eastAsia="宋体" w:cs="Times New Roman"/>
                <w:color w:val="auto"/>
                <w:sz w:val="24"/>
                <w:szCs w:val="24"/>
                <w:lang w:eastAsia="zh-CN"/>
              </w:rPr>
              <w:t>、二苯基甲烷二异氰酸酯（</w:t>
            </w:r>
            <w:r>
              <w:rPr>
                <w:rFonts w:hint="default" w:ascii="Times New Roman" w:hAnsi="Times New Roman" w:eastAsia="宋体" w:cs="Times New Roman"/>
                <w:color w:val="auto"/>
                <w:sz w:val="24"/>
                <w:szCs w:val="24"/>
                <w:lang w:val="en-US" w:eastAsia="zh-CN"/>
              </w:rPr>
              <w:t>MDI）</w:t>
            </w:r>
            <w:r>
              <w:rPr>
                <w:rFonts w:hint="default" w:cs="Times New Roman"/>
                <w:color w:val="auto"/>
                <w:sz w:val="24"/>
                <w:szCs w:val="24"/>
                <w:lang w:val="en-US" w:eastAsia="zh-CN"/>
              </w:rPr>
              <w:t>、臭气浓度</w:t>
            </w:r>
            <w:r>
              <w:rPr>
                <w:rFonts w:hint="default" w:ascii="Times New Roman" w:hAnsi="Times New Roman" w:eastAsia="宋体" w:cs="Times New Roman"/>
                <w:color w:val="auto"/>
                <w:sz w:val="24"/>
                <w:szCs w:val="24"/>
              </w:rPr>
              <w:t>，不涉及重金属离子；项目</w:t>
            </w:r>
            <w:r>
              <w:rPr>
                <w:rFonts w:hint="default" w:ascii="Times New Roman" w:hAnsi="Times New Roman" w:eastAsia="宋体" w:cs="Times New Roman"/>
                <w:color w:val="auto"/>
                <w:sz w:val="24"/>
                <w:szCs w:val="24"/>
                <w:lang w:val="en-US" w:eastAsia="zh-CN"/>
              </w:rPr>
              <w:t>无废水排放；印刷间、配制间、危废间在采取相应防渗措施的情况下，无地下水、土壤污染途径</w:t>
            </w:r>
            <w:r>
              <w:rPr>
                <w:rFonts w:hint="default" w:ascii="Times New Roman" w:hAnsi="Times New Roman" w:eastAsia="宋体" w:cs="Times New Roman"/>
                <w:color w:val="auto"/>
                <w:sz w:val="24"/>
                <w:szCs w:val="24"/>
              </w:rPr>
              <w:t>。</w:t>
            </w:r>
          </w:p>
          <w:p w14:paraId="60BA9D17">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sz w:val="24"/>
              </w:rPr>
            </w:pPr>
            <w:r>
              <w:rPr>
                <w:rFonts w:hint="default" w:ascii="Times New Roman" w:hAnsi="Times New Roman" w:cs="Times New Roman"/>
                <w:sz w:val="24"/>
              </w:rPr>
              <w:t>（2）防控措施</w:t>
            </w:r>
          </w:p>
          <w:p w14:paraId="26A6A46D">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lang w:eastAsia="zh-CN"/>
              </w:rPr>
            </w:pPr>
            <w:r>
              <w:rPr>
                <w:rFonts w:hint="default" w:ascii="Times New Roman" w:hAnsi="Times New Roman" w:cs="Times New Roman"/>
                <w:sz w:val="24"/>
              </w:rPr>
              <w:t>经现场调查，本项目</w:t>
            </w:r>
            <w:r>
              <w:rPr>
                <w:rFonts w:hint="default" w:cs="Times New Roman"/>
                <w:sz w:val="24"/>
                <w:lang w:eastAsia="zh-CN"/>
              </w:rPr>
              <w:t>除</w:t>
            </w:r>
            <w:r>
              <w:rPr>
                <w:rFonts w:hint="eastAsia" w:cs="Times New Roman"/>
                <w:sz w:val="24"/>
                <w:lang w:eastAsia="zh-CN"/>
              </w:rPr>
              <w:t>重点防渗区</w:t>
            </w:r>
            <w:r>
              <w:rPr>
                <w:rFonts w:hint="default" w:cs="Times New Roman"/>
                <w:sz w:val="24"/>
                <w:lang w:eastAsia="zh-CN"/>
              </w:rPr>
              <w:t>需进行防渗层改造外，其他区域</w:t>
            </w:r>
            <w:r>
              <w:rPr>
                <w:rFonts w:hint="default" w:ascii="Times New Roman" w:hAnsi="Times New Roman" w:cs="Times New Roman"/>
                <w:sz w:val="24"/>
                <w:lang w:val="en-US" w:eastAsia="zh-CN"/>
              </w:rPr>
              <w:t>已</w:t>
            </w:r>
            <w:r>
              <w:rPr>
                <w:rFonts w:hint="default" w:ascii="Times New Roman" w:hAnsi="Times New Roman" w:cs="Times New Roman"/>
                <w:sz w:val="24"/>
              </w:rPr>
              <w:t>采取有效的分区防渗措施。</w:t>
            </w:r>
            <w:r>
              <w:rPr>
                <w:rFonts w:hint="default"/>
                <w:sz w:val="24"/>
                <w:lang w:eastAsia="zh-CN"/>
              </w:rPr>
              <w:t>本次技改中洁净车间印刷间区域由一般防渗改为重点防渗，</w:t>
            </w:r>
            <w:r>
              <w:rPr>
                <w:rFonts w:hint="default" w:ascii="Times New Roman" w:hAnsi="Times New Roman" w:cs="Times New Roman"/>
                <w:color w:val="auto"/>
                <w:sz w:val="24"/>
              </w:rPr>
              <w:t>等效黏土防渗层Mb≥6.0m，K≤1×10</w:t>
            </w:r>
            <w:r>
              <w:rPr>
                <w:rFonts w:hint="default" w:ascii="Times New Roman" w:hAnsi="Times New Roman" w:cs="Times New Roman"/>
                <w:color w:val="auto"/>
                <w:sz w:val="24"/>
                <w:vertAlign w:val="superscript"/>
              </w:rPr>
              <w:t>-</w:t>
            </w:r>
            <w:r>
              <w:rPr>
                <w:rFonts w:hint="eastAsia" w:cs="Times New Roman"/>
                <w:color w:val="auto"/>
                <w:sz w:val="24"/>
                <w:vertAlign w:val="superscript"/>
                <w:lang w:val="en-US" w:eastAsia="zh-CN"/>
              </w:rPr>
              <w:t>10</w:t>
            </w:r>
            <w:r>
              <w:rPr>
                <w:rFonts w:hint="default" w:ascii="Times New Roman" w:hAnsi="Times New Roman" w:cs="Times New Roman"/>
                <w:color w:val="auto"/>
                <w:sz w:val="24"/>
              </w:rPr>
              <w:t>m/s</w:t>
            </w:r>
            <w:r>
              <w:rPr>
                <w:rFonts w:hint="default"/>
                <w:sz w:val="24"/>
                <w:lang w:eastAsia="zh-CN"/>
              </w:rPr>
              <w:t>。改造后全厂</w:t>
            </w:r>
            <w:r>
              <w:rPr>
                <w:rFonts w:hint="default" w:ascii="Times New Roman" w:hAnsi="Times New Roman" w:cs="Times New Roman"/>
                <w:color w:val="auto"/>
                <w:sz w:val="24"/>
              </w:rPr>
              <w:t>重点防渗区：</w:t>
            </w:r>
            <w:r>
              <w:rPr>
                <w:rFonts w:hint="default" w:ascii="Times New Roman" w:hAnsi="Times New Roman" w:cs="Times New Roman"/>
                <w:color w:val="auto"/>
                <w:sz w:val="24"/>
                <w:lang w:val="en-US" w:eastAsia="zh-CN"/>
              </w:rPr>
              <w:t>危废间、原料区、印刷间、配制间</w:t>
            </w:r>
            <w:r>
              <w:rPr>
                <w:rFonts w:hint="default" w:ascii="Times New Roman" w:hAnsi="Times New Roman" w:cs="Times New Roman"/>
                <w:color w:val="auto"/>
                <w:sz w:val="24"/>
              </w:rPr>
              <w:t>进行重点防渗，等效黏土防渗层Mb≥6.0m，K≤1×10</w:t>
            </w:r>
            <w:r>
              <w:rPr>
                <w:rFonts w:hint="default" w:ascii="Times New Roman" w:hAnsi="Times New Roman" w:cs="Times New Roman"/>
                <w:color w:val="auto"/>
                <w:sz w:val="24"/>
                <w:vertAlign w:val="superscript"/>
              </w:rPr>
              <w:t>-</w:t>
            </w:r>
            <w:r>
              <w:rPr>
                <w:rFonts w:hint="eastAsia" w:cs="Times New Roman"/>
                <w:color w:val="auto"/>
                <w:sz w:val="24"/>
                <w:vertAlign w:val="superscript"/>
                <w:lang w:val="en-US" w:eastAsia="zh-CN"/>
              </w:rPr>
              <w:t>10</w:t>
            </w:r>
            <w:r>
              <w:rPr>
                <w:rFonts w:hint="default" w:ascii="Times New Roman" w:hAnsi="Times New Roman" w:cs="Times New Roman"/>
                <w:color w:val="auto"/>
                <w:sz w:val="24"/>
              </w:rPr>
              <w:t>m/s；一般防渗区：生产车间</w:t>
            </w:r>
            <w:r>
              <w:rPr>
                <w:rFonts w:hint="default" w:ascii="Times New Roman" w:hAnsi="Times New Roman" w:cs="Times New Roman"/>
                <w:color w:val="auto"/>
                <w:sz w:val="24"/>
                <w:lang w:eastAsia="zh-CN"/>
              </w:rPr>
              <w:t>、一般固废间</w:t>
            </w:r>
            <w:r>
              <w:rPr>
                <w:rFonts w:hint="default" w:ascii="Times New Roman" w:hAnsi="Times New Roman" w:cs="Times New Roman"/>
                <w:color w:val="auto"/>
                <w:sz w:val="24"/>
              </w:rPr>
              <w:t>进行</w:t>
            </w:r>
            <w:r>
              <w:rPr>
                <w:rFonts w:hint="default" w:ascii="Times New Roman" w:hAnsi="Times New Roman" w:cs="Times New Roman"/>
                <w:color w:val="auto"/>
                <w:sz w:val="24"/>
                <w:lang w:eastAsia="zh-CN"/>
              </w:rPr>
              <w:t>一般</w:t>
            </w:r>
            <w:r>
              <w:rPr>
                <w:rFonts w:hint="default" w:ascii="Times New Roman" w:hAnsi="Times New Roman" w:cs="Times New Roman"/>
                <w:color w:val="auto"/>
                <w:sz w:val="24"/>
              </w:rPr>
              <w:t>防渗处理，满足等效黏土防渗层Mb≥1.5m，K≤1×10</w:t>
            </w:r>
            <w:r>
              <w:rPr>
                <w:rFonts w:hint="default" w:ascii="Times New Roman" w:hAnsi="Times New Roman" w:cs="Times New Roman"/>
                <w:color w:val="auto"/>
                <w:sz w:val="24"/>
                <w:vertAlign w:val="superscript"/>
              </w:rPr>
              <w:t>-7</w:t>
            </w:r>
            <w:r>
              <w:rPr>
                <w:rFonts w:hint="default" w:ascii="Times New Roman" w:hAnsi="Times New Roman" w:cs="Times New Roman"/>
                <w:color w:val="auto"/>
                <w:sz w:val="24"/>
              </w:rPr>
              <w:t>cm/s</w:t>
            </w:r>
            <w:r>
              <w:rPr>
                <w:rFonts w:hint="default" w:ascii="Times New Roman" w:hAnsi="Times New Roman" w:cs="Times New Roman"/>
                <w:color w:val="auto"/>
                <w:sz w:val="24"/>
                <w:lang w:eastAsia="zh-CN"/>
              </w:rPr>
              <w:t>；</w:t>
            </w:r>
            <w:r>
              <w:rPr>
                <w:rFonts w:hint="default" w:ascii="Times New Roman" w:hAnsi="Times New Roman" w:cs="Times New Roman"/>
                <w:sz w:val="24"/>
                <w:lang w:eastAsia="zh-CN"/>
              </w:rPr>
              <w:t>简单防渗：对倒班楼、门卫、厂区道路等</w:t>
            </w:r>
            <w:r>
              <w:rPr>
                <w:rFonts w:hint="default" w:cs="Times New Roman"/>
                <w:sz w:val="24"/>
                <w:lang w:eastAsia="zh-CN"/>
              </w:rPr>
              <w:t>进行</w:t>
            </w:r>
            <w:r>
              <w:rPr>
                <w:rFonts w:hint="default" w:ascii="Times New Roman" w:hAnsi="Times New Roman" w:cs="Times New Roman"/>
                <w:sz w:val="24"/>
                <w:lang w:eastAsia="zh-CN"/>
              </w:rPr>
              <w:t>简单防渗，进行水泥硬化</w:t>
            </w:r>
            <w:r>
              <w:rPr>
                <w:rFonts w:hint="default" w:ascii="Times New Roman" w:hAnsi="Times New Roman" w:cs="Times New Roman"/>
                <w:color w:val="auto"/>
                <w:sz w:val="24"/>
              </w:rPr>
              <w:t>。</w:t>
            </w:r>
          </w:p>
          <w:p w14:paraId="5B22901B">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Autospacing="0" w:line="240" w:lineRule="auto"/>
              <w:ind w:left="0" w:right="0" w:firstLine="422" w:firstLineChars="200"/>
              <w:jc w:val="center"/>
              <w:textAlignment w:val="auto"/>
              <w:rPr>
                <w:rFonts w:hint="default" w:ascii="Times New Roman" w:hAnsi="Times New Roman" w:eastAsia="宋体" w:cs="Times New Roman"/>
                <w:b/>
                <w:bCs/>
                <w:color w:val="000000"/>
                <w:kern w:val="0"/>
                <w:sz w:val="21"/>
                <w:szCs w:val="21"/>
                <w:lang w:val="en-US" w:eastAsia="zh-CN" w:bidi="ar-SA"/>
              </w:rPr>
            </w:pPr>
            <w:r>
              <w:rPr>
                <w:rFonts w:hint="default" w:ascii="Times New Roman" w:hAnsi="Times New Roman" w:eastAsia="宋体" w:cs="Times New Roman"/>
                <w:b/>
                <w:bCs/>
                <w:color w:val="000000"/>
                <w:kern w:val="0"/>
                <w:sz w:val="21"/>
                <w:szCs w:val="21"/>
                <w:lang w:val="en-US" w:eastAsia="zh-CN" w:bidi="ar-SA"/>
              </w:rPr>
              <w:t>污染防治分区情况一览表</w:t>
            </w:r>
          </w:p>
          <w:tbl>
            <w:tblPr>
              <w:tblStyle w:val="38"/>
              <w:tblW w:w="5021" w:type="pct"/>
              <w:tblInd w:w="-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8"/>
              <w:gridCol w:w="952"/>
              <w:gridCol w:w="2193"/>
              <w:gridCol w:w="3856"/>
              <w:gridCol w:w="790"/>
            </w:tblGrid>
            <w:tr w14:paraId="310D55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283" w:type="pct"/>
                  <w:noWrap w:val="0"/>
                  <w:vAlign w:val="center"/>
                </w:tcPr>
                <w:p w14:paraId="32F1DF4A">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snapToGrid w:val="0"/>
                      <w:color w:val="auto"/>
                      <w:sz w:val="21"/>
                      <w:szCs w:val="21"/>
                      <w:highlight w:val="none"/>
                      <w:lang w:val="en-US" w:eastAsia="zh-CN"/>
                    </w:rPr>
                  </w:pPr>
                  <w:r>
                    <w:rPr>
                      <w:rFonts w:hint="default" w:ascii="Times New Roman" w:hAnsi="Times New Roman" w:eastAsia="宋体" w:cs="Times New Roman"/>
                      <w:snapToGrid w:val="0"/>
                      <w:color w:val="auto"/>
                      <w:sz w:val="21"/>
                      <w:szCs w:val="21"/>
                      <w:highlight w:val="none"/>
                      <w:lang w:val="en-US" w:eastAsia="zh-CN"/>
                    </w:rPr>
                    <w:t>序号</w:t>
                  </w:r>
                </w:p>
              </w:tc>
              <w:tc>
                <w:tcPr>
                  <w:tcW w:w="576" w:type="pct"/>
                  <w:noWrap w:val="0"/>
                  <w:vAlign w:val="center"/>
                </w:tcPr>
                <w:p w14:paraId="745CC703">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snapToGrid w:val="0"/>
                      <w:color w:val="auto"/>
                      <w:sz w:val="21"/>
                      <w:szCs w:val="21"/>
                      <w:highlight w:val="none"/>
                      <w:lang w:val="en-US" w:eastAsia="zh-CN"/>
                    </w:rPr>
                  </w:pPr>
                  <w:r>
                    <w:rPr>
                      <w:rFonts w:hint="default" w:ascii="Times New Roman" w:hAnsi="Times New Roman" w:eastAsia="宋体" w:cs="Times New Roman"/>
                      <w:snapToGrid w:val="0"/>
                      <w:color w:val="auto"/>
                      <w:sz w:val="21"/>
                      <w:szCs w:val="21"/>
                      <w:highlight w:val="none"/>
                      <w:lang w:val="en-US" w:eastAsia="zh-CN"/>
                    </w:rPr>
                    <w:t>污染防治区主要类别</w:t>
                  </w:r>
                </w:p>
              </w:tc>
              <w:tc>
                <w:tcPr>
                  <w:tcW w:w="1327" w:type="pct"/>
                  <w:noWrap w:val="0"/>
                  <w:vAlign w:val="center"/>
                </w:tcPr>
                <w:p w14:paraId="76B22C6E">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snapToGrid w:val="0"/>
                      <w:color w:val="auto"/>
                      <w:sz w:val="21"/>
                      <w:szCs w:val="21"/>
                      <w:highlight w:val="none"/>
                      <w:lang w:val="en-US" w:eastAsia="zh-CN"/>
                    </w:rPr>
                  </w:pPr>
                  <w:r>
                    <w:rPr>
                      <w:rFonts w:hint="default" w:ascii="Times New Roman" w:hAnsi="Times New Roman" w:eastAsia="宋体" w:cs="Times New Roman"/>
                      <w:snapToGrid w:val="0"/>
                      <w:color w:val="auto"/>
                      <w:sz w:val="21"/>
                      <w:szCs w:val="21"/>
                      <w:highlight w:val="none"/>
                      <w:lang w:val="en-US" w:eastAsia="zh-CN"/>
                    </w:rPr>
                    <w:t>装置、单元名称</w:t>
                  </w:r>
                </w:p>
              </w:tc>
              <w:tc>
                <w:tcPr>
                  <w:tcW w:w="2334" w:type="pct"/>
                  <w:noWrap w:val="0"/>
                  <w:vAlign w:val="center"/>
                </w:tcPr>
                <w:p w14:paraId="0C09E10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snapToGrid w:val="0"/>
                      <w:color w:val="auto"/>
                      <w:sz w:val="21"/>
                      <w:szCs w:val="21"/>
                      <w:highlight w:val="none"/>
                      <w:lang w:val="en-US" w:eastAsia="zh-CN"/>
                    </w:rPr>
                  </w:pPr>
                  <w:r>
                    <w:rPr>
                      <w:rFonts w:hint="default" w:ascii="Times New Roman" w:hAnsi="Times New Roman" w:eastAsia="宋体" w:cs="Times New Roman"/>
                      <w:snapToGrid w:val="0"/>
                      <w:color w:val="auto"/>
                      <w:sz w:val="21"/>
                      <w:szCs w:val="21"/>
                      <w:highlight w:val="none"/>
                      <w:lang w:val="en-US" w:eastAsia="zh-CN"/>
                    </w:rPr>
                    <w:t>防渗情况</w:t>
                  </w:r>
                </w:p>
              </w:tc>
              <w:tc>
                <w:tcPr>
                  <w:tcW w:w="478" w:type="pct"/>
                  <w:noWrap w:val="0"/>
                  <w:vAlign w:val="center"/>
                </w:tcPr>
                <w:p w14:paraId="418648D3">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snapToGrid w:val="0"/>
                      <w:color w:val="auto"/>
                      <w:sz w:val="21"/>
                      <w:szCs w:val="21"/>
                      <w:highlight w:val="none"/>
                      <w:lang w:val="en-US" w:eastAsia="zh-CN"/>
                    </w:rPr>
                  </w:pPr>
                  <w:r>
                    <w:rPr>
                      <w:rFonts w:hint="default" w:ascii="Times New Roman" w:hAnsi="Times New Roman" w:eastAsia="宋体" w:cs="Times New Roman"/>
                      <w:snapToGrid w:val="0"/>
                      <w:color w:val="auto"/>
                      <w:sz w:val="21"/>
                      <w:szCs w:val="21"/>
                      <w:highlight w:val="none"/>
                      <w:lang w:val="en-US" w:eastAsia="zh-CN"/>
                    </w:rPr>
                    <w:t>备注</w:t>
                  </w:r>
                </w:p>
              </w:tc>
            </w:tr>
            <w:tr w14:paraId="33641B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283" w:type="pct"/>
                  <w:vMerge w:val="restart"/>
                  <w:noWrap w:val="0"/>
                  <w:vAlign w:val="center"/>
                </w:tcPr>
                <w:p w14:paraId="48877192">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snapToGrid w:val="0"/>
                      <w:color w:val="auto"/>
                      <w:sz w:val="21"/>
                      <w:szCs w:val="21"/>
                      <w:highlight w:val="none"/>
                      <w:lang w:val="en-US" w:eastAsia="zh-CN"/>
                    </w:rPr>
                  </w:pPr>
                  <w:r>
                    <w:rPr>
                      <w:rFonts w:hint="default" w:ascii="Times New Roman" w:hAnsi="Times New Roman" w:eastAsia="宋体" w:cs="Times New Roman"/>
                      <w:snapToGrid w:val="0"/>
                      <w:color w:val="auto"/>
                      <w:sz w:val="21"/>
                      <w:szCs w:val="21"/>
                      <w:highlight w:val="none"/>
                      <w:lang w:val="en-US" w:eastAsia="zh-CN"/>
                    </w:rPr>
                    <w:t>1</w:t>
                  </w:r>
                </w:p>
              </w:tc>
              <w:tc>
                <w:tcPr>
                  <w:tcW w:w="576" w:type="pct"/>
                  <w:vMerge w:val="restart"/>
                  <w:noWrap w:val="0"/>
                  <w:vAlign w:val="center"/>
                </w:tcPr>
                <w:p w14:paraId="0362D47D">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snapToGrid w:val="0"/>
                      <w:color w:val="auto"/>
                      <w:sz w:val="21"/>
                      <w:szCs w:val="21"/>
                      <w:highlight w:val="none"/>
                      <w:lang w:val="en-US" w:eastAsia="zh-CN"/>
                    </w:rPr>
                  </w:pPr>
                  <w:r>
                    <w:rPr>
                      <w:rFonts w:hint="default" w:ascii="Times New Roman" w:hAnsi="Times New Roman" w:eastAsia="宋体" w:cs="Times New Roman"/>
                      <w:snapToGrid w:val="0"/>
                      <w:color w:val="auto"/>
                      <w:sz w:val="21"/>
                      <w:szCs w:val="21"/>
                      <w:highlight w:val="none"/>
                      <w:lang w:val="en-US" w:eastAsia="zh-CN"/>
                    </w:rPr>
                    <w:t>重点防渗区</w:t>
                  </w:r>
                </w:p>
              </w:tc>
              <w:tc>
                <w:tcPr>
                  <w:tcW w:w="1327" w:type="pct"/>
                  <w:noWrap w:val="0"/>
                  <w:vAlign w:val="center"/>
                </w:tcPr>
                <w:p w14:paraId="07BCF6B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snapToGrid w:val="0"/>
                      <w:color w:val="auto"/>
                      <w:sz w:val="21"/>
                      <w:szCs w:val="21"/>
                      <w:highlight w:val="none"/>
                      <w:lang w:val="en-US" w:eastAsia="zh-CN"/>
                    </w:rPr>
                  </w:pPr>
                  <w:r>
                    <w:rPr>
                      <w:rFonts w:hint="default" w:ascii="Times New Roman" w:hAnsi="Times New Roman" w:eastAsia="宋体" w:cs="Times New Roman"/>
                      <w:snapToGrid w:val="0"/>
                      <w:color w:val="auto"/>
                      <w:sz w:val="21"/>
                      <w:szCs w:val="21"/>
                      <w:highlight w:val="none"/>
                      <w:lang w:val="en-US" w:eastAsia="zh-CN"/>
                    </w:rPr>
                    <w:t>危废暂存间、原料区、</w:t>
                  </w:r>
                  <w:r>
                    <w:rPr>
                      <w:rFonts w:hint="default" w:cs="Times New Roman"/>
                      <w:snapToGrid w:val="0"/>
                      <w:color w:val="auto"/>
                      <w:sz w:val="21"/>
                      <w:szCs w:val="21"/>
                      <w:highlight w:val="none"/>
                      <w:lang w:val="en-US" w:eastAsia="zh-CN"/>
                    </w:rPr>
                    <w:t>非洁净车间</w:t>
                  </w:r>
                  <w:r>
                    <w:rPr>
                      <w:rFonts w:hint="default" w:ascii="Times New Roman" w:hAnsi="Times New Roman" w:eastAsia="宋体" w:cs="Times New Roman"/>
                      <w:snapToGrid w:val="0"/>
                      <w:color w:val="auto"/>
                      <w:sz w:val="21"/>
                      <w:szCs w:val="21"/>
                      <w:highlight w:val="none"/>
                      <w:lang w:val="en-US" w:eastAsia="zh-CN"/>
                    </w:rPr>
                    <w:t>印刷间</w:t>
                  </w:r>
                  <w:r>
                    <w:rPr>
                      <w:rFonts w:hint="default" w:ascii="Times New Roman" w:hAnsi="Times New Roman" w:cs="Times New Roman"/>
                      <w:lang w:eastAsia="zh-CN"/>
                    </w:rPr>
                    <w:t>、配制间</w:t>
                  </w:r>
                  <w:r>
                    <w:rPr>
                      <w:rFonts w:hint="eastAsia" w:cs="Times New Roman"/>
                      <w:lang w:eastAsia="zh-CN"/>
                    </w:rPr>
                    <w:t>、</w:t>
                  </w:r>
                  <w:r>
                    <w:rPr>
                      <w:rFonts w:hint="default" w:cs="Times New Roman"/>
                      <w:snapToGrid w:val="0"/>
                      <w:color w:val="auto"/>
                      <w:sz w:val="21"/>
                      <w:szCs w:val="21"/>
                      <w:highlight w:val="none"/>
                      <w:lang w:val="en-US" w:eastAsia="zh-CN"/>
                    </w:rPr>
                    <w:t>洁净车间印刷间</w:t>
                  </w:r>
                </w:p>
              </w:tc>
              <w:tc>
                <w:tcPr>
                  <w:tcW w:w="2334" w:type="pct"/>
                  <w:noWrap w:val="0"/>
                  <w:vAlign w:val="center"/>
                </w:tcPr>
                <w:p w14:paraId="1202C45D">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snapToGrid w:val="0"/>
                      <w:color w:val="auto"/>
                      <w:sz w:val="21"/>
                      <w:szCs w:val="21"/>
                      <w:highlight w:val="none"/>
                      <w:lang w:val="en-US" w:eastAsia="zh-CN"/>
                    </w:rPr>
                  </w:pPr>
                  <w:r>
                    <w:rPr>
                      <w:rFonts w:hint="default" w:ascii="Times New Roman" w:hAnsi="Times New Roman" w:eastAsia="宋体" w:cs="Times New Roman"/>
                      <w:color w:val="auto"/>
                      <w:sz w:val="21"/>
                      <w:szCs w:val="21"/>
                    </w:rPr>
                    <w:t>等效粘土防渗层Mb≥6.0m，K≤1×10</w:t>
                  </w:r>
                  <w:r>
                    <w:rPr>
                      <w:rFonts w:hint="default" w:ascii="Times New Roman" w:hAnsi="Times New Roman" w:eastAsia="宋体" w:cs="Times New Roman"/>
                      <w:color w:val="auto"/>
                      <w:sz w:val="21"/>
                      <w:szCs w:val="21"/>
                      <w:vertAlign w:val="superscript"/>
                    </w:rPr>
                    <w:t>-</w:t>
                  </w:r>
                  <w:r>
                    <w:rPr>
                      <w:rFonts w:hint="eastAsia" w:cs="Times New Roman"/>
                      <w:color w:val="auto"/>
                      <w:sz w:val="21"/>
                      <w:szCs w:val="21"/>
                      <w:vertAlign w:val="superscript"/>
                      <w:lang w:val="en-US" w:eastAsia="zh-CN"/>
                    </w:rPr>
                    <w:t>10</w:t>
                  </w:r>
                  <w:r>
                    <w:rPr>
                      <w:rFonts w:hint="default" w:ascii="Times New Roman" w:hAnsi="Times New Roman" w:eastAsia="宋体" w:cs="Times New Roman"/>
                      <w:color w:val="auto"/>
                      <w:sz w:val="21"/>
                      <w:szCs w:val="21"/>
                    </w:rPr>
                    <w:t>cm/s</w:t>
                  </w:r>
                </w:p>
              </w:tc>
              <w:tc>
                <w:tcPr>
                  <w:tcW w:w="478" w:type="pct"/>
                  <w:noWrap w:val="0"/>
                  <w:vAlign w:val="center"/>
                </w:tcPr>
                <w:p w14:paraId="4E8EFF47">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lang w:eastAsia="zh-CN"/>
                    </w:rPr>
                  </w:pPr>
                  <w:r>
                    <w:rPr>
                      <w:rFonts w:hint="default" w:cs="Times New Roman"/>
                      <w:snapToGrid w:val="0"/>
                      <w:color w:val="auto"/>
                      <w:sz w:val="21"/>
                      <w:szCs w:val="21"/>
                      <w:highlight w:val="none"/>
                      <w:lang w:val="en-US" w:eastAsia="zh-CN"/>
                    </w:rPr>
                    <w:t>改造</w:t>
                  </w:r>
                </w:p>
              </w:tc>
            </w:tr>
            <w:tr w14:paraId="3576BB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283" w:type="pct"/>
                  <w:noWrap w:val="0"/>
                  <w:vAlign w:val="center"/>
                </w:tcPr>
                <w:p w14:paraId="2F582637">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snapToGrid w:val="0"/>
                      <w:color w:val="auto"/>
                      <w:sz w:val="21"/>
                      <w:szCs w:val="21"/>
                      <w:highlight w:val="none"/>
                      <w:lang w:val="en-US" w:eastAsia="zh-CN"/>
                    </w:rPr>
                  </w:pPr>
                  <w:r>
                    <w:rPr>
                      <w:rFonts w:hint="default" w:ascii="Times New Roman" w:hAnsi="Times New Roman" w:eastAsia="宋体" w:cs="Times New Roman"/>
                      <w:snapToGrid w:val="0"/>
                      <w:color w:val="auto"/>
                      <w:sz w:val="21"/>
                      <w:szCs w:val="21"/>
                      <w:highlight w:val="none"/>
                      <w:lang w:val="en-US" w:eastAsia="zh-CN"/>
                    </w:rPr>
                    <w:t>2</w:t>
                  </w:r>
                </w:p>
              </w:tc>
              <w:tc>
                <w:tcPr>
                  <w:tcW w:w="576" w:type="pct"/>
                  <w:noWrap w:val="0"/>
                  <w:vAlign w:val="center"/>
                </w:tcPr>
                <w:p w14:paraId="3125D491">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snapToGrid w:val="0"/>
                      <w:color w:val="auto"/>
                      <w:sz w:val="21"/>
                      <w:szCs w:val="21"/>
                      <w:highlight w:val="none"/>
                      <w:lang w:val="en-US" w:eastAsia="zh-CN"/>
                    </w:rPr>
                  </w:pPr>
                  <w:r>
                    <w:rPr>
                      <w:rFonts w:hint="default" w:ascii="Times New Roman" w:hAnsi="Times New Roman" w:eastAsia="宋体" w:cs="Times New Roman"/>
                      <w:snapToGrid w:val="0"/>
                      <w:color w:val="auto"/>
                      <w:sz w:val="21"/>
                      <w:szCs w:val="21"/>
                      <w:highlight w:val="none"/>
                      <w:lang w:val="en-US" w:eastAsia="zh-CN"/>
                    </w:rPr>
                    <w:t>一般防渗区</w:t>
                  </w:r>
                </w:p>
              </w:tc>
              <w:tc>
                <w:tcPr>
                  <w:tcW w:w="1327" w:type="pct"/>
                  <w:noWrap w:val="0"/>
                  <w:vAlign w:val="center"/>
                </w:tcPr>
                <w:p w14:paraId="33AE3D4C">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snapToGrid w:val="0"/>
                      <w:color w:val="auto"/>
                      <w:sz w:val="21"/>
                      <w:szCs w:val="21"/>
                      <w:highlight w:val="none"/>
                      <w:lang w:val="en-US" w:eastAsia="zh-CN"/>
                    </w:rPr>
                  </w:pPr>
                  <w:r>
                    <w:rPr>
                      <w:rFonts w:hint="default" w:ascii="Times New Roman" w:hAnsi="Times New Roman" w:eastAsia="宋体" w:cs="Times New Roman"/>
                      <w:snapToGrid w:val="0"/>
                      <w:color w:val="auto"/>
                      <w:sz w:val="21"/>
                      <w:szCs w:val="21"/>
                      <w:highlight w:val="none"/>
                      <w:lang w:val="en-US" w:eastAsia="zh-CN"/>
                    </w:rPr>
                    <w:t>生产车间、一般固废暂存间</w:t>
                  </w:r>
                </w:p>
              </w:tc>
              <w:tc>
                <w:tcPr>
                  <w:tcW w:w="2334" w:type="pct"/>
                  <w:noWrap w:val="0"/>
                  <w:vAlign w:val="center"/>
                </w:tcPr>
                <w:p w14:paraId="02EAFA6F">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snapToGrid w:val="0"/>
                      <w:color w:val="auto"/>
                      <w:sz w:val="21"/>
                      <w:szCs w:val="21"/>
                      <w:highlight w:val="none"/>
                      <w:lang w:val="en-US" w:eastAsia="zh-CN"/>
                    </w:rPr>
                  </w:pPr>
                  <w:r>
                    <w:rPr>
                      <w:rFonts w:hint="default" w:ascii="Times New Roman" w:hAnsi="Times New Roman" w:eastAsia="宋体" w:cs="Times New Roman"/>
                      <w:color w:val="auto"/>
                      <w:sz w:val="21"/>
                      <w:szCs w:val="21"/>
                    </w:rPr>
                    <w:t>等效粘土防渗层Mb≥1.5m，K≤1×10</w:t>
                  </w:r>
                  <w:r>
                    <w:rPr>
                      <w:rFonts w:hint="default" w:ascii="Times New Roman" w:hAnsi="Times New Roman" w:eastAsia="宋体" w:cs="Times New Roman"/>
                      <w:color w:val="auto"/>
                      <w:sz w:val="21"/>
                      <w:szCs w:val="21"/>
                      <w:vertAlign w:val="superscript"/>
                    </w:rPr>
                    <w:t>-7</w:t>
                  </w:r>
                  <w:r>
                    <w:rPr>
                      <w:rFonts w:hint="default" w:ascii="Times New Roman" w:hAnsi="Times New Roman" w:eastAsia="宋体" w:cs="Times New Roman"/>
                      <w:color w:val="auto"/>
                      <w:sz w:val="21"/>
                      <w:szCs w:val="21"/>
                    </w:rPr>
                    <w:t>cm/s</w:t>
                  </w:r>
                  <w:r>
                    <w:rPr>
                      <w:rFonts w:hint="default" w:ascii="Times New Roman" w:hAnsi="Times New Roman" w:eastAsia="宋体" w:cs="Times New Roman"/>
                      <w:color w:val="auto"/>
                      <w:sz w:val="21"/>
                      <w:szCs w:val="21"/>
                      <w:lang w:eastAsia="zh-CN"/>
                    </w:rPr>
                    <w:t>。</w:t>
                  </w:r>
                </w:p>
              </w:tc>
              <w:tc>
                <w:tcPr>
                  <w:tcW w:w="478" w:type="pct"/>
                  <w:noWrap w:val="0"/>
                  <w:vAlign w:val="center"/>
                </w:tcPr>
                <w:p w14:paraId="3E08D466">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依托</w:t>
                  </w:r>
                </w:p>
              </w:tc>
            </w:tr>
            <w:tr w14:paraId="57DEBB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283" w:type="pct"/>
                  <w:noWrap w:val="0"/>
                  <w:vAlign w:val="center"/>
                </w:tcPr>
                <w:p w14:paraId="38DB26D2">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snapToGrid w:val="0"/>
                      <w:color w:val="auto"/>
                      <w:sz w:val="21"/>
                      <w:szCs w:val="21"/>
                      <w:highlight w:val="none"/>
                      <w:lang w:val="en-US" w:eastAsia="zh-CN"/>
                    </w:rPr>
                  </w:pPr>
                  <w:r>
                    <w:rPr>
                      <w:rFonts w:hint="default" w:ascii="Times New Roman" w:hAnsi="Times New Roman" w:eastAsia="宋体" w:cs="Times New Roman"/>
                      <w:snapToGrid w:val="0"/>
                      <w:color w:val="auto"/>
                      <w:sz w:val="21"/>
                      <w:szCs w:val="21"/>
                      <w:highlight w:val="none"/>
                      <w:lang w:val="en-US" w:eastAsia="zh-CN"/>
                    </w:rPr>
                    <w:t>3</w:t>
                  </w:r>
                </w:p>
              </w:tc>
              <w:tc>
                <w:tcPr>
                  <w:tcW w:w="576" w:type="pct"/>
                  <w:noWrap w:val="0"/>
                  <w:vAlign w:val="center"/>
                </w:tcPr>
                <w:p w14:paraId="5F00F48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snapToGrid w:val="0"/>
                      <w:color w:val="auto"/>
                      <w:sz w:val="21"/>
                      <w:szCs w:val="21"/>
                      <w:highlight w:val="none"/>
                      <w:lang w:val="en-US" w:eastAsia="zh-CN"/>
                    </w:rPr>
                  </w:pPr>
                  <w:r>
                    <w:rPr>
                      <w:rFonts w:hint="default" w:ascii="Times New Roman" w:hAnsi="Times New Roman" w:eastAsia="宋体" w:cs="Times New Roman"/>
                      <w:snapToGrid w:val="0"/>
                      <w:color w:val="auto"/>
                      <w:sz w:val="21"/>
                      <w:szCs w:val="21"/>
                      <w:highlight w:val="none"/>
                      <w:lang w:val="en-US" w:eastAsia="zh-CN"/>
                    </w:rPr>
                    <w:t>简单防渗</w:t>
                  </w:r>
                </w:p>
              </w:tc>
              <w:tc>
                <w:tcPr>
                  <w:tcW w:w="1327" w:type="pct"/>
                  <w:noWrap w:val="0"/>
                  <w:vAlign w:val="center"/>
                </w:tcPr>
                <w:p w14:paraId="791B9E9C">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snapToGrid w:val="0"/>
                      <w:color w:val="auto"/>
                      <w:sz w:val="21"/>
                      <w:szCs w:val="21"/>
                      <w:highlight w:val="none"/>
                      <w:lang w:val="en-US" w:eastAsia="zh-CN"/>
                    </w:rPr>
                  </w:pPr>
                  <w:r>
                    <w:rPr>
                      <w:rFonts w:hint="default"/>
                      <w:snapToGrid w:val="0"/>
                      <w:color w:val="auto"/>
                      <w:sz w:val="21"/>
                      <w:szCs w:val="21"/>
                      <w:highlight w:val="none"/>
                      <w:lang w:eastAsia="zh-CN"/>
                    </w:rPr>
                    <w:t>倒班楼、门卫、厂区道路</w:t>
                  </w:r>
                </w:p>
              </w:tc>
              <w:tc>
                <w:tcPr>
                  <w:tcW w:w="2334" w:type="pct"/>
                  <w:noWrap w:val="0"/>
                  <w:vAlign w:val="center"/>
                </w:tcPr>
                <w:p w14:paraId="2BF6813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水泥硬化</w:t>
                  </w:r>
                </w:p>
              </w:tc>
              <w:tc>
                <w:tcPr>
                  <w:tcW w:w="478" w:type="pct"/>
                  <w:noWrap w:val="0"/>
                  <w:vAlign w:val="center"/>
                </w:tcPr>
                <w:p w14:paraId="312BBB6C">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依托</w:t>
                  </w:r>
                </w:p>
              </w:tc>
            </w:tr>
          </w:tbl>
          <w:p w14:paraId="2B483E74">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firstLine="480" w:firstLineChars="200"/>
              <w:textAlignment w:val="auto"/>
              <w:rPr>
                <w:rFonts w:hint="default" w:ascii="Times New Roman" w:hAnsi="Times New Roman" w:cs="Times New Roman"/>
                <w:sz w:val="24"/>
              </w:rPr>
            </w:pPr>
            <w:r>
              <w:rPr>
                <w:rFonts w:hint="default" w:ascii="Times New Roman" w:hAnsi="Times New Roman" w:eastAsia="宋体" w:cs="Times New Roman"/>
                <w:color w:val="auto"/>
                <w:sz w:val="24"/>
                <w:szCs w:val="24"/>
              </w:rPr>
              <w:t>综上所述，项目不涉及污水入渗影响，同时企业加强日常养护管理，检查厂区地面是否出现破裂现象，一旦发现地层防渗层破裂，及时进行维护，确保防渗系统安全，</w:t>
            </w:r>
            <w:r>
              <w:rPr>
                <w:rFonts w:hint="default"/>
                <w:sz w:val="24"/>
                <w:highlight w:val="none"/>
              </w:rPr>
              <w:t>采取上述措施后</w:t>
            </w:r>
            <w:r>
              <w:rPr>
                <w:rFonts w:hint="default"/>
                <w:sz w:val="24"/>
                <w:highlight w:val="none"/>
                <w:lang w:eastAsia="zh-CN"/>
              </w:rPr>
              <w:t>，</w:t>
            </w:r>
            <w:r>
              <w:rPr>
                <w:rFonts w:hint="default" w:ascii="Times New Roman" w:hAnsi="Times New Roman" w:eastAsia="宋体" w:cs="Times New Roman"/>
                <w:color w:val="auto"/>
                <w:sz w:val="24"/>
                <w:szCs w:val="24"/>
              </w:rPr>
              <w:t>不会对周围地下水环境、土壤环境产生明显影响</w:t>
            </w:r>
            <w:r>
              <w:rPr>
                <w:rFonts w:hint="default"/>
                <w:sz w:val="24"/>
                <w:highlight w:val="none"/>
              </w:rPr>
              <w:t>。</w:t>
            </w:r>
          </w:p>
          <w:p w14:paraId="034661B4">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ascii="Times New Roman" w:hAnsi="Times New Roman" w:cs="Times New Roman"/>
                <w:b/>
                <w:bCs/>
                <w:kern w:val="0"/>
                <w:sz w:val="24"/>
                <w:szCs w:val="22"/>
              </w:rPr>
            </w:pPr>
            <w:r>
              <w:rPr>
                <w:rFonts w:hint="default" w:ascii="Times New Roman" w:hAnsi="Times New Roman" w:cs="Times New Roman"/>
                <w:b/>
                <w:bCs/>
                <w:kern w:val="0"/>
                <w:sz w:val="24"/>
                <w:szCs w:val="22"/>
              </w:rPr>
              <w:t>6、生态环境影响分析</w:t>
            </w:r>
          </w:p>
          <w:p w14:paraId="2D31E5A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rPr>
              <w:t>项目位于</w:t>
            </w:r>
            <w:r>
              <w:rPr>
                <w:rFonts w:hint="default" w:ascii="Times New Roman" w:hAnsi="Times New Roman" w:eastAsia="宋体" w:cs="Times New Roman"/>
                <w:color w:val="auto"/>
                <w:sz w:val="24"/>
                <w:lang w:eastAsia="zh-CN"/>
              </w:rPr>
              <w:t>沧州临港经济技术开发区西区</w:t>
            </w:r>
            <w:r>
              <w:rPr>
                <w:rFonts w:hint="default" w:ascii="Times New Roman" w:hAnsi="Times New Roman" w:eastAsia="宋体" w:cs="Times New Roman"/>
                <w:color w:val="auto"/>
                <w:sz w:val="24"/>
              </w:rPr>
              <w:t>，</w:t>
            </w:r>
            <w:r>
              <w:rPr>
                <w:rFonts w:hint="default" w:ascii="Times New Roman" w:hAnsi="Times New Roman" w:eastAsia="宋体" w:cs="Times New Roman"/>
                <w:color w:val="auto"/>
                <w:sz w:val="24"/>
                <w:szCs w:val="24"/>
              </w:rPr>
              <w:t>项目占地内原有生物物种在项目周围地域广泛存在，基本不影响评价区域的生物多样性。本项目所在区域的人工环境对生物流通起主要作用，本项目运营对生物流通的影响相对较小。尽管本项目运营对周围生态环境产生了一定的影响，但是相对于评价区域来说，该项目建设和运营对周围生态环境基本上没有产生明显的影响。</w:t>
            </w:r>
          </w:p>
          <w:p w14:paraId="4DDD6FA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kern w:val="0"/>
                <w:sz w:val="24"/>
                <w:szCs w:val="22"/>
              </w:rPr>
            </w:pPr>
            <w:r>
              <w:rPr>
                <w:rFonts w:hint="default" w:ascii="Times New Roman" w:hAnsi="Times New Roman" w:eastAsia="宋体" w:cs="Times New Roman"/>
                <w:color w:val="auto"/>
                <w:sz w:val="24"/>
                <w:szCs w:val="24"/>
              </w:rPr>
              <w:t>因而，该项目的建设不会对生态系统的完整性造成负面影响</w:t>
            </w:r>
            <w:r>
              <w:rPr>
                <w:rFonts w:hint="default" w:ascii="Times New Roman" w:hAnsi="Times New Roman" w:eastAsia="宋体" w:cs="Times New Roman"/>
                <w:color w:val="auto"/>
                <w:sz w:val="24"/>
              </w:rPr>
              <w:t>。</w:t>
            </w:r>
          </w:p>
          <w:p w14:paraId="0C23A69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ascii="Times New Roman" w:hAnsi="Times New Roman" w:cs="Times New Roman"/>
                <w:b/>
                <w:sz w:val="24"/>
              </w:rPr>
            </w:pPr>
            <w:r>
              <w:rPr>
                <w:rFonts w:hint="default" w:ascii="Times New Roman" w:hAnsi="Times New Roman" w:cs="Times New Roman"/>
                <w:b/>
                <w:sz w:val="24"/>
              </w:rPr>
              <w:t>7、环境风险分析</w:t>
            </w:r>
          </w:p>
          <w:p w14:paraId="2F02E173">
            <w:pPr>
              <w:keepNext w:val="0"/>
              <w:keepLines w:val="0"/>
              <w:suppressLineNumbers w:val="0"/>
              <w:spacing w:before="0" w:beforeAutospacing="0" w:after="0" w:afterAutospacing="0" w:line="360" w:lineRule="auto"/>
              <w:ind w:left="0" w:right="0" w:firstLine="482" w:firstLineChars="200"/>
              <w:rPr>
                <w:rFonts w:hint="default" w:ascii="Times New Roman" w:hAnsi="Times New Roman" w:eastAsia="宋体" w:cs="Times New Roman"/>
                <w:b/>
                <w:bCs/>
                <w:color w:val="auto"/>
                <w:sz w:val="24"/>
                <w:lang w:val="en-US" w:eastAsia="zh-CN"/>
              </w:rPr>
            </w:pPr>
            <w:r>
              <w:rPr>
                <w:rFonts w:hint="default" w:ascii="Times New Roman" w:hAnsi="Times New Roman" w:eastAsia="宋体" w:cs="Times New Roman"/>
                <w:b/>
                <w:bCs/>
                <w:color w:val="auto"/>
                <w:sz w:val="24"/>
                <w:lang w:val="en-US" w:eastAsia="zh-CN"/>
              </w:rPr>
              <w:t>7.1环境风险工作等级</w:t>
            </w:r>
          </w:p>
          <w:p w14:paraId="1FF5CEF2">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根据《建设项目环境风险评价技术导则》（HJ169—2018），对本项目建成后项目危险物质数量及临界量比值（Q）进行计算。</w:t>
            </w:r>
          </w:p>
          <w:p w14:paraId="31023FCC">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计算所涉及的每种危险物质在厂界内的最大存在总量与其在附录中对应临界量的比值Q时，在不同厂区的同一种物质，按其在厂界内的最大存在总量计算。对于长输管线项目，按照两个截断阀室之间管段危险物质最大存在总量计算。</w:t>
            </w:r>
          </w:p>
          <w:p w14:paraId="19F1ECC0">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当只涉及一种危险物质时，计算该物质的总量与其临界量比值，即为Q；</w:t>
            </w:r>
          </w:p>
          <w:p w14:paraId="4B30E91A">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当存在多种危险物质时，则按式（C.1）计算物质总量与其临界量比值（Q）；</w:t>
            </w:r>
          </w:p>
          <w:p w14:paraId="037346FC">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drawing>
                <wp:anchor distT="0" distB="0" distL="114300" distR="114300" simplePos="0" relativeHeight="251659264" behindDoc="0" locked="0" layoutInCell="1" allowOverlap="1">
                  <wp:simplePos x="0" y="0"/>
                  <wp:positionH relativeFrom="column">
                    <wp:posOffset>1548130</wp:posOffset>
                  </wp:positionH>
                  <wp:positionV relativeFrom="paragraph">
                    <wp:posOffset>33655</wp:posOffset>
                  </wp:positionV>
                  <wp:extent cx="1800225" cy="544830"/>
                  <wp:effectExtent l="0" t="0" r="0" b="0"/>
                  <wp:wrapTopAndBottom/>
                  <wp:docPr id="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pic:cNvPicPr>
                            <a:picLocks noChangeAspect="1"/>
                          </pic:cNvPicPr>
                        </pic:nvPicPr>
                        <pic:blipFill>
                          <a:blip r:embed="rId29"/>
                          <a:stretch>
                            <a:fillRect/>
                          </a:stretch>
                        </pic:blipFill>
                        <pic:spPr>
                          <a:xfrm>
                            <a:off x="0" y="0"/>
                            <a:ext cx="1800225" cy="544830"/>
                          </a:xfrm>
                          <a:prstGeom prst="rect">
                            <a:avLst/>
                          </a:prstGeom>
                          <a:noFill/>
                          <a:ln>
                            <a:noFill/>
                          </a:ln>
                        </pic:spPr>
                      </pic:pic>
                    </a:graphicData>
                  </a:graphic>
                </wp:anchor>
              </w:drawing>
            </w:r>
            <w:r>
              <w:rPr>
                <w:rFonts w:hint="default" w:ascii="Times New Roman" w:hAnsi="Times New Roman" w:cs="Times New Roman"/>
                <w:color w:val="auto"/>
                <w:sz w:val="24"/>
              </w:rPr>
              <w:t>式中：q</w:t>
            </w:r>
            <w:r>
              <w:rPr>
                <w:rFonts w:hint="default" w:ascii="Times New Roman" w:hAnsi="Times New Roman" w:cs="Times New Roman"/>
                <w:color w:val="auto"/>
                <w:sz w:val="24"/>
                <w:vertAlign w:val="subscript"/>
              </w:rPr>
              <w:t>1</w:t>
            </w:r>
            <w:r>
              <w:rPr>
                <w:rFonts w:hint="default" w:ascii="Times New Roman" w:hAnsi="Times New Roman" w:cs="Times New Roman"/>
                <w:color w:val="auto"/>
                <w:sz w:val="24"/>
              </w:rPr>
              <w:t>、q</w:t>
            </w:r>
            <w:r>
              <w:rPr>
                <w:rFonts w:hint="default" w:ascii="Times New Roman" w:hAnsi="Times New Roman" w:cs="Times New Roman"/>
                <w:color w:val="auto"/>
                <w:sz w:val="24"/>
                <w:vertAlign w:val="subscript"/>
              </w:rPr>
              <w:t>2</w:t>
            </w:r>
            <w:r>
              <w:rPr>
                <w:rFonts w:hint="default" w:ascii="Times New Roman" w:hAnsi="Times New Roman" w:cs="Times New Roman"/>
                <w:color w:val="auto"/>
                <w:sz w:val="24"/>
              </w:rPr>
              <w:t>、…q</w:t>
            </w:r>
            <w:r>
              <w:rPr>
                <w:rFonts w:hint="default" w:ascii="Times New Roman" w:hAnsi="Times New Roman" w:cs="Times New Roman"/>
                <w:color w:val="auto"/>
                <w:sz w:val="24"/>
                <w:vertAlign w:val="subscript"/>
              </w:rPr>
              <w:t>n</w:t>
            </w:r>
            <w:r>
              <w:rPr>
                <w:rFonts w:hint="default" w:ascii="Times New Roman" w:hAnsi="Times New Roman" w:cs="Times New Roman"/>
                <w:color w:val="auto"/>
                <w:sz w:val="24"/>
              </w:rPr>
              <w:t>---</w:t>
            </w:r>
            <w:r>
              <w:rPr>
                <w:rFonts w:hint="default" w:ascii="Times New Roman" w:hAnsi="Times New Roman" w:cs="Times New Roman"/>
                <w:color w:val="auto"/>
                <w:sz w:val="24"/>
                <w:highlight w:val="none"/>
              </w:rPr>
              <w:t>-</w:t>
            </w:r>
            <w:r>
              <w:rPr>
                <w:rFonts w:hint="default" w:ascii="Times New Roman" w:hAnsi="Times New Roman" w:cs="Times New Roman"/>
                <w:color w:val="auto"/>
                <w:sz w:val="24"/>
              </w:rPr>
              <w:t>每种环境风险物质的存在量，t；</w:t>
            </w:r>
          </w:p>
          <w:p w14:paraId="31D23CE9">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Q</w:t>
            </w:r>
            <w:r>
              <w:rPr>
                <w:rFonts w:hint="default" w:ascii="Times New Roman" w:hAnsi="Times New Roman" w:cs="Times New Roman"/>
                <w:color w:val="auto"/>
                <w:sz w:val="24"/>
                <w:vertAlign w:val="subscript"/>
              </w:rPr>
              <w:t>1</w:t>
            </w:r>
            <w:r>
              <w:rPr>
                <w:rFonts w:hint="default" w:ascii="Times New Roman" w:hAnsi="Times New Roman" w:cs="Times New Roman"/>
                <w:color w:val="auto"/>
                <w:sz w:val="24"/>
              </w:rPr>
              <w:t>、Q</w:t>
            </w:r>
            <w:r>
              <w:rPr>
                <w:rFonts w:hint="default" w:ascii="Times New Roman" w:hAnsi="Times New Roman" w:cs="Times New Roman"/>
                <w:color w:val="auto"/>
                <w:sz w:val="24"/>
                <w:vertAlign w:val="subscript"/>
              </w:rPr>
              <w:t>2</w:t>
            </w:r>
            <w:r>
              <w:rPr>
                <w:rFonts w:hint="default" w:ascii="Times New Roman" w:hAnsi="Times New Roman" w:cs="Times New Roman"/>
                <w:color w:val="auto"/>
                <w:sz w:val="24"/>
              </w:rPr>
              <w:t>、…Q</w:t>
            </w:r>
            <w:r>
              <w:rPr>
                <w:rFonts w:hint="default" w:ascii="Times New Roman" w:hAnsi="Times New Roman" w:cs="Times New Roman"/>
                <w:color w:val="auto"/>
                <w:sz w:val="24"/>
                <w:vertAlign w:val="subscript"/>
              </w:rPr>
              <w:t>n</w:t>
            </w:r>
            <w:r>
              <w:rPr>
                <w:rFonts w:hint="default" w:ascii="Times New Roman" w:hAnsi="Times New Roman" w:cs="Times New Roman"/>
                <w:color w:val="auto"/>
                <w:sz w:val="24"/>
              </w:rPr>
              <w:t>---</w:t>
            </w:r>
            <w:r>
              <w:rPr>
                <w:rFonts w:hint="default" w:ascii="Times New Roman" w:hAnsi="Times New Roman" w:cs="Times New Roman"/>
                <w:color w:val="auto"/>
                <w:sz w:val="24"/>
                <w:highlight w:val="none"/>
              </w:rPr>
              <w:t>-</w:t>
            </w:r>
            <w:r>
              <w:rPr>
                <w:rFonts w:hint="default" w:ascii="Times New Roman" w:hAnsi="Times New Roman" w:cs="Times New Roman"/>
                <w:color w:val="auto"/>
                <w:sz w:val="24"/>
              </w:rPr>
              <w:t>每种环境风险物质的临界量，t。</w:t>
            </w:r>
          </w:p>
          <w:p w14:paraId="15BC5612">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当Q＜1时，项目环境风险潜势为I。</w:t>
            </w:r>
          </w:p>
          <w:p w14:paraId="3EDB1506">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当Q≥1，将Q值划分为：（1）1≤Q＜10；（2）10≤Q＜100；</w:t>
            </w:r>
          </w:p>
          <w:p w14:paraId="7F8F8760">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根据《建设项目环境风险评价技术导则》（HJ169—2018）附录B，本项目危险物质数量及临界量比值（Q）统计如下。</w:t>
            </w:r>
          </w:p>
          <w:p w14:paraId="637893B4">
            <w:pPr>
              <w:keepNext w:val="0"/>
              <w:keepLines w:val="0"/>
              <w:suppressLineNumbers w:val="0"/>
              <w:spacing w:before="0" w:beforeLines="0" w:beforeAutospacing="0" w:after="0" w:afterAutospacing="0" w:line="240" w:lineRule="auto"/>
              <w:ind w:left="0" w:right="0" w:firstLine="422" w:firstLineChars="200"/>
              <w:jc w:val="center"/>
              <w:rPr>
                <w:rFonts w:hint="default" w:ascii="Times New Roman" w:hAnsi="Times New Roman" w:eastAsia="宋体" w:cs="Times New Roman"/>
                <w:b/>
                <w:bCs/>
                <w:color w:val="000000"/>
                <w:kern w:val="0"/>
                <w:sz w:val="21"/>
                <w:szCs w:val="21"/>
                <w:lang w:val="en-US" w:eastAsia="zh-CN" w:bidi="ar-SA"/>
              </w:rPr>
            </w:pPr>
            <w:r>
              <w:rPr>
                <w:rFonts w:hint="default" w:ascii="Times New Roman" w:hAnsi="Times New Roman" w:eastAsia="宋体" w:cs="Times New Roman"/>
                <w:b/>
                <w:bCs/>
                <w:color w:val="000000"/>
                <w:kern w:val="0"/>
                <w:sz w:val="21"/>
                <w:szCs w:val="21"/>
                <w:lang w:val="en-US" w:eastAsia="zh-CN" w:bidi="ar-SA"/>
              </w:rPr>
              <w:t>本项目建设完成后全厂风险物质最大存量及临界量比值（Q）  单位（t）</w:t>
            </w:r>
          </w:p>
          <w:tbl>
            <w:tblPr>
              <w:tblStyle w:val="38"/>
              <w:tblW w:w="7918"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3"/>
              <w:gridCol w:w="3130"/>
              <w:gridCol w:w="1758"/>
              <w:gridCol w:w="1245"/>
              <w:gridCol w:w="1092"/>
            </w:tblGrid>
            <w:tr w14:paraId="503134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93" w:type="dxa"/>
                  <w:noWrap w:val="0"/>
                  <w:vAlign w:val="center"/>
                </w:tcPr>
                <w:p w14:paraId="6D18104D">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序号</w:t>
                  </w:r>
                </w:p>
              </w:tc>
              <w:tc>
                <w:tcPr>
                  <w:tcW w:w="3130" w:type="dxa"/>
                  <w:noWrap w:val="0"/>
                  <w:tcMar>
                    <w:top w:w="57" w:type="dxa"/>
                    <w:left w:w="57" w:type="dxa"/>
                    <w:bottom w:w="57" w:type="dxa"/>
                    <w:right w:w="57" w:type="dxa"/>
                  </w:tcMar>
                  <w:vAlign w:val="center"/>
                </w:tcPr>
                <w:p w14:paraId="547D11FA">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名称</w:t>
                  </w:r>
                </w:p>
              </w:tc>
              <w:tc>
                <w:tcPr>
                  <w:tcW w:w="1758" w:type="dxa"/>
                  <w:noWrap w:val="0"/>
                  <w:tcMar>
                    <w:top w:w="57" w:type="dxa"/>
                    <w:left w:w="57" w:type="dxa"/>
                    <w:bottom w:w="57" w:type="dxa"/>
                    <w:right w:w="57" w:type="dxa"/>
                  </w:tcMar>
                  <w:vAlign w:val="center"/>
                </w:tcPr>
                <w:p w14:paraId="0BC8AF6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rPr>
                    <w:t>最大存在总量</w:t>
                  </w:r>
                  <w:r>
                    <w:rPr>
                      <w:rFonts w:hint="default" w:ascii="Times New Roman" w:hAnsi="Times New Roman" w:cs="Times New Roman"/>
                      <w:color w:val="auto"/>
                      <w:szCs w:val="21"/>
                      <w:highlight w:val="none"/>
                      <w:lang w:val="en-US" w:eastAsia="zh-CN"/>
                    </w:rPr>
                    <w:t>(t)</w:t>
                  </w:r>
                </w:p>
              </w:tc>
              <w:tc>
                <w:tcPr>
                  <w:tcW w:w="1245" w:type="dxa"/>
                  <w:noWrap w:val="0"/>
                  <w:tcMar>
                    <w:top w:w="57" w:type="dxa"/>
                    <w:left w:w="57" w:type="dxa"/>
                    <w:bottom w:w="57" w:type="dxa"/>
                    <w:right w:w="57" w:type="dxa"/>
                  </w:tcMar>
                  <w:vAlign w:val="center"/>
                </w:tcPr>
                <w:p w14:paraId="55CC99CB">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临界量</w:t>
                  </w:r>
                </w:p>
              </w:tc>
              <w:tc>
                <w:tcPr>
                  <w:tcW w:w="1092" w:type="dxa"/>
                  <w:noWrap w:val="0"/>
                  <w:tcMar>
                    <w:top w:w="57" w:type="dxa"/>
                    <w:left w:w="57" w:type="dxa"/>
                    <w:bottom w:w="57" w:type="dxa"/>
                    <w:right w:w="57" w:type="dxa"/>
                  </w:tcMar>
                  <w:vAlign w:val="center"/>
                </w:tcPr>
                <w:p w14:paraId="63C0D0BA">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qi/Qi</w:t>
                  </w:r>
                </w:p>
              </w:tc>
            </w:tr>
            <w:tr w14:paraId="4F0374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exact"/>
              </w:trPr>
              <w:tc>
                <w:tcPr>
                  <w:tcW w:w="693" w:type="dxa"/>
                  <w:noWrap w:val="0"/>
                  <w:tcMar>
                    <w:top w:w="57" w:type="dxa"/>
                    <w:left w:w="57" w:type="dxa"/>
                    <w:bottom w:w="57" w:type="dxa"/>
                    <w:right w:w="57" w:type="dxa"/>
                  </w:tcMar>
                  <w:vAlign w:val="top"/>
                </w:tcPr>
                <w:p w14:paraId="3A779CED">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lang w:val="en-US" w:eastAsia="zh-CN" w:bidi="ar-SA"/>
                    </w:rPr>
                  </w:pPr>
                  <w:r>
                    <w:rPr>
                      <w:rFonts w:hint="default" w:cs="Times New Roman"/>
                      <w:color w:val="auto"/>
                      <w:szCs w:val="21"/>
                      <w:highlight w:val="none"/>
                      <w:lang w:val="en-US" w:eastAsia="zh-CN"/>
                    </w:rPr>
                    <w:t>1</w:t>
                  </w:r>
                </w:p>
              </w:tc>
              <w:tc>
                <w:tcPr>
                  <w:tcW w:w="3130" w:type="dxa"/>
                  <w:noWrap w:val="0"/>
                  <w:tcMar>
                    <w:top w:w="57" w:type="dxa"/>
                    <w:left w:w="57" w:type="dxa"/>
                    <w:bottom w:w="57" w:type="dxa"/>
                    <w:right w:w="57" w:type="dxa"/>
                  </w:tcMar>
                  <w:vAlign w:val="top"/>
                </w:tcPr>
                <w:p w14:paraId="239ACE7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废水性油墨桶</w:t>
                  </w:r>
                </w:p>
              </w:tc>
              <w:tc>
                <w:tcPr>
                  <w:tcW w:w="1758" w:type="dxa"/>
                  <w:noWrap w:val="0"/>
                  <w:tcMar>
                    <w:top w:w="57" w:type="dxa"/>
                    <w:left w:w="57" w:type="dxa"/>
                    <w:bottom w:w="57" w:type="dxa"/>
                    <w:right w:w="57" w:type="dxa"/>
                  </w:tcMar>
                  <w:vAlign w:val="center"/>
                </w:tcPr>
                <w:p w14:paraId="4D117CDB">
                  <w:pPr>
                    <w:pStyle w:val="244"/>
                    <w:keepNext w:val="0"/>
                    <w:keepLines w:val="0"/>
                    <w:suppressLineNumbers w:val="0"/>
                    <w:spacing w:before="0" w:beforeAutospacing="0" w:after="0" w:afterAutospacing="0"/>
                    <w:ind w:left="0" w:leftChars="0" w:right="0" w:rightChars="0"/>
                    <w:rPr>
                      <w:rFonts w:hint="default" w:ascii="Times New Roman" w:hAnsi="Times New Roman" w:cs="Times New Roman"/>
                      <w:color w:val="auto"/>
                      <w:szCs w:val="21"/>
                      <w:highlight w:val="none"/>
                      <w:lang w:val="en-US" w:eastAsia="zh-CN"/>
                    </w:rPr>
                  </w:pPr>
                  <w:r>
                    <w:rPr>
                      <w:rFonts w:hint="default" w:cs="Times New Roman"/>
                      <w:b w:val="0"/>
                      <w:color w:val="000000"/>
                      <w:szCs w:val="21"/>
                      <w:highlight w:val="none"/>
                      <w:lang w:val="en-US" w:eastAsia="zh-CN"/>
                    </w:rPr>
                    <w:t>0.</w:t>
                  </w:r>
                  <w:r>
                    <w:rPr>
                      <w:rFonts w:hint="eastAsia" w:cs="Times New Roman"/>
                      <w:b w:val="0"/>
                      <w:color w:val="000000"/>
                      <w:szCs w:val="21"/>
                      <w:highlight w:val="none"/>
                      <w:lang w:val="en-US" w:eastAsia="zh-CN"/>
                    </w:rPr>
                    <w:t>375</w:t>
                  </w:r>
                </w:p>
              </w:tc>
              <w:tc>
                <w:tcPr>
                  <w:tcW w:w="1245" w:type="dxa"/>
                  <w:noWrap w:val="0"/>
                  <w:tcMar>
                    <w:top w:w="57" w:type="dxa"/>
                    <w:left w:w="57" w:type="dxa"/>
                    <w:bottom w:w="57" w:type="dxa"/>
                    <w:right w:w="57" w:type="dxa"/>
                  </w:tcMar>
                  <w:vAlign w:val="top"/>
                </w:tcPr>
                <w:p w14:paraId="381201E7">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50</w:t>
                  </w:r>
                </w:p>
              </w:tc>
              <w:tc>
                <w:tcPr>
                  <w:tcW w:w="1092" w:type="dxa"/>
                  <w:noWrap w:val="0"/>
                  <w:tcMar>
                    <w:top w:w="57" w:type="dxa"/>
                    <w:left w:w="57" w:type="dxa"/>
                    <w:bottom w:w="57" w:type="dxa"/>
                    <w:right w:w="57" w:type="dxa"/>
                  </w:tcMar>
                  <w:vAlign w:val="top"/>
                </w:tcPr>
                <w:p w14:paraId="18F88CC4">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lang w:val="en-US" w:eastAsia="zh-CN"/>
                    </w:rPr>
                  </w:pPr>
                  <w:r>
                    <w:rPr>
                      <w:rFonts w:hint="eastAsia" w:cs="Times New Roman"/>
                      <w:color w:val="auto"/>
                      <w:szCs w:val="21"/>
                      <w:highlight w:val="none"/>
                      <w:lang w:val="en-US" w:eastAsia="zh-CN"/>
                    </w:rPr>
                    <w:t>0.0075</w:t>
                  </w:r>
                </w:p>
              </w:tc>
            </w:tr>
            <w:tr w14:paraId="7C66FB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exact"/>
              </w:trPr>
              <w:tc>
                <w:tcPr>
                  <w:tcW w:w="693" w:type="dxa"/>
                  <w:shd w:val="clear" w:color="auto" w:fill="auto"/>
                  <w:noWrap w:val="0"/>
                  <w:tcMar>
                    <w:top w:w="57" w:type="dxa"/>
                    <w:left w:w="57" w:type="dxa"/>
                    <w:bottom w:w="57" w:type="dxa"/>
                    <w:right w:w="57" w:type="dxa"/>
                  </w:tcMar>
                  <w:vAlign w:val="top"/>
                </w:tcPr>
                <w:p w14:paraId="5FDB65D7">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Cs w:val="21"/>
                      <w:highlight w:val="none"/>
                      <w:lang w:val="en-US" w:eastAsia="zh-CN"/>
                    </w:rPr>
                    <w:t>2</w:t>
                  </w:r>
                </w:p>
              </w:tc>
              <w:tc>
                <w:tcPr>
                  <w:tcW w:w="3130" w:type="dxa"/>
                  <w:noWrap w:val="0"/>
                  <w:tcMar>
                    <w:top w:w="57" w:type="dxa"/>
                    <w:left w:w="57" w:type="dxa"/>
                    <w:bottom w:w="57" w:type="dxa"/>
                    <w:right w:w="57" w:type="dxa"/>
                  </w:tcMar>
                  <w:vAlign w:val="top"/>
                </w:tcPr>
                <w:p w14:paraId="7F8C9CB9">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lang w:val="en-US" w:eastAsia="zh-CN" w:bidi="ar-SA"/>
                    </w:rPr>
                  </w:pPr>
                  <w:r>
                    <w:rPr>
                      <w:rFonts w:hint="default" w:cs="Times New Roman"/>
                      <w:color w:val="auto"/>
                      <w:szCs w:val="21"/>
                      <w:highlight w:val="none"/>
                      <w:lang w:val="en-US" w:eastAsia="zh-CN"/>
                    </w:rPr>
                    <w:t>废抹布</w:t>
                  </w:r>
                </w:p>
              </w:tc>
              <w:tc>
                <w:tcPr>
                  <w:tcW w:w="1758" w:type="dxa"/>
                  <w:noWrap w:val="0"/>
                  <w:tcMar>
                    <w:top w:w="57" w:type="dxa"/>
                    <w:left w:w="57" w:type="dxa"/>
                    <w:bottom w:w="57" w:type="dxa"/>
                    <w:right w:w="57" w:type="dxa"/>
                  </w:tcMar>
                  <w:vAlign w:val="center"/>
                </w:tcPr>
                <w:p w14:paraId="7043F79C">
                  <w:pPr>
                    <w:pStyle w:val="244"/>
                    <w:keepNext w:val="0"/>
                    <w:keepLines w:val="0"/>
                    <w:suppressLineNumbers w:val="0"/>
                    <w:spacing w:before="0" w:beforeAutospacing="0" w:after="0" w:afterAutospacing="0"/>
                    <w:ind w:left="0" w:leftChars="0" w:right="0" w:rightChars="0"/>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b w:val="0"/>
                      <w:color w:val="000000"/>
                      <w:szCs w:val="21"/>
                      <w:highlight w:val="none"/>
                      <w:lang w:val="en-US" w:eastAsia="zh-CN"/>
                    </w:rPr>
                    <w:t>0.01</w:t>
                  </w:r>
                </w:p>
              </w:tc>
              <w:tc>
                <w:tcPr>
                  <w:tcW w:w="1245" w:type="dxa"/>
                  <w:noWrap w:val="0"/>
                  <w:tcMar>
                    <w:top w:w="57" w:type="dxa"/>
                    <w:left w:w="57" w:type="dxa"/>
                    <w:bottom w:w="57" w:type="dxa"/>
                    <w:right w:w="57" w:type="dxa"/>
                  </w:tcMar>
                  <w:vAlign w:val="top"/>
                </w:tcPr>
                <w:p w14:paraId="70DBB69C">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lang w:val="en-US" w:eastAsia="zh-CN"/>
                    </w:rPr>
                    <w:t>50</w:t>
                  </w:r>
                </w:p>
              </w:tc>
              <w:tc>
                <w:tcPr>
                  <w:tcW w:w="1092" w:type="dxa"/>
                  <w:noWrap w:val="0"/>
                  <w:tcMar>
                    <w:top w:w="57" w:type="dxa"/>
                    <w:left w:w="57" w:type="dxa"/>
                    <w:bottom w:w="57" w:type="dxa"/>
                    <w:right w:w="57" w:type="dxa"/>
                  </w:tcMar>
                  <w:vAlign w:val="top"/>
                </w:tcPr>
                <w:p w14:paraId="08F66807">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0.0002</w:t>
                  </w:r>
                </w:p>
              </w:tc>
            </w:tr>
            <w:tr w14:paraId="01F1F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exact"/>
              </w:trPr>
              <w:tc>
                <w:tcPr>
                  <w:tcW w:w="693" w:type="dxa"/>
                  <w:shd w:val="clear" w:color="auto" w:fill="auto"/>
                  <w:noWrap w:val="0"/>
                  <w:tcMar>
                    <w:top w:w="57" w:type="dxa"/>
                    <w:left w:w="57" w:type="dxa"/>
                    <w:bottom w:w="57" w:type="dxa"/>
                    <w:right w:w="57" w:type="dxa"/>
                  </w:tcMar>
                  <w:vAlign w:val="top"/>
                </w:tcPr>
                <w:p w14:paraId="09F50604">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Cs w:val="21"/>
                      <w:highlight w:val="none"/>
                      <w:lang w:val="en-US" w:eastAsia="zh-CN"/>
                    </w:rPr>
                    <w:t>3</w:t>
                  </w:r>
                </w:p>
              </w:tc>
              <w:tc>
                <w:tcPr>
                  <w:tcW w:w="3130" w:type="dxa"/>
                  <w:noWrap w:val="0"/>
                  <w:tcMar>
                    <w:top w:w="57" w:type="dxa"/>
                    <w:left w:w="57" w:type="dxa"/>
                    <w:bottom w:w="57" w:type="dxa"/>
                    <w:right w:w="57" w:type="dxa"/>
                  </w:tcMar>
                  <w:vAlign w:val="top"/>
                </w:tcPr>
                <w:p w14:paraId="63085C9C">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lang w:val="en-US" w:eastAsia="zh-CN"/>
                    </w:rPr>
                    <w:t>废胶粘剂桶</w:t>
                  </w:r>
                </w:p>
              </w:tc>
              <w:tc>
                <w:tcPr>
                  <w:tcW w:w="1758" w:type="dxa"/>
                  <w:noWrap w:val="0"/>
                  <w:tcMar>
                    <w:top w:w="57" w:type="dxa"/>
                    <w:left w:w="57" w:type="dxa"/>
                    <w:bottom w:w="57" w:type="dxa"/>
                    <w:right w:w="57" w:type="dxa"/>
                  </w:tcMar>
                  <w:vAlign w:val="center"/>
                </w:tcPr>
                <w:p w14:paraId="420B48F3">
                  <w:pPr>
                    <w:pStyle w:val="244"/>
                    <w:keepNext w:val="0"/>
                    <w:keepLines w:val="0"/>
                    <w:suppressLineNumbers w:val="0"/>
                    <w:spacing w:before="0" w:beforeAutospacing="0" w:after="0" w:afterAutospacing="0"/>
                    <w:ind w:left="0" w:leftChars="0" w:right="0" w:rightChars="0"/>
                    <w:rPr>
                      <w:rFonts w:hint="default" w:ascii="Times New Roman" w:hAnsi="Times New Roman" w:cs="Times New Roman"/>
                      <w:color w:val="auto"/>
                      <w:kern w:val="2"/>
                      <w:sz w:val="21"/>
                      <w:szCs w:val="21"/>
                      <w:highlight w:val="none"/>
                      <w:lang w:val="en-US" w:eastAsia="zh-CN" w:bidi="ar-SA"/>
                    </w:rPr>
                  </w:pPr>
                  <w:r>
                    <w:rPr>
                      <w:rFonts w:hint="default" w:cs="Times New Roman"/>
                      <w:b w:val="0"/>
                      <w:color w:val="000000"/>
                      <w:szCs w:val="21"/>
                      <w:highlight w:val="none"/>
                      <w:lang w:val="en-US" w:eastAsia="zh-CN"/>
                    </w:rPr>
                    <w:t>0.</w:t>
                  </w:r>
                  <w:r>
                    <w:rPr>
                      <w:rFonts w:hint="eastAsia" w:cs="Times New Roman"/>
                      <w:b w:val="0"/>
                      <w:color w:val="000000"/>
                      <w:szCs w:val="21"/>
                      <w:highlight w:val="none"/>
                      <w:lang w:val="en-US" w:eastAsia="zh-CN"/>
                    </w:rPr>
                    <w:t>25</w:t>
                  </w:r>
                </w:p>
              </w:tc>
              <w:tc>
                <w:tcPr>
                  <w:tcW w:w="1245" w:type="dxa"/>
                  <w:noWrap w:val="0"/>
                  <w:tcMar>
                    <w:top w:w="57" w:type="dxa"/>
                    <w:left w:w="57" w:type="dxa"/>
                    <w:bottom w:w="57" w:type="dxa"/>
                    <w:right w:w="57" w:type="dxa"/>
                  </w:tcMar>
                  <w:vAlign w:val="top"/>
                </w:tcPr>
                <w:p w14:paraId="7FF875AF">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lang w:val="en-US" w:eastAsia="zh-CN"/>
                    </w:rPr>
                    <w:t>50</w:t>
                  </w:r>
                </w:p>
              </w:tc>
              <w:tc>
                <w:tcPr>
                  <w:tcW w:w="1092" w:type="dxa"/>
                  <w:noWrap w:val="0"/>
                  <w:tcMar>
                    <w:top w:w="57" w:type="dxa"/>
                    <w:left w:w="57" w:type="dxa"/>
                    <w:bottom w:w="57" w:type="dxa"/>
                    <w:right w:w="57" w:type="dxa"/>
                  </w:tcMar>
                  <w:vAlign w:val="top"/>
                </w:tcPr>
                <w:p w14:paraId="7677451B">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0.</w:t>
                  </w:r>
                  <w:r>
                    <w:rPr>
                      <w:rFonts w:hint="eastAsia" w:cs="Times New Roman"/>
                      <w:color w:val="auto"/>
                      <w:kern w:val="2"/>
                      <w:sz w:val="21"/>
                      <w:szCs w:val="21"/>
                      <w:highlight w:val="none"/>
                      <w:lang w:val="en-US" w:eastAsia="zh-CN" w:bidi="ar-SA"/>
                    </w:rPr>
                    <w:t>005</w:t>
                  </w:r>
                </w:p>
              </w:tc>
            </w:tr>
            <w:tr w14:paraId="1C28FA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exact"/>
              </w:trPr>
              <w:tc>
                <w:tcPr>
                  <w:tcW w:w="693" w:type="dxa"/>
                  <w:shd w:val="clear" w:color="auto" w:fill="auto"/>
                  <w:noWrap w:val="0"/>
                  <w:tcMar>
                    <w:top w:w="57" w:type="dxa"/>
                    <w:left w:w="57" w:type="dxa"/>
                    <w:bottom w:w="57" w:type="dxa"/>
                    <w:right w:w="57" w:type="dxa"/>
                  </w:tcMar>
                  <w:vAlign w:val="top"/>
                </w:tcPr>
                <w:p w14:paraId="01486697">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4</w:t>
                  </w:r>
                </w:p>
              </w:tc>
              <w:tc>
                <w:tcPr>
                  <w:tcW w:w="3130" w:type="dxa"/>
                  <w:noWrap w:val="0"/>
                  <w:tcMar>
                    <w:top w:w="57" w:type="dxa"/>
                    <w:left w:w="57" w:type="dxa"/>
                    <w:bottom w:w="57" w:type="dxa"/>
                    <w:right w:w="57" w:type="dxa"/>
                  </w:tcMar>
                  <w:vAlign w:val="top"/>
                </w:tcPr>
                <w:p w14:paraId="7210FEF3">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废活性炭</w:t>
                  </w:r>
                </w:p>
              </w:tc>
              <w:tc>
                <w:tcPr>
                  <w:tcW w:w="1758" w:type="dxa"/>
                  <w:noWrap w:val="0"/>
                  <w:tcMar>
                    <w:top w:w="57" w:type="dxa"/>
                    <w:left w:w="57" w:type="dxa"/>
                    <w:bottom w:w="57" w:type="dxa"/>
                    <w:right w:w="57" w:type="dxa"/>
                  </w:tcMar>
                  <w:vAlign w:val="center"/>
                </w:tcPr>
                <w:p w14:paraId="2FD0CE1B">
                  <w:pPr>
                    <w:pStyle w:val="244"/>
                    <w:keepNext w:val="0"/>
                    <w:keepLines w:val="0"/>
                    <w:suppressLineNumbers w:val="0"/>
                    <w:spacing w:before="0" w:beforeAutospacing="0" w:after="0" w:afterAutospacing="0"/>
                    <w:ind w:left="0" w:leftChars="0" w:right="0" w:rightChars="0"/>
                    <w:rPr>
                      <w:rFonts w:hint="default"/>
                      <w:highlight w:val="none"/>
                      <w:lang w:val="en-US" w:eastAsia="zh-CN"/>
                    </w:rPr>
                  </w:pPr>
                  <w:r>
                    <w:rPr>
                      <w:rFonts w:hint="default" w:cs="Times New Roman"/>
                      <w:b w:val="0"/>
                      <w:color w:val="000000"/>
                      <w:szCs w:val="21"/>
                      <w:highlight w:val="none"/>
                      <w:lang w:val="en-US" w:eastAsia="zh-CN"/>
                    </w:rPr>
                    <w:t>9.506</w:t>
                  </w:r>
                </w:p>
              </w:tc>
              <w:tc>
                <w:tcPr>
                  <w:tcW w:w="1245" w:type="dxa"/>
                  <w:noWrap w:val="0"/>
                  <w:tcMar>
                    <w:top w:w="57" w:type="dxa"/>
                    <w:left w:w="57" w:type="dxa"/>
                    <w:bottom w:w="57" w:type="dxa"/>
                    <w:right w:w="57" w:type="dxa"/>
                  </w:tcMar>
                  <w:vAlign w:val="top"/>
                </w:tcPr>
                <w:p w14:paraId="65DE46A3">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50</w:t>
                  </w:r>
                </w:p>
              </w:tc>
              <w:tc>
                <w:tcPr>
                  <w:tcW w:w="1092" w:type="dxa"/>
                  <w:noWrap w:val="0"/>
                  <w:tcMar>
                    <w:top w:w="57" w:type="dxa"/>
                    <w:left w:w="57" w:type="dxa"/>
                    <w:bottom w:w="57" w:type="dxa"/>
                    <w:right w:w="57" w:type="dxa"/>
                  </w:tcMar>
                  <w:vAlign w:val="top"/>
                </w:tcPr>
                <w:p w14:paraId="422518EA">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lang w:val="en-US" w:eastAsia="zh-CN"/>
                    </w:rPr>
                  </w:pPr>
                  <w:r>
                    <w:rPr>
                      <w:rFonts w:hint="default" w:cs="Times New Roman"/>
                      <w:color w:val="auto"/>
                      <w:szCs w:val="21"/>
                      <w:highlight w:val="none"/>
                      <w:lang w:val="en-US" w:eastAsia="zh-CN"/>
                    </w:rPr>
                    <w:t>0.19012</w:t>
                  </w:r>
                </w:p>
              </w:tc>
            </w:tr>
            <w:tr w14:paraId="3404B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exact"/>
              </w:trPr>
              <w:tc>
                <w:tcPr>
                  <w:tcW w:w="693" w:type="dxa"/>
                  <w:shd w:val="clear" w:color="auto" w:fill="auto"/>
                  <w:noWrap w:val="0"/>
                  <w:tcMar>
                    <w:top w:w="57" w:type="dxa"/>
                    <w:left w:w="57" w:type="dxa"/>
                    <w:bottom w:w="57" w:type="dxa"/>
                    <w:right w:w="57" w:type="dxa"/>
                  </w:tcMar>
                  <w:vAlign w:val="top"/>
                </w:tcPr>
                <w:p w14:paraId="72AF414F">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5</w:t>
                  </w:r>
                </w:p>
              </w:tc>
              <w:tc>
                <w:tcPr>
                  <w:tcW w:w="3130" w:type="dxa"/>
                  <w:noWrap w:val="0"/>
                  <w:tcMar>
                    <w:top w:w="57" w:type="dxa"/>
                    <w:left w:w="57" w:type="dxa"/>
                    <w:bottom w:w="57" w:type="dxa"/>
                    <w:right w:w="57" w:type="dxa"/>
                  </w:tcMar>
                  <w:vAlign w:val="top"/>
                </w:tcPr>
                <w:p w14:paraId="45147A33">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lang w:val="en-US" w:eastAsia="zh-CN"/>
                    </w:rPr>
                  </w:pPr>
                  <w:r>
                    <w:rPr>
                      <w:rFonts w:hint="default" w:cs="Times New Roman"/>
                      <w:color w:val="auto"/>
                      <w:szCs w:val="21"/>
                      <w:highlight w:val="none"/>
                      <w:lang w:val="en-US" w:eastAsia="zh-CN"/>
                    </w:rPr>
                    <w:t>废过滤介质</w:t>
                  </w:r>
                </w:p>
              </w:tc>
              <w:tc>
                <w:tcPr>
                  <w:tcW w:w="1758" w:type="dxa"/>
                  <w:noWrap w:val="0"/>
                  <w:tcMar>
                    <w:top w:w="57" w:type="dxa"/>
                    <w:left w:w="57" w:type="dxa"/>
                    <w:bottom w:w="57" w:type="dxa"/>
                    <w:right w:w="57" w:type="dxa"/>
                  </w:tcMar>
                  <w:vAlign w:val="center"/>
                </w:tcPr>
                <w:p w14:paraId="04710199">
                  <w:pPr>
                    <w:pStyle w:val="244"/>
                    <w:keepNext w:val="0"/>
                    <w:keepLines w:val="0"/>
                    <w:suppressLineNumbers w:val="0"/>
                    <w:spacing w:before="0" w:beforeAutospacing="0" w:after="0" w:afterAutospacing="0"/>
                    <w:ind w:left="0" w:leftChars="0" w:right="0" w:rightChars="0"/>
                    <w:rPr>
                      <w:rFonts w:hint="default" w:cs="Times New Roman"/>
                      <w:color w:val="auto"/>
                      <w:szCs w:val="21"/>
                      <w:highlight w:val="none"/>
                      <w:lang w:val="en-US" w:eastAsia="zh-CN"/>
                    </w:rPr>
                  </w:pPr>
                  <w:r>
                    <w:rPr>
                      <w:rFonts w:hint="default" w:cs="Times New Roman"/>
                      <w:b w:val="0"/>
                      <w:color w:val="000000"/>
                      <w:szCs w:val="21"/>
                      <w:highlight w:val="none"/>
                      <w:lang w:val="en-US" w:eastAsia="zh-CN"/>
                    </w:rPr>
                    <w:t>0.1</w:t>
                  </w:r>
                </w:p>
              </w:tc>
              <w:tc>
                <w:tcPr>
                  <w:tcW w:w="1245" w:type="dxa"/>
                  <w:noWrap w:val="0"/>
                  <w:tcMar>
                    <w:top w:w="57" w:type="dxa"/>
                    <w:left w:w="57" w:type="dxa"/>
                    <w:bottom w:w="57" w:type="dxa"/>
                    <w:right w:w="57" w:type="dxa"/>
                  </w:tcMar>
                  <w:vAlign w:val="top"/>
                </w:tcPr>
                <w:p w14:paraId="1D184B62">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lang w:val="en-US" w:eastAsia="zh-CN"/>
                    </w:rPr>
                  </w:pPr>
                  <w:r>
                    <w:rPr>
                      <w:rFonts w:hint="default" w:cs="Times New Roman"/>
                      <w:color w:val="auto"/>
                      <w:szCs w:val="21"/>
                      <w:highlight w:val="none"/>
                      <w:lang w:val="en-US" w:eastAsia="zh-CN"/>
                    </w:rPr>
                    <w:t>50</w:t>
                  </w:r>
                </w:p>
              </w:tc>
              <w:tc>
                <w:tcPr>
                  <w:tcW w:w="1092" w:type="dxa"/>
                  <w:noWrap w:val="0"/>
                  <w:tcMar>
                    <w:top w:w="57" w:type="dxa"/>
                    <w:left w:w="57" w:type="dxa"/>
                    <w:bottom w:w="57" w:type="dxa"/>
                    <w:right w:w="57" w:type="dxa"/>
                  </w:tcMar>
                  <w:vAlign w:val="top"/>
                </w:tcPr>
                <w:p w14:paraId="4EE7CC96">
                  <w:pPr>
                    <w:keepNext w:val="0"/>
                    <w:keepLines w:val="0"/>
                    <w:suppressLineNumbers w:val="0"/>
                    <w:spacing w:before="0" w:beforeAutospacing="0" w:after="0" w:afterAutospacing="0"/>
                    <w:ind w:left="0" w:right="0"/>
                    <w:jc w:val="center"/>
                    <w:rPr>
                      <w:rFonts w:hint="default" w:cs="Times New Roman"/>
                      <w:color w:val="auto"/>
                      <w:szCs w:val="21"/>
                      <w:highlight w:val="none"/>
                      <w:lang w:val="en-US" w:eastAsia="zh-CN"/>
                    </w:rPr>
                  </w:pPr>
                  <w:r>
                    <w:rPr>
                      <w:rFonts w:hint="default" w:cs="Times New Roman"/>
                      <w:color w:val="auto"/>
                      <w:szCs w:val="21"/>
                      <w:highlight w:val="none"/>
                      <w:lang w:val="en-US" w:eastAsia="zh-CN"/>
                    </w:rPr>
                    <w:t>0.002</w:t>
                  </w:r>
                </w:p>
              </w:tc>
            </w:tr>
            <w:tr w14:paraId="3C1188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exact"/>
              </w:trPr>
              <w:tc>
                <w:tcPr>
                  <w:tcW w:w="693" w:type="dxa"/>
                  <w:shd w:val="clear" w:color="auto" w:fill="auto"/>
                  <w:noWrap w:val="0"/>
                  <w:tcMar>
                    <w:top w:w="57" w:type="dxa"/>
                    <w:left w:w="57" w:type="dxa"/>
                    <w:bottom w:w="57" w:type="dxa"/>
                    <w:right w:w="57" w:type="dxa"/>
                  </w:tcMar>
                  <w:vAlign w:val="top"/>
                </w:tcPr>
                <w:p w14:paraId="19421054">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Cs w:val="21"/>
                      <w:highlight w:val="none"/>
                      <w:lang w:val="en-US" w:eastAsia="zh-CN"/>
                    </w:rPr>
                    <w:t>6</w:t>
                  </w:r>
                </w:p>
              </w:tc>
              <w:tc>
                <w:tcPr>
                  <w:tcW w:w="3130" w:type="dxa"/>
                  <w:noWrap w:val="0"/>
                  <w:tcMar>
                    <w:top w:w="57" w:type="dxa"/>
                    <w:left w:w="57" w:type="dxa"/>
                    <w:bottom w:w="57" w:type="dxa"/>
                    <w:right w:w="57" w:type="dxa"/>
                  </w:tcMar>
                  <w:vAlign w:val="top"/>
                </w:tcPr>
                <w:p w14:paraId="0D3A87CD">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水性油墨</w:t>
                  </w:r>
                </w:p>
              </w:tc>
              <w:tc>
                <w:tcPr>
                  <w:tcW w:w="1758" w:type="dxa"/>
                  <w:noWrap w:val="0"/>
                  <w:tcMar>
                    <w:top w:w="57" w:type="dxa"/>
                    <w:left w:w="57" w:type="dxa"/>
                    <w:bottom w:w="57" w:type="dxa"/>
                    <w:right w:w="57" w:type="dxa"/>
                  </w:tcMar>
                  <w:vAlign w:val="top"/>
                </w:tcPr>
                <w:p w14:paraId="78892E29">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1</w:t>
                  </w:r>
                </w:p>
              </w:tc>
              <w:tc>
                <w:tcPr>
                  <w:tcW w:w="1245" w:type="dxa"/>
                  <w:noWrap w:val="0"/>
                  <w:tcMar>
                    <w:top w:w="57" w:type="dxa"/>
                    <w:left w:w="57" w:type="dxa"/>
                    <w:bottom w:w="57" w:type="dxa"/>
                    <w:right w:w="57" w:type="dxa"/>
                  </w:tcMar>
                  <w:vAlign w:val="top"/>
                </w:tcPr>
                <w:p w14:paraId="071F7F15">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50</w:t>
                  </w:r>
                </w:p>
              </w:tc>
              <w:tc>
                <w:tcPr>
                  <w:tcW w:w="1092" w:type="dxa"/>
                  <w:noWrap w:val="0"/>
                  <w:tcMar>
                    <w:top w:w="57" w:type="dxa"/>
                    <w:left w:w="57" w:type="dxa"/>
                    <w:bottom w:w="57" w:type="dxa"/>
                    <w:right w:w="57" w:type="dxa"/>
                  </w:tcMar>
                  <w:vAlign w:val="top"/>
                </w:tcPr>
                <w:p w14:paraId="34908BD8">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0.02</w:t>
                  </w:r>
                </w:p>
              </w:tc>
            </w:tr>
            <w:tr w14:paraId="2AF8C4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exact"/>
              </w:trPr>
              <w:tc>
                <w:tcPr>
                  <w:tcW w:w="693" w:type="dxa"/>
                  <w:shd w:val="clear" w:color="auto" w:fill="auto"/>
                  <w:noWrap w:val="0"/>
                  <w:tcMar>
                    <w:top w:w="57" w:type="dxa"/>
                    <w:left w:w="57" w:type="dxa"/>
                    <w:bottom w:w="57" w:type="dxa"/>
                    <w:right w:w="57" w:type="dxa"/>
                  </w:tcMar>
                  <w:vAlign w:val="top"/>
                </w:tcPr>
                <w:p w14:paraId="12B35462">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Cs w:val="21"/>
                      <w:highlight w:val="none"/>
                      <w:lang w:val="en-US" w:eastAsia="zh-CN"/>
                    </w:rPr>
                    <w:t>7</w:t>
                  </w:r>
                </w:p>
              </w:tc>
              <w:tc>
                <w:tcPr>
                  <w:tcW w:w="3130" w:type="dxa"/>
                  <w:noWrap w:val="0"/>
                  <w:tcMar>
                    <w:top w:w="57" w:type="dxa"/>
                    <w:left w:w="57" w:type="dxa"/>
                    <w:bottom w:w="57" w:type="dxa"/>
                    <w:right w:w="57" w:type="dxa"/>
                  </w:tcMar>
                  <w:vAlign w:val="top"/>
                </w:tcPr>
                <w:p w14:paraId="7B279BCA">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lang w:val="en-US" w:eastAsia="zh-CN"/>
                    </w:rPr>
                  </w:pPr>
                  <w:r>
                    <w:rPr>
                      <w:rFonts w:hint="default" w:cs="Times New Roman"/>
                      <w:color w:val="auto"/>
                      <w:szCs w:val="21"/>
                      <w:highlight w:val="none"/>
                      <w:lang w:val="en-US" w:eastAsia="zh-CN"/>
                    </w:rPr>
                    <w:t>无水乙醇</w:t>
                  </w:r>
                </w:p>
              </w:tc>
              <w:tc>
                <w:tcPr>
                  <w:tcW w:w="1758" w:type="dxa"/>
                  <w:noWrap w:val="0"/>
                  <w:tcMar>
                    <w:top w:w="57" w:type="dxa"/>
                    <w:left w:w="57" w:type="dxa"/>
                    <w:bottom w:w="57" w:type="dxa"/>
                    <w:right w:w="57" w:type="dxa"/>
                  </w:tcMar>
                  <w:vAlign w:val="top"/>
                </w:tcPr>
                <w:p w14:paraId="0CA031F2">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0.5</w:t>
                  </w:r>
                </w:p>
              </w:tc>
              <w:tc>
                <w:tcPr>
                  <w:tcW w:w="1245" w:type="dxa"/>
                  <w:noWrap w:val="0"/>
                  <w:tcMar>
                    <w:top w:w="57" w:type="dxa"/>
                    <w:left w:w="57" w:type="dxa"/>
                    <w:bottom w:w="57" w:type="dxa"/>
                    <w:right w:w="57" w:type="dxa"/>
                  </w:tcMar>
                  <w:vAlign w:val="top"/>
                </w:tcPr>
                <w:p w14:paraId="4C11635D">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50</w:t>
                  </w:r>
                </w:p>
              </w:tc>
              <w:tc>
                <w:tcPr>
                  <w:tcW w:w="1092" w:type="dxa"/>
                  <w:noWrap w:val="0"/>
                  <w:tcMar>
                    <w:top w:w="57" w:type="dxa"/>
                    <w:left w:w="57" w:type="dxa"/>
                    <w:bottom w:w="57" w:type="dxa"/>
                    <w:right w:w="57" w:type="dxa"/>
                  </w:tcMar>
                  <w:vAlign w:val="top"/>
                </w:tcPr>
                <w:p w14:paraId="4D316244">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0.01</w:t>
                  </w:r>
                </w:p>
              </w:tc>
            </w:tr>
            <w:tr w14:paraId="3F4F1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exact"/>
              </w:trPr>
              <w:tc>
                <w:tcPr>
                  <w:tcW w:w="693" w:type="dxa"/>
                  <w:shd w:val="clear" w:color="auto" w:fill="auto"/>
                  <w:noWrap w:val="0"/>
                  <w:tcMar>
                    <w:top w:w="57" w:type="dxa"/>
                    <w:left w:w="57" w:type="dxa"/>
                    <w:bottom w:w="57" w:type="dxa"/>
                    <w:right w:w="57" w:type="dxa"/>
                  </w:tcMar>
                  <w:vAlign w:val="top"/>
                </w:tcPr>
                <w:p w14:paraId="0C5E96BA">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Cs w:val="21"/>
                      <w:highlight w:val="none"/>
                      <w:lang w:val="en-US" w:eastAsia="zh-CN"/>
                    </w:rPr>
                    <w:t>8</w:t>
                  </w:r>
                </w:p>
              </w:tc>
              <w:tc>
                <w:tcPr>
                  <w:tcW w:w="3130" w:type="dxa"/>
                  <w:noWrap w:val="0"/>
                  <w:tcMar>
                    <w:top w:w="57" w:type="dxa"/>
                    <w:left w:w="57" w:type="dxa"/>
                    <w:bottom w:w="57" w:type="dxa"/>
                    <w:right w:w="57" w:type="dxa"/>
                  </w:tcMar>
                  <w:vAlign w:val="top"/>
                </w:tcPr>
                <w:p w14:paraId="05452A84">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lang w:val="en-US" w:eastAsia="zh-CN"/>
                    </w:rPr>
                  </w:pPr>
                  <w:r>
                    <w:rPr>
                      <w:rFonts w:hint="default" w:cs="Times New Roman"/>
                      <w:color w:val="auto"/>
                      <w:szCs w:val="21"/>
                      <w:highlight w:val="none"/>
                      <w:lang w:val="en-US" w:eastAsia="zh-CN"/>
                    </w:rPr>
                    <w:t>二苯基甲烷二异氰酸酯（MDI）</w:t>
                  </w:r>
                </w:p>
              </w:tc>
              <w:tc>
                <w:tcPr>
                  <w:tcW w:w="1758" w:type="dxa"/>
                  <w:noWrap w:val="0"/>
                  <w:tcMar>
                    <w:top w:w="57" w:type="dxa"/>
                    <w:left w:w="57" w:type="dxa"/>
                    <w:bottom w:w="57" w:type="dxa"/>
                    <w:right w:w="57" w:type="dxa"/>
                  </w:tcMar>
                  <w:vAlign w:val="top"/>
                </w:tcPr>
                <w:p w14:paraId="0D3A6B27">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lang w:val="en-US" w:eastAsia="zh-CN"/>
                    </w:rPr>
                  </w:pPr>
                  <w:r>
                    <w:rPr>
                      <w:rFonts w:hint="default" w:cs="Times New Roman"/>
                      <w:color w:val="auto"/>
                      <w:szCs w:val="21"/>
                      <w:highlight w:val="none"/>
                      <w:lang w:val="en-US" w:eastAsia="zh-CN"/>
                    </w:rPr>
                    <w:t>*</w:t>
                  </w:r>
                  <w:r>
                    <w:rPr>
                      <w:rFonts w:hint="default" w:ascii="Times New Roman" w:hAnsi="Times New Roman" w:cs="Times New Roman"/>
                      <w:color w:val="auto"/>
                      <w:szCs w:val="21"/>
                      <w:highlight w:val="none"/>
                      <w:lang w:val="en-US" w:eastAsia="zh-CN"/>
                    </w:rPr>
                    <w:t>0.</w:t>
                  </w:r>
                  <w:r>
                    <w:rPr>
                      <w:rFonts w:hint="default" w:cs="Times New Roman"/>
                      <w:color w:val="auto"/>
                      <w:szCs w:val="21"/>
                      <w:highlight w:val="none"/>
                      <w:lang w:val="en-US" w:eastAsia="zh-CN"/>
                    </w:rPr>
                    <w:t>225</w:t>
                  </w:r>
                </w:p>
              </w:tc>
              <w:tc>
                <w:tcPr>
                  <w:tcW w:w="1245" w:type="dxa"/>
                  <w:noWrap w:val="0"/>
                  <w:tcMar>
                    <w:top w:w="57" w:type="dxa"/>
                    <w:left w:w="57" w:type="dxa"/>
                    <w:bottom w:w="57" w:type="dxa"/>
                    <w:right w:w="57" w:type="dxa"/>
                  </w:tcMar>
                  <w:vAlign w:val="top"/>
                </w:tcPr>
                <w:p w14:paraId="7C186BCA">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lang w:val="en-US" w:eastAsia="zh-CN"/>
                    </w:rPr>
                  </w:pPr>
                  <w:r>
                    <w:rPr>
                      <w:rFonts w:hint="default" w:cs="Times New Roman"/>
                      <w:color w:val="auto"/>
                      <w:szCs w:val="21"/>
                      <w:highlight w:val="none"/>
                      <w:lang w:val="en-US" w:eastAsia="zh-CN"/>
                    </w:rPr>
                    <w:t>0.5</w:t>
                  </w:r>
                </w:p>
              </w:tc>
              <w:tc>
                <w:tcPr>
                  <w:tcW w:w="1092" w:type="dxa"/>
                  <w:noWrap w:val="0"/>
                  <w:tcMar>
                    <w:top w:w="57" w:type="dxa"/>
                    <w:left w:w="57" w:type="dxa"/>
                    <w:bottom w:w="57" w:type="dxa"/>
                    <w:right w:w="57" w:type="dxa"/>
                  </w:tcMar>
                  <w:vAlign w:val="top"/>
                </w:tcPr>
                <w:p w14:paraId="6382F573">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0.</w:t>
                  </w:r>
                  <w:r>
                    <w:rPr>
                      <w:rFonts w:hint="default" w:cs="Times New Roman"/>
                      <w:color w:val="auto"/>
                      <w:szCs w:val="21"/>
                      <w:highlight w:val="none"/>
                      <w:lang w:val="en-US" w:eastAsia="zh-CN"/>
                    </w:rPr>
                    <w:t>45</w:t>
                  </w:r>
                </w:p>
              </w:tc>
            </w:tr>
            <w:tr w14:paraId="2AC3CE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exact"/>
              </w:trPr>
              <w:tc>
                <w:tcPr>
                  <w:tcW w:w="6826" w:type="dxa"/>
                  <w:gridSpan w:val="4"/>
                  <w:noWrap w:val="0"/>
                  <w:tcMar>
                    <w:top w:w="57" w:type="dxa"/>
                    <w:left w:w="57" w:type="dxa"/>
                    <w:bottom w:w="57" w:type="dxa"/>
                    <w:right w:w="57" w:type="dxa"/>
                  </w:tcMar>
                  <w:vAlign w:val="top"/>
                </w:tcPr>
                <w:p w14:paraId="40127A84">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合计（Q）</w:t>
                  </w:r>
                </w:p>
              </w:tc>
              <w:tc>
                <w:tcPr>
                  <w:tcW w:w="1092" w:type="dxa"/>
                  <w:noWrap w:val="0"/>
                  <w:tcMar>
                    <w:top w:w="57" w:type="dxa"/>
                    <w:left w:w="57" w:type="dxa"/>
                    <w:bottom w:w="57" w:type="dxa"/>
                    <w:right w:w="57" w:type="dxa"/>
                  </w:tcMar>
                  <w:vAlign w:val="top"/>
                </w:tcPr>
                <w:p w14:paraId="4055204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0.</w:t>
                  </w:r>
                  <w:r>
                    <w:rPr>
                      <w:rFonts w:hint="eastAsia" w:cs="Times New Roman"/>
                      <w:color w:val="auto"/>
                      <w:szCs w:val="21"/>
                      <w:highlight w:val="none"/>
                      <w:lang w:val="en-US" w:eastAsia="zh-CN"/>
                    </w:rPr>
                    <w:t>68482</w:t>
                  </w:r>
                </w:p>
              </w:tc>
            </w:tr>
            <w:tr w14:paraId="3B7A9C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918" w:type="dxa"/>
                  <w:gridSpan w:val="5"/>
                  <w:noWrap w:val="0"/>
                  <w:tcMar>
                    <w:top w:w="57" w:type="dxa"/>
                    <w:left w:w="57" w:type="dxa"/>
                    <w:bottom w:w="57" w:type="dxa"/>
                    <w:right w:w="57" w:type="dxa"/>
                  </w:tcMar>
                  <w:vAlign w:val="center"/>
                </w:tcPr>
                <w:p w14:paraId="7AF821AE">
                  <w:pPr>
                    <w:keepNext w:val="0"/>
                    <w:keepLines w:val="0"/>
                    <w:suppressLineNumbers w:val="0"/>
                    <w:spacing w:before="0" w:beforeAutospacing="0" w:after="0" w:afterAutospacing="0"/>
                    <w:ind w:left="420" w:right="0" w:hanging="361" w:hangingChars="200"/>
                    <w:jc w:val="both"/>
                    <w:rPr>
                      <w:rFonts w:hint="default" w:ascii="Times New Roman" w:hAnsi="Times New Roman" w:cs="Times New Roman"/>
                      <w:color w:val="auto"/>
                      <w:szCs w:val="21"/>
                      <w:highlight w:val="none"/>
                      <w:lang w:val="en-US" w:eastAsia="zh-CN"/>
                    </w:rPr>
                  </w:pPr>
                  <w:r>
                    <w:rPr>
                      <w:rFonts w:hint="default" w:cs="Times New Roman"/>
                      <w:b/>
                      <w:bCs/>
                      <w:color w:val="auto"/>
                      <w:sz w:val="18"/>
                      <w:szCs w:val="18"/>
                      <w:highlight w:val="none"/>
                      <w:lang w:val="en-US" w:eastAsia="zh-CN"/>
                    </w:rPr>
                    <w:t>注：*本项目胶粘剂最大暂存量为0.5t，胶粘剂中二苯基甲烷二异氰酸酯含量以45%计，则二苯基甲烷二异氰酸酯最大存在总量为0.5*45%=0.225t。</w:t>
                  </w:r>
                </w:p>
              </w:tc>
            </w:tr>
          </w:tbl>
          <w:p w14:paraId="262F6FE9">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highlight w:val="none"/>
              </w:rPr>
              <w:t>经分析可知，本项目Q＜1，根据《建设项目环境风险评价技</w:t>
            </w:r>
            <w:r>
              <w:rPr>
                <w:rFonts w:hint="default" w:ascii="Times New Roman" w:hAnsi="Times New Roman" w:eastAsia="宋体" w:cs="Times New Roman"/>
                <w:color w:val="auto"/>
                <w:sz w:val="24"/>
              </w:rPr>
              <w:t>术导则》（HJ169—2018）相关要求，对本项目评价内容进行简单分析。</w:t>
            </w:r>
          </w:p>
          <w:p w14:paraId="5E8F4A1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ascii="Times New Roman" w:hAnsi="Times New Roman" w:eastAsia="宋体" w:cs="Times New Roman"/>
                <w:b/>
                <w:bCs/>
                <w:color w:val="auto"/>
                <w:sz w:val="24"/>
                <w:lang w:val="en-US" w:eastAsia="zh-CN"/>
              </w:rPr>
            </w:pPr>
            <w:r>
              <w:rPr>
                <w:rFonts w:hint="default" w:ascii="Times New Roman" w:hAnsi="Times New Roman" w:eastAsia="宋体" w:cs="Times New Roman"/>
                <w:b/>
                <w:bCs/>
                <w:color w:val="auto"/>
                <w:sz w:val="24"/>
                <w:lang w:val="en-US" w:eastAsia="zh-CN"/>
              </w:rPr>
              <w:t>7.2环境风险</w:t>
            </w:r>
            <w:r>
              <w:rPr>
                <w:rFonts w:hint="default" w:cs="Times New Roman"/>
                <w:b/>
                <w:bCs/>
                <w:color w:val="auto"/>
                <w:sz w:val="24"/>
                <w:lang w:val="en-US" w:eastAsia="zh-CN"/>
              </w:rPr>
              <w:t>分析及防范</w:t>
            </w:r>
          </w:p>
          <w:p w14:paraId="65A16EF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b/>
                <w:color w:val="auto"/>
                <w:szCs w:val="21"/>
              </w:rPr>
            </w:pPr>
            <w:r>
              <w:rPr>
                <w:rFonts w:hint="default" w:ascii="Times New Roman" w:hAnsi="Times New Roman" w:eastAsia="宋体" w:cs="Times New Roman"/>
                <w:color w:val="auto"/>
                <w:sz w:val="24"/>
              </w:rPr>
              <w:t>项目环境风险</w:t>
            </w:r>
            <w:r>
              <w:rPr>
                <w:rFonts w:hint="default" w:cs="Times New Roman"/>
                <w:color w:val="auto"/>
                <w:sz w:val="24"/>
                <w:lang w:eastAsia="zh-CN"/>
              </w:rPr>
              <w:t>分析</w:t>
            </w:r>
            <w:r>
              <w:rPr>
                <w:rFonts w:hint="default" w:ascii="Times New Roman" w:hAnsi="Times New Roman" w:eastAsia="宋体" w:cs="Times New Roman"/>
                <w:color w:val="auto"/>
                <w:sz w:val="24"/>
              </w:rPr>
              <w:t>及</w:t>
            </w:r>
            <w:r>
              <w:rPr>
                <w:rFonts w:hint="default" w:cs="Times New Roman"/>
                <w:color w:val="auto"/>
                <w:sz w:val="24"/>
                <w:lang w:eastAsia="zh-CN"/>
              </w:rPr>
              <w:t>防范情况</w:t>
            </w:r>
            <w:r>
              <w:rPr>
                <w:rFonts w:hint="default" w:ascii="Times New Roman" w:hAnsi="Times New Roman" w:eastAsia="宋体" w:cs="Times New Roman"/>
                <w:color w:val="auto"/>
                <w:sz w:val="24"/>
              </w:rPr>
              <w:t>表见</w:t>
            </w:r>
            <w:r>
              <w:rPr>
                <w:rFonts w:hint="default" w:ascii="Times New Roman" w:hAnsi="Times New Roman" w:eastAsia="宋体" w:cs="Times New Roman"/>
                <w:color w:val="auto"/>
                <w:sz w:val="24"/>
                <w:lang w:eastAsia="zh-CN"/>
              </w:rPr>
              <w:t>下表</w:t>
            </w:r>
            <w:r>
              <w:rPr>
                <w:rFonts w:hint="default" w:ascii="Times New Roman" w:hAnsi="Times New Roman" w:eastAsia="宋体" w:cs="Times New Roman"/>
                <w:color w:val="auto"/>
                <w:sz w:val="24"/>
              </w:rPr>
              <w:t>。</w:t>
            </w:r>
          </w:p>
          <w:p w14:paraId="05216AF2">
            <w:pPr>
              <w:keepNext w:val="0"/>
              <w:keepLines w:val="0"/>
              <w:suppressLineNumbers w:val="0"/>
              <w:spacing w:before="0" w:beforeLines="0" w:beforeAutospacing="0" w:after="0" w:afterAutospacing="0" w:line="240" w:lineRule="auto"/>
              <w:ind w:left="0" w:right="0" w:firstLine="422" w:firstLineChars="200"/>
              <w:jc w:val="center"/>
              <w:rPr>
                <w:rFonts w:hint="default" w:ascii="Times New Roman" w:hAnsi="Times New Roman" w:eastAsia="宋体" w:cs="Times New Roman"/>
                <w:b/>
                <w:bCs/>
                <w:color w:val="000000"/>
                <w:kern w:val="0"/>
                <w:sz w:val="21"/>
                <w:szCs w:val="21"/>
                <w:lang w:val="en-US" w:eastAsia="zh-CN" w:bidi="ar-SA"/>
              </w:rPr>
            </w:pPr>
            <w:r>
              <w:rPr>
                <w:rFonts w:hint="default" w:ascii="Times New Roman" w:hAnsi="Times New Roman" w:eastAsia="宋体" w:cs="Times New Roman"/>
                <w:b/>
                <w:bCs/>
                <w:color w:val="000000"/>
                <w:kern w:val="0"/>
                <w:sz w:val="21"/>
                <w:szCs w:val="21"/>
                <w:lang w:val="en-US" w:eastAsia="zh-CN" w:bidi="ar-SA"/>
              </w:rPr>
              <w:t>项目环境风险及</w:t>
            </w:r>
            <w:r>
              <w:rPr>
                <w:rFonts w:hint="default" w:cs="Times New Roman"/>
                <w:b/>
                <w:bCs/>
                <w:color w:val="000000"/>
                <w:kern w:val="0"/>
                <w:sz w:val="21"/>
                <w:szCs w:val="21"/>
                <w:lang w:val="en-US" w:eastAsia="zh-CN" w:bidi="ar-SA"/>
              </w:rPr>
              <w:t>防范措施</w:t>
            </w:r>
            <w:r>
              <w:rPr>
                <w:rFonts w:hint="default" w:ascii="Times New Roman" w:hAnsi="Times New Roman" w:eastAsia="宋体" w:cs="Times New Roman"/>
                <w:b/>
                <w:bCs/>
                <w:color w:val="000000"/>
                <w:kern w:val="0"/>
                <w:sz w:val="21"/>
                <w:szCs w:val="21"/>
                <w:lang w:val="en-US" w:eastAsia="zh-CN" w:bidi="ar-SA"/>
              </w:rPr>
              <w:t>表</w:t>
            </w:r>
          </w:p>
          <w:tbl>
            <w:tblPr>
              <w:tblStyle w:val="38"/>
              <w:tblW w:w="106975732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396"/>
              <w:gridCol w:w="3159"/>
              <w:gridCol w:w="3414"/>
            </w:tblGrid>
            <w:tr w14:paraId="1E989A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875" w:type="pct"/>
                  <w:vAlign w:val="center"/>
                </w:tcPr>
                <w:p w14:paraId="36FFFF04">
                  <w:pPr>
                    <w:keepNext w:val="0"/>
                    <w:keepLines w:val="0"/>
                    <w:suppressLineNumbers w:val="0"/>
                    <w:kinsoku w:val="0"/>
                    <w:overflowPunct w:val="0"/>
                    <w:autoSpaceDE w:val="0"/>
                    <w:autoSpaceDN w:val="0"/>
                    <w:adjustRightInd w:val="0"/>
                    <w:spacing w:before="0" w:beforeAutospacing="0" w:after="0" w:afterAutospacing="0" w:line="360" w:lineRule="exact"/>
                    <w:ind w:left="0" w:right="0"/>
                    <w:jc w:val="center"/>
                    <w:rPr>
                      <w:rFonts w:hint="default" w:eastAsia="宋体"/>
                      <w:b w:val="0"/>
                      <w:color w:val="000000"/>
                      <w:kern w:val="0"/>
                      <w:szCs w:val="21"/>
                      <w:lang w:eastAsia="zh-CN"/>
                    </w:rPr>
                  </w:pPr>
                  <w:r>
                    <w:rPr>
                      <w:rFonts w:hint="default" w:cs="Times New Roman"/>
                      <w:b w:val="0"/>
                      <w:color w:val="000000"/>
                      <w:kern w:val="0"/>
                      <w:szCs w:val="21"/>
                      <w:lang w:eastAsia="zh-CN"/>
                    </w:rPr>
                    <w:t>危险物质</w:t>
                  </w:r>
                </w:p>
              </w:tc>
              <w:tc>
                <w:tcPr>
                  <w:tcW w:w="1982" w:type="pct"/>
                  <w:tcMar>
                    <w:left w:w="28" w:type="dxa"/>
                    <w:right w:w="28" w:type="dxa"/>
                  </w:tcMar>
                  <w:vAlign w:val="center"/>
                </w:tcPr>
                <w:p w14:paraId="5084F536">
                  <w:pPr>
                    <w:keepNext w:val="0"/>
                    <w:keepLines w:val="0"/>
                    <w:suppressLineNumbers w:val="0"/>
                    <w:kinsoku w:val="0"/>
                    <w:overflowPunct w:val="0"/>
                    <w:autoSpaceDE w:val="0"/>
                    <w:autoSpaceDN w:val="0"/>
                    <w:adjustRightInd w:val="0"/>
                    <w:spacing w:before="0" w:beforeAutospacing="0" w:after="0" w:afterAutospacing="0" w:line="360" w:lineRule="exact"/>
                    <w:ind w:left="0" w:right="0"/>
                    <w:jc w:val="center"/>
                    <w:rPr>
                      <w:rFonts w:hint="default" w:eastAsia="宋体"/>
                      <w:b w:val="0"/>
                      <w:color w:val="000000"/>
                      <w:kern w:val="0"/>
                      <w:szCs w:val="21"/>
                      <w:lang w:eastAsia="zh-CN"/>
                    </w:rPr>
                  </w:pPr>
                  <w:r>
                    <w:rPr>
                      <w:rFonts w:hint="default" w:cs="Times New Roman"/>
                      <w:b w:val="0"/>
                      <w:color w:val="000000"/>
                      <w:kern w:val="0"/>
                      <w:szCs w:val="21"/>
                      <w:lang w:eastAsia="zh-CN"/>
                    </w:rPr>
                    <w:t>水性油墨、无水乙醇、胶粘剂</w:t>
                  </w:r>
                </w:p>
              </w:tc>
              <w:tc>
                <w:tcPr>
                  <w:tcW w:w="2142" w:type="pct"/>
                  <w:vAlign w:val="center"/>
                </w:tcPr>
                <w:p w14:paraId="13E961F5">
                  <w:pPr>
                    <w:keepNext w:val="0"/>
                    <w:keepLines w:val="0"/>
                    <w:suppressLineNumbers w:val="0"/>
                    <w:kinsoku w:val="0"/>
                    <w:overflowPunct w:val="0"/>
                    <w:autoSpaceDE w:val="0"/>
                    <w:autoSpaceDN w:val="0"/>
                    <w:adjustRightInd w:val="0"/>
                    <w:spacing w:before="0" w:beforeAutospacing="0" w:after="0" w:afterAutospacing="0" w:line="240" w:lineRule="auto"/>
                    <w:ind w:left="0" w:right="0"/>
                    <w:jc w:val="center"/>
                    <w:rPr>
                      <w:rFonts w:hint="default" w:eastAsia="宋体"/>
                      <w:b w:val="0"/>
                      <w:color w:val="000000"/>
                      <w:kern w:val="0"/>
                      <w:szCs w:val="21"/>
                      <w:lang w:eastAsia="zh-CN"/>
                    </w:rPr>
                  </w:pPr>
                  <w:r>
                    <w:rPr>
                      <w:rFonts w:hint="default" w:cs="Times New Roman"/>
                      <w:b w:val="0"/>
                      <w:color w:val="000000"/>
                      <w:kern w:val="0"/>
                      <w:szCs w:val="21"/>
                      <w:lang w:eastAsia="zh-CN"/>
                    </w:rPr>
                    <w:t>危险废物（废水性油墨桶、废抹布、废胶粘剂桶、废活性炭、废过滤介质）</w:t>
                  </w:r>
                </w:p>
              </w:tc>
            </w:tr>
            <w:tr w14:paraId="1A1CAF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5" w:hRule="atLeast"/>
                <w:jc w:val="center"/>
              </w:trPr>
              <w:tc>
                <w:tcPr>
                  <w:tcW w:w="875" w:type="pct"/>
                  <w:vAlign w:val="center"/>
                </w:tcPr>
                <w:p w14:paraId="2B6DBA66">
                  <w:pPr>
                    <w:keepNext w:val="0"/>
                    <w:keepLines w:val="0"/>
                    <w:suppressLineNumbers w:val="0"/>
                    <w:kinsoku w:val="0"/>
                    <w:overflowPunct w:val="0"/>
                    <w:autoSpaceDE w:val="0"/>
                    <w:autoSpaceDN w:val="0"/>
                    <w:adjustRightInd w:val="0"/>
                    <w:spacing w:before="0" w:beforeAutospacing="0" w:after="0" w:afterAutospacing="0" w:line="360" w:lineRule="exact"/>
                    <w:ind w:left="0" w:right="0"/>
                    <w:jc w:val="center"/>
                    <w:rPr>
                      <w:rFonts w:hint="default" w:eastAsia="宋体"/>
                      <w:b w:val="0"/>
                      <w:color w:val="000000"/>
                      <w:kern w:val="0"/>
                      <w:szCs w:val="21"/>
                      <w:lang w:eastAsia="zh-CN"/>
                    </w:rPr>
                  </w:pPr>
                  <w:r>
                    <w:rPr>
                      <w:rFonts w:hint="default"/>
                      <w:b w:val="0"/>
                      <w:color w:val="000000"/>
                      <w:kern w:val="0"/>
                      <w:szCs w:val="21"/>
                      <w:lang w:eastAsia="zh-CN"/>
                    </w:rPr>
                    <w:t>危险特性</w:t>
                  </w:r>
                </w:p>
              </w:tc>
              <w:tc>
                <w:tcPr>
                  <w:tcW w:w="1982" w:type="pct"/>
                  <w:tcMar>
                    <w:left w:w="28" w:type="dxa"/>
                    <w:right w:w="28" w:type="dxa"/>
                  </w:tcMar>
                  <w:vAlign w:val="center"/>
                </w:tcPr>
                <w:p w14:paraId="037B5786">
                  <w:pPr>
                    <w:keepNext w:val="0"/>
                    <w:keepLines w:val="0"/>
                    <w:suppressLineNumbers w:val="0"/>
                    <w:kinsoku w:val="0"/>
                    <w:overflowPunct w:val="0"/>
                    <w:autoSpaceDE w:val="0"/>
                    <w:autoSpaceDN w:val="0"/>
                    <w:adjustRightInd w:val="0"/>
                    <w:spacing w:before="0" w:beforeAutospacing="0" w:after="0" w:afterAutospacing="0" w:line="360" w:lineRule="exact"/>
                    <w:ind w:left="0" w:right="0"/>
                    <w:jc w:val="center"/>
                    <w:rPr>
                      <w:rFonts w:hint="default" w:eastAsia="宋体"/>
                      <w:b w:val="0"/>
                      <w:color w:val="000000"/>
                      <w:kern w:val="0"/>
                      <w:szCs w:val="21"/>
                      <w:lang w:eastAsia="zh-CN"/>
                    </w:rPr>
                  </w:pPr>
                  <w:r>
                    <w:rPr>
                      <w:rFonts w:hint="default"/>
                      <w:b w:val="0"/>
                      <w:color w:val="000000"/>
                      <w:kern w:val="0"/>
                      <w:szCs w:val="21"/>
                      <w:lang w:eastAsia="zh-CN"/>
                    </w:rPr>
                    <w:t>易燃、毒性</w:t>
                  </w:r>
                </w:p>
              </w:tc>
              <w:tc>
                <w:tcPr>
                  <w:tcW w:w="2142" w:type="pct"/>
                  <w:shd w:val="clear" w:color="auto" w:fill="auto"/>
                  <w:vAlign w:val="center"/>
                </w:tcPr>
                <w:p w14:paraId="738D7053">
                  <w:pPr>
                    <w:keepNext w:val="0"/>
                    <w:keepLines w:val="0"/>
                    <w:suppressLineNumbers w:val="0"/>
                    <w:kinsoku w:val="0"/>
                    <w:overflowPunct w:val="0"/>
                    <w:autoSpaceDE w:val="0"/>
                    <w:autoSpaceDN w:val="0"/>
                    <w:adjustRightInd w:val="0"/>
                    <w:spacing w:before="0" w:beforeAutospacing="0" w:after="0" w:afterAutospacing="0" w:line="360" w:lineRule="exact"/>
                    <w:ind w:left="0" w:right="0"/>
                    <w:jc w:val="center"/>
                    <w:rPr>
                      <w:rFonts w:hint="default"/>
                      <w:b w:val="0"/>
                      <w:color w:val="000000"/>
                      <w:kern w:val="0"/>
                      <w:szCs w:val="21"/>
                    </w:rPr>
                  </w:pPr>
                  <w:r>
                    <w:rPr>
                      <w:rFonts w:hint="default"/>
                      <w:b w:val="0"/>
                      <w:color w:val="000000"/>
                      <w:kern w:val="0"/>
                      <w:szCs w:val="21"/>
                      <w:lang w:eastAsia="zh-CN"/>
                    </w:rPr>
                    <w:t>易燃、毒性</w:t>
                  </w:r>
                </w:p>
              </w:tc>
            </w:tr>
            <w:tr w14:paraId="34C6F9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5" w:hRule="atLeast"/>
                <w:jc w:val="center"/>
              </w:trPr>
              <w:tc>
                <w:tcPr>
                  <w:tcW w:w="875" w:type="pct"/>
                  <w:vAlign w:val="center"/>
                </w:tcPr>
                <w:p w14:paraId="179C6B34">
                  <w:pPr>
                    <w:keepNext w:val="0"/>
                    <w:keepLines w:val="0"/>
                    <w:suppressLineNumbers w:val="0"/>
                    <w:kinsoku w:val="0"/>
                    <w:overflowPunct w:val="0"/>
                    <w:autoSpaceDE w:val="0"/>
                    <w:autoSpaceDN w:val="0"/>
                    <w:adjustRightInd w:val="0"/>
                    <w:spacing w:before="0" w:beforeAutospacing="0" w:after="0" w:afterAutospacing="0" w:line="360" w:lineRule="exact"/>
                    <w:ind w:left="0" w:right="0"/>
                    <w:jc w:val="center"/>
                    <w:rPr>
                      <w:rFonts w:hint="default" w:eastAsia="宋体"/>
                      <w:b w:val="0"/>
                      <w:color w:val="000000"/>
                      <w:kern w:val="0"/>
                      <w:szCs w:val="21"/>
                      <w:lang w:eastAsia="zh-CN"/>
                    </w:rPr>
                  </w:pPr>
                  <w:r>
                    <w:rPr>
                      <w:rFonts w:hint="default"/>
                      <w:b w:val="0"/>
                      <w:color w:val="000000"/>
                      <w:kern w:val="0"/>
                      <w:szCs w:val="21"/>
                      <w:lang w:eastAsia="zh-CN"/>
                    </w:rPr>
                    <w:t>风险源</w:t>
                  </w:r>
                </w:p>
              </w:tc>
              <w:tc>
                <w:tcPr>
                  <w:tcW w:w="1982" w:type="pct"/>
                  <w:tcMar>
                    <w:left w:w="28" w:type="dxa"/>
                    <w:right w:w="28" w:type="dxa"/>
                  </w:tcMar>
                  <w:vAlign w:val="center"/>
                </w:tcPr>
                <w:p w14:paraId="3E940DCA">
                  <w:pPr>
                    <w:keepNext w:val="0"/>
                    <w:keepLines w:val="0"/>
                    <w:suppressLineNumbers w:val="0"/>
                    <w:kinsoku w:val="0"/>
                    <w:overflowPunct w:val="0"/>
                    <w:autoSpaceDE w:val="0"/>
                    <w:autoSpaceDN w:val="0"/>
                    <w:adjustRightInd w:val="0"/>
                    <w:spacing w:before="0" w:beforeAutospacing="0" w:after="0" w:afterAutospacing="0" w:line="360" w:lineRule="exact"/>
                    <w:ind w:left="0" w:right="0"/>
                    <w:jc w:val="center"/>
                    <w:rPr>
                      <w:rFonts w:hint="default" w:eastAsia="宋体"/>
                      <w:b w:val="0"/>
                      <w:color w:val="000000"/>
                      <w:kern w:val="0"/>
                      <w:szCs w:val="21"/>
                      <w:lang w:eastAsia="zh-CN"/>
                    </w:rPr>
                  </w:pPr>
                  <w:r>
                    <w:rPr>
                      <w:rFonts w:hint="default"/>
                      <w:b w:val="0"/>
                      <w:color w:val="000000"/>
                      <w:kern w:val="0"/>
                      <w:szCs w:val="21"/>
                      <w:lang w:eastAsia="zh-CN"/>
                    </w:rPr>
                    <w:t>危险物质包装桶</w:t>
                  </w:r>
                </w:p>
              </w:tc>
              <w:tc>
                <w:tcPr>
                  <w:tcW w:w="2142" w:type="pct"/>
                  <w:shd w:val="clear" w:color="auto" w:fill="auto"/>
                  <w:vAlign w:val="center"/>
                </w:tcPr>
                <w:p w14:paraId="7674FEFE">
                  <w:pPr>
                    <w:keepNext w:val="0"/>
                    <w:keepLines w:val="0"/>
                    <w:suppressLineNumbers w:val="0"/>
                    <w:kinsoku w:val="0"/>
                    <w:overflowPunct w:val="0"/>
                    <w:autoSpaceDE w:val="0"/>
                    <w:autoSpaceDN w:val="0"/>
                    <w:adjustRightInd w:val="0"/>
                    <w:spacing w:before="0" w:beforeAutospacing="0" w:after="0" w:afterAutospacing="0" w:line="360" w:lineRule="exact"/>
                    <w:ind w:left="0" w:right="0"/>
                    <w:jc w:val="center"/>
                    <w:rPr>
                      <w:rFonts w:hint="default" w:eastAsia="宋体"/>
                      <w:b w:val="0"/>
                      <w:color w:val="000000"/>
                      <w:kern w:val="0"/>
                      <w:szCs w:val="21"/>
                      <w:lang w:eastAsia="zh-CN"/>
                    </w:rPr>
                  </w:pPr>
                  <w:r>
                    <w:rPr>
                      <w:rFonts w:hint="default"/>
                      <w:b w:val="0"/>
                      <w:color w:val="000000"/>
                      <w:kern w:val="21"/>
                      <w:lang w:eastAsia="zh-CN"/>
                    </w:rPr>
                    <w:t>危险废物包装袋、包装桶</w:t>
                  </w:r>
                </w:p>
              </w:tc>
            </w:tr>
            <w:tr w14:paraId="30001F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5" w:hRule="atLeast"/>
                <w:jc w:val="center"/>
              </w:trPr>
              <w:tc>
                <w:tcPr>
                  <w:tcW w:w="875" w:type="pct"/>
                  <w:vAlign w:val="center"/>
                </w:tcPr>
                <w:p w14:paraId="681CA901">
                  <w:pPr>
                    <w:keepNext w:val="0"/>
                    <w:keepLines w:val="0"/>
                    <w:suppressLineNumbers w:val="0"/>
                    <w:kinsoku w:val="0"/>
                    <w:overflowPunct w:val="0"/>
                    <w:autoSpaceDE w:val="0"/>
                    <w:autoSpaceDN w:val="0"/>
                    <w:adjustRightInd w:val="0"/>
                    <w:spacing w:before="0" w:beforeAutospacing="0" w:after="0" w:afterAutospacing="0" w:line="360" w:lineRule="exact"/>
                    <w:ind w:left="0" w:right="0"/>
                    <w:jc w:val="center"/>
                    <w:rPr>
                      <w:rFonts w:hint="default" w:eastAsia="宋体"/>
                      <w:b w:val="0"/>
                      <w:color w:val="000000"/>
                      <w:kern w:val="0"/>
                      <w:szCs w:val="21"/>
                      <w:lang w:val="en-US" w:eastAsia="zh-CN"/>
                    </w:rPr>
                  </w:pPr>
                  <w:r>
                    <w:rPr>
                      <w:rFonts w:hint="default"/>
                      <w:b w:val="0"/>
                      <w:color w:val="000000"/>
                      <w:kern w:val="0"/>
                      <w:szCs w:val="21"/>
                      <w:lang w:val="en-US" w:eastAsia="zh-CN"/>
                    </w:rPr>
                    <w:t>危险单元</w:t>
                  </w:r>
                </w:p>
              </w:tc>
              <w:tc>
                <w:tcPr>
                  <w:tcW w:w="1982" w:type="pct"/>
                  <w:tcMar>
                    <w:left w:w="28" w:type="dxa"/>
                    <w:right w:w="28" w:type="dxa"/>
                  </w:tcMar>
                  <w:vAlign w:val="center"/>
                </w:tcPr>
                <w:p w14:paraId="5637B840">
                  <w:pPr>
                    <w:keepNext w:val="0"/>
                    <w:keepLines w:val="0"/>
                    <w:suppressLineNumbers w:val="0"/>
                    <w:kinsoku w:val="0"/>
                    <w:overflowPunct w:val="0"/>
                    <w:autoSpaceDE w:val="0"/>
                    <w:autoSpaceDN w:val="0"/>
                    <w:adjustRightInd w:val="0"/>
                    <w:spacing w:before="0" w:beforeAutospacing="0" w:after="0" w:afterAutospacing="0" w:line="360" w:lineRule="exact"/>
                    <w:ind w:left="0" w:right="0"/>
                    <w:jc w:val="center"/>
                    <w:rPr>
                      <w:rFonts w:hint="default" w:eastAsia="宋体"/>
                      <w:b w:val="0"/>
                      <w:color w:val="000000"/>
                      <w:kern w:val="0"/>
                      <w:szCs w:val="21"/>
                      <w:lang w:eastAsia="zh-CN"/>
                    </w:rPr>
                  </w:pPr>
                  <w:r>
                    <w:rPr>
                      <w:rFonts w:hint="default"/>
                      <w:b w:val="0"/>
                      <w:color w:val="000000"/>
                      <w:kern w:val="0"/>
                      <w:szCs w:val="21"/>
                      <w:lang w:eastAsia="zh-CN"/>
                    </w:rPr>
                    <w:t>原料区、配制间、印刷间</w:t>
                  </w:r>
                </w:p>
              </w:tc>
              <w:tc>
                <w:tcPr>
                  <w:tcW w:w="2142" w:type="pct"/>
                  <w:shd w:val="clear" w:color="auto" w:fill="auto"/>
                  <w:vAlign w:val="center"/>
                </w:tcPr>
                <w:p w14:paraId="11359697">
                  <w:pPr>
                    <w:keepNext w:val="0"/>
                    <w:keepLines w:val="0"/>
                    <w:suppressLineNumbers w:val="0"/>
                    <w:kinsoku w:val="0"/>
                    <w:overflowPunct w:val="0"/>
                    <w:autoSpaceDE w:val="0"/>
                    <w:autoSpaceDN w:val="0"/>
                    <w:adjustRightInd w:val="0"/>
                    <w:spacing w:before="0" w:beforeAutospacing="0" w:after="0" w:afterAutospacing="0" w:line="360" w:lineRule="exact"/>
                    <w:ind w:left="0" w:right="0"/>
                    <w:jc w:val="center"/>
                    <w:rPr>
                      <w:rFonts w:hint="default" w:eastAsia="宋体"/>
                      <w:b w:val="0"/>
                      <w:color w:val="000000"/>
                      <w:kern w:val="21"/>
                      <w:lang w:eastAsia="zh-CN"/>
                    </w:rPr>
                  </w:pPr>
                  <w:r>
                    <w:rPr>
                      <w:rFonts w:hint="default"/>
                      <w:b w:val="0"/>
                      <w:color w:val="000000"/>
                      <w:kern w:val="21"/>
                      <w:lang w:eastAsia="zh-CN"/>
                    </w:rPr>
                    <w:t>危废间</w:t>
                  </w:r>
                </w:p>
              </w:tc>
            </w:tr>
            <w:tr w14:paraId="11FC64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875" w:type="pct"/>
                  <w:vAlign w:val="center"/>
                </w:tcPr>
                <w:p w14:paraId="5B18D700">
                  <w:pPr>
                    <w:keepNext w:val="0"/>
                    <w:keepLines w:val="0"/>
                    <w:suppressLineNumbers w:val="0"/>
                    <w:kinsoku w:val="0"/>
                    <w:overflowPunct w:val="0"/>
                    <w:autoSpaceDE w:val="0"/>
                    <w:autoSpaceDN w:val="0"/>
                    <w:adjustRightInd w:val="0"/>
                    <w:spacing w:before="0" w:beforeAutospacing="0" w:after="0" w:afterAutospacing="0" w:line="360" w:lineRule="exact"/>
                    <w:ind w:left="0" w:right="0"/>
                    <w:jc w:val="center"/>
                    <w:rPr>
                      <w:rFonts w:hint="default" w:eastAsia="宋体"/>
                      <w:b w:val="0"/>
                      <w:color w:val="000000"/>
                      <w:kern w:val="0"/>
                      <w:szCs w:val="21"/>
                      <w:lang w:val="en-US" w:eastAsia="zh-CN"/>
                    </w:rPr>
                  </w:pPr>
                  <w:r>
                    <w:rPr>
                      <w:rFonts w:hint="default"/>
                      <w:b w:val="0"/>
                      <w:color w:val="000000"/>
                      <w:kern w:val="0"/>
                      <w:szCs w:val="21"/>
                      <w:lang w:val="en-US" w:eastAsia="zh-CN"/>
                    </w:rPr>
                    <w:t>危险物质分布</w:t>
                  </w:r>
                </w:p>
              </w:tc>
              <w:tc>
                <w:tcPr>
                  <w:tcW w:w="1982" w:type="pct"/>
                  <w:tcMar>
                    <w:left w:w="28" w:type="dxa"/>
                    <w:right w:w="28" w:type="dxa"/>
                  </w:tcMar>
                  <w:vAlign w:val="center"/>
                </w:tcPr>
                <w:p w14:paraId="5D30A075">
                  <w:pPr>
                    <w:keepNext w:val="0"/>
                    <w:keepLines w:val="0"/>
                    <w:suppressLineNumbers w:val="0"/>
                    <w:kinsoku w:val="0"/>
                    <w:overflowPunct w:val="0"/>
                    <w:autoSpaceDE w:val="0"/>
                    <w:autoSpaceDN w:val="0"/>
                    <w:adjustRightInd w:val="0"/>
                    <w:spacing w:before="0" w:beforeAutospacing="0" w:after="0" w:afterAutospacing="0" w:line="360" w:lineRule="exact"/>
                    <w:ind w:left="0" w:right="0"/>
                    <w:jc w:val="center"/>
                    <w:rPr>
                      <w:rFonts w:hint="default" w:eastAsia="宋体"/>
                      <w:b w:val="0"/>
                      <w:color w:val="000000"/>
                      <w:kern w:val="0"/>
                      <w:szCs w:val="21"/>
                      <w:lang w:eastAsia="zh-CN"/>
                    </w:rPr>
                  </w:pPr>
                  <w:r>
                    <w:rPr>
                      <w:rFonts w:hint="default"/>
                      <w:b w:val="0"/>
                      <w:color w:val="000000"/>
                      <w:kern w:val="0"/>
                      <w:szCs w:val="21"/>
                      <w:lang w:eastAsia="zh-CN"/>
                    </w:rPr>
                    <w:t>原料区、配制间、印刷间</w:t>
                  </w:r>
                </w:p>
              </w:tc>
              <w:tc>
                <w:tcPr>
                  <w:tcW w:w="2142" w:type="pct"/>
                  <w:shd w:val="clear" w:color="auto" w:fill="auto"/>
                  <w:vAlign w:val="center"/>
                </w:tcPr>
                <w:p w14:paraId="32BF9F41">
                  <w:pPr>
                    <w:keepNext w:val="0"/>
                    <w:keepLines w:val="0"/>
                    <w:suppressLineNumbers w:val="0"/>
                    <w:kinsoku w:val="0"/>
                    <w:overflowPunct w:val="0"/>
                    <w:autoSpaceDE w:val="0"/>
                    <w:autoSpaceDN w:val="0"/>
                    <w:adjustRightInd w:val="0"/>
                    <w:spacing w:before="0" w:beforeAutospacing="0" w:after="0" w:afterAutospacing="0" w:line="360" w:lineRule="exact"/>
                    <w:ind w:left="0" w:right="0"/>
                    <w:jc w:val="center"/>
                    <w:rPr>
                      <w:rFonts w:hint="default" w:eastAsia="宋体"/>
                      <w:b w:val="0"/>
                      <w:color w:val="000000"/>
                      <w:kern w:val="21"/>
                      <w:lang w:eastAsia="zh-CN"/>
                    </w:rPr>
                  </w:pPr>
                  <w:r>
                    <w:rPr>
                      <w:rFonts w:hint="default"/>
                      <w:b w:val="0"/>
                      <w:color w:val="000000"/>
                      <w:kern w:val="21"/>
                      <w:lang w:eastAsia="zh-CN"/>
                    </w:rPr>
                    <w:t>危废间</w:t>
                  </w:r>
                </w:p>
              </w:tc>
            </w:tr>
            <w:tr w14:paraId="729CA5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5" w:hRule="atLeast"/>
                <w:jc w:val="center"/>
              </w:trPr>
              <w:tc>
                <w:tcPr>
                  <w:tcW w:w="875" w:type="pct"/>
                  <w:vAlign w:val="center"/>
                </w:tcPr>
                <w:p w14:paraId="42C6CA5E">
                  <w:pPr>
                    <w:keepNext w:val="0"/>
                    <w:keepLines w:val="0"/>
                    <w:suppressLineNumbers w:val="0"/>
                    <w:kinsoku w:val="0"/>
                    <w:overflowPunct w:val="0"/>
                    <w:autoSpaceDE w:val="0"/>
                    <w:autoSpaceDN w:val="0"/>
                    <w:adjustRightInd w:val="0"/>
                    <w:spacing w:before="0" w:beforeAutospacing="0" w:after="0" w:afterAutospacing="0" w:line="360" w:lineRule="exact"/>
                    <w:ind w:left="0" w:right="0"/>
                    <w:jc w:val="center"/>
                    <w:rPr>
                      <w:rFonts w:hint="default" w:eastAsia="宋体"/>
                      <w:b w:val="0"/>
                      <w:color w:val="000000"/>
                      <w:kern w:val="0"/>
                      <w:szCs w:val="21"/>
                      <w:lang w:val="en-US" w:eastAsia="zh-CN"/>
                    </w:rPr>
                  </w:pPr>
                  <w:r>
                    <w:rPr>
                      <w:rFonts w:hint="default"/>
                      <w:b w:val="0"/>
                      <w:color w:val="000000"/>
                      <w:kern w:val="0"/>
                      <w:szCs w:val="21"/>
                      <w:lang w:val="en-US" w:eastAsia="zh-CN"/>
                    </w:rPr>
                    <w:t>环境风险类型</w:t>
                  </w:r>
                </w:p>
              </w:tc>
              <w:tc>
                <w:tcPr>
                  <w:tcW w:w="1982" w:type="pct"/>
                  <w:tcMar>
                    <w:left w:w="28" w:type="dxa"/>
                    <w:right w:w="28" w:type="dxa"/>
                  </w:tcMar>
                  <w:vAlign w:val="center"/>
                </w:tcPr>
                <w:p w14:paraId="580F9C1D">
                  <w:pPr>
                    <w:keepNext w:val="0"/>
                    <w:keepLines w:val="0"/>
                    <w:suppressLineNumbers w:val="0"/>
                    <w:kinsoku w:val="0"/>
                    <w:overflowPunct w:val="0"/>
                    <w:autoSpaceDE w:val="0"/>
                    <w:autoSpaceDN w:val="0"/>
                    <w:adjustRightInd w:val="0"/>
                    <w:spacing w:before="0" w:beforeAutospacing="0" w:after="0" w:afterAutospacing="0" w:line="360" w:lineRule="exact"/>
                    <w:ind w:left="0" w:right="0"/>
                    <w:jc w:val="center"/>
                    <w:rPr>
                      <w:rFonts w:hint="default"/>
                      <w:b w:val="0"/>
                      <w:color w:val="000000"/>
                      <w:kern w:val="0"/>
                      <w:szCs w:val="21"/>
                    </w:rPr>
                  </w:pPr>
                  <w:r>
                    <w:rPr>
                      <w:rFonts w:hint="default"/>
                      <w:b w:val="0"/>
                      <w:color w:val="000000"/>
                      <w:kern w:val="21"/>
                    </w:rPr>
                    <w:t>泄漏、火灾</w:t>
                  </w:r>
                  <w:r>
                    <w:rPr>
                      <w:rFonts w:hint="default"/>
                      <w:b w:val="0"/>
                      <w:color w:val="000000"/>
                      <w:kern w:val="21"/>
                      <w:lang w:eastAsia="zh-CN"/>
                    </w:rPr>
                    <w:t>伴生、次生污染物排放</w:t>
                  </w:r>
                </w:p>
              </w:tc>
              <w:tc>
                <w:tcPr>
                  <w:tcW w:w="2142" w:type="pct"/>
                  <w:shd w:val="clear" w:color="auto" w:fill="auto"/>
                  <w:vAlign w:val="center"/>
                </w:tcPr>
                <w:p w14:paraId="10438404">
                  <w:pPr>
                    <w:keepNext w:val="0"/>
                    <w:keepLines w:val="0"/>
                    <w:suppressLineNumbers w:val="0"/>
                    <w:kinsoku w:val="0"/>
                    <w:overflowPunct w:val="0"/>
                    <w:autoSpaceDE w:val="0"/>
                    <w:autoSpaceDN w:val="0"/>
                    <w:adjustRightInd w:val="0"/>
                    <w:spacing w:before="0" w:beforeAutospacing="0" w:after="0" w:afterAutospacing="0" w:line="360" w:lineRule="exact"/>
                    <w:ind w:left="0" w:right="0"/>
                    <w:jc w:val="center"/>
                    <w:rPr>
                      <w:rFonts w:hint="default"/>
                      <w:b w:val="0"/>
                      <w:color w:val="000000"/>
                      <w:kern w:val="21"/>
                    </w:rPr>
                  </w:pPr>
                  <w:r>
                    <w:rPr>
                      <w:rFonts w:hint="default"/>
                      <w:b w:val="0"/>
                      <w:color w:val="000000"/>
                      <w:kern w:val="21"/>
                    </w:rPr>
                    <w:t>泄漏、火灾</w:t>
                  </w:r>
                  <w:r>
                    <w:rPr>
                      <w:rFonts w:hint="default"/>
                      <w:b w:val="0"/>
                      <w:color w:val="000000"/>
                      <w:kern w:val="21"/>
                      <w:lang w:eastAsia="zh-CN"/>
                    </w:rPr>
                    <w:t>伴生、次生污染物排放</w:t>
                  </w:r>
                </w:p>
              </w:tc>
            </w:tr>
            <w:tr w14:paraId="513E9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5" w:hRule="atLeast"/>
                <w:jc w:val="center"/>
              </w:trPr>
              <w:tc>
                <w:tcPr>
                  <w:tcW w:w="875" w:type="pct"/>
                  <w:shd w:val="clear" w:color="auto" w:fill="auto"/>
                  <w:vAlign w:val="center"/>
                </w:tcPr>
                <w:p w14:paraId="4EF04876">
                  <w:pPr>
                    <w:keepNext w:val="0"/>
                    <w:keepLines w:val="0"/>
                    <w:suppressLineNumbers w:val="0"/>
                    <w:kinsoku w:val="0"/>
                    <w:overflowPunct w:val="0"/>
                    <w:autoSpaceDE w:val="0"/>
                    <w:autoSpaceDN w:val="0"/>
                    <w:adjustRightInd w:val="0"/>
                    <w:spacing w:before="0" w:beforeAutospacing="0" w:after="0" w:afterAutospacing="0" w:line="240" w:lineRule="auto"/>
                    <w:ind w:left="0" w:leftChars="0" w:right="0" w:rightChars="0"/>
                    <w:jc w:val="center"/>
                    <w:rPr>
                      <w:rFonts w:hint="default" w:ascii="Times New Roman" w:hAnsi="Times New Roman" w:eastAsia="宋体" w:cs="Times New Roman"/>
                      <w:b w:val="0"/>
                      <w:color w:val="000000"/>
                      <w:kern w:val="0"/>
                      <w:sz w:val="21"/>
                      <w:szCs w:val="21"/>
                      <w:lang w:val="en-US" w:eastAsia="zh-CN" w:bidi="ar-SA"/>
                    </w:rPr>
                  </w:pPr>
                  <w:r>
                    <w:rPr>
                      <w:rFonts w:hint="default"/>
                      <w:b w:val="0"/>
                      <w:color w:val="000000"/>
                      <w:kern w:val="0"/>
                      <w:szCs w:val="21"/>
                      <w:lang w:val="en-US" w:eastAsia="zh-CN"/>
                    </w:rPr>
                    <w:t>可能受影响的环境保护目标</w:t>
                  </w:r>
                </w:p>
              </w:tc>
              <w:tc>
                <w:tcPr>
                  <w:tcW w:w="1982" w:type="pct"/>
                  <w:shd w:val="clear" w:color="auto" w:fill="auto"/>
                  <w:tcMar>
                    <w:left w:w="28" w:type="dxa"/>
                    <w:right w:w="28" w:type="dxa"/>
                  </w:tcMar>
                  <w:vAlign w:val="center"/>
                </w:tcPr>
                <w:p w14:paraId="083A1325">
                  <w:pPr>
                    <w:keepNext w:val="0"/>
                    <w:keepLines w:val="0"/>
                    <w:suppressLineNumbers w:val="0"/>
                    <w:kinsoku w:val="0"/>
                    <w:overflowPunct w:val="0"/>
                    <w:autoSpaceDE w:val="0"/>
                    <w:autoSpaceDN w:val="0"/>
                    <w:adjustRightInd w:val="0"/>
                    <w:spacing w:before="0" w:beforeAutospacing="0" w:after="0" w:afterAutospacing="0" w:line="360" w:lineRule="exact"/>
                    <w:ind w:left="0" w:leftChars="0" w:right="0" w:rightChars="0"/>
                    <w:jc w:val="center"/>
                    <w:rPr>
                      <w:rFonts w:hint="default" w:ascii="Times New Roman" w:hAnsi="Times New Roman" w:eastAsia="宋体" w:cs="Times New Roman"/>
                      <w:b w:val="0"/>
                      <w:color w:val="000000"/>
                      <w:kern w:val="21"/>
                      <w:sz w:val="21"/>
                      <w:szCs w:val="24"/>
                      <w:lang w:val="en-US" w:eastAsia="zh-CN" w:bidi="ar-SA"/>
                    </w:rPr>
                  </w:pPr>
                  <w:r>
                    <w:rPr>
                      <w:rFonts w:hint="default"/>
                      <w:b w:val="0"/>
                      <w:color w:val="000000"/>
                      <w:kern w:val="21"/>
                      <w:lang w:eastAsia="zh-CN"/>
                    </w:rPr>
                    <w:t>周边居民</w:t>
                  </w:r>
                </w:p>
              </w:tc>
              <w:tc>
                <w:tcPr>
                  <w:tcW w:w="2142" w:type="pct"/>
                  <w:shd w:val="clear" w:color="auto" w:fill="auto"/>
                  <w:vAlign w:val="center"/>
                </w:tcPr>
                <w:p w14:paraId="31320346">
                  <w:pPr>
                    <w:keepNext w:val="0"/>
                    <w:keepLines w:val="0"/>
                    <w:suppressLineNumbers w:val="0"/>
                    <w:kinsoku w:val="0"/>
                    <w:overflowPunct w:val="0"/>
                    <w:autoSpaceDE w:val="0"/>
                    <w:autoSpaceDN w:val="0"/>
                    <w:adjustRightInd w:val="0"/>
                    <w:spacing w:before="0" w:beforeAutospacing="0" w:after="0" w:afterAutospacing="0" w:line="360" w:lineRule="exact"/>
                    <w:ind w:left="0" w:leftChars="0" w:right="0" w:rightChars="0"/>
                    <w:jc w:val="center"/>
                    <w:rPr>
                      <w:rFonts w:hint="default" w:ascii="Times New Roman" w:hAnsi="Times New Roman" w:eastAsia="宋体" w:cs="Times New Roman"/>
                      <w:b w:val="0"/>
                      <w:color w:val="000000"/>
                      <w:kern w:val="21"/>
                      <w:sz w:val="21"/>
                      <w:szCs w:val="24"/>
                      <w:lang w:val="en-US" w:eastAsia="zh-CN" w:bidi="ar-SA"/>
                    </w:rPr>
                  </w:pPr>
                  <w:r>
                    <w:rPr>
                      <w:rFonts w:hint="default"/>
                      <w:b w:val="0"/>
                      <w:color w:val="000000"/>
                      <w:kern w:val="21"/>
                      <w:lang w:eastAsia="zh-CN"/>
                    </w:rPr>
                    <w:t>周边居民</w:t>
                  </w:r>
                </w:p>
              </w:tc>
            </w:tr>
            <w:tr w14:paraId="07A9FF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5" w:hRule="atLeast"/>
                <w:jc w:val="center"/>
              </w:trPr>
              <w:tc>
                <w:tcPr>
                  <w:tcW w:w="875" w:type="pct"/>
                  <w:vAlign w:val="center"/>
                </w:tcPr>
                <w:p w14:paraId="29650F17">
                  <w:pPr>
                    <w:keepNext w:val="0"/>
                    <w:keepLines w:val="0"/>
                    <w:suppressLineNumbers w:val="0"/>
                    <w:kinsoku w:val="0"/>
                    <w:overflowPunct w:val="0"/>
                    <w:autoSpaceDE w:val="0"/>
                    <w:autoSpaceDN w:val="0"/>
                    <w:adjustRightInd w:val="0"/>
                    <w:spacing w:before="0" w:beforeAutospacing="0" w:after="0" w:afterAutospacing="0" w:line="360" w:lineRule="exact"/>
                    <w:ind w:left="0" w:right="0"/>
                    <w:jc w:val="center"/>
                    <w:rPr>
                      <w:rFonts w:hint="default" w:eastAsia="宋体"/>
                      <w:b w:val="0"/>
                      <w:color w:val="000000"/>
                      <w:kern w:val="0"/>
                      <w:szCs w:val="21"/>
                      <w:lang w:val="en-US" w:eastAsia="zh-CN"/>
                    </w:rPr>
                  </w:pPr>
                  <w:r>
                    <w:rPr>
                      <w:rFonts w:hint="default"/>
                      <w:b w:val="0"/>
                      <w:color w:val="000000"/>
                      <w:kern w:val="0"/>
                      <w:szCs w:val="21"/>
                      <w:lang w:val="en-US" w:eastAsia="zh-CN"/>
                    </w:rPr>
                    <w:t>环境影响途径</w:t>
                  </w:r>
                </w:p>
              </w:tc>
              <w:tc>
                <w:tcPr>
                  <w:tcW w:w="4124" w:type="pct"/>
                  <w:gridSpan w:val="2"/>
                  <w:tcMar>
                    <w:left w:w="28" w:type="dxa"/>
                    <w:right w:w="28" w:type="dxa"/>
                  </w:tcMar>
                  <w:vAlign w:val="center"/>
                </w:tcPr>
                <w:p w14:paraId="32DAA381">
                  <w:pPr>
                    <w:keepNext w:val="0"/>
                    <w:keepLines w:val="0"/>
                    <w:suppressLineNumbers w:val="0"/>
                    <w:kinsoku w:val="0"/>
                    <w:overflowPunct w:val="0"/>
                    <w:autoSpaceDE w:val="0"/>
                    <w:autoSpaceDN w:val="0"/>
                    <w:spacing w:before="157" w:beforeLines="50" w:beforeAutospacing="0" w:after="157" w:afterLines="50" w:afterAutospacing="0" w:line="240" w:lineRule="auto"/>
                    <w:ind w:left="0" w:leftChars="0" w:right="0" w:rightChars="0"/>
                    <w:jc w:val="both"/>
                    <w:rPr>
                      <w:rFonts w:hint="default"/>
                    </w:rPr>
                  </w:pPr>
                  <w:r>
                    <w:rPr>
                      <w:rFonts w:hint="default"/>
                      <w:b w:val="0"/>
                      <w:color w:val="000000"/>
                      <w:kern w:val="21"/>
                      <w:lang w:eastAsia="zh-CN"/>
                    </w:rPr>
                    <w:t>水性油墨、无水乙醇、胶粘剂</w:t>
                  </w:r>
                  <w:r>
                    <w:rPr>
                      <w:rFonts w:hint="default"/>
                      <w:b w:val="0"/>
                      <w:color w:val="000000"/>
                      <w:kern w:val="21"/>
                    </w:rPr>
                    <w:t>和危险废物处置不当，如露天堆放，危险物质中的污染物极易受雨水淋溶进入地表水体或渗透入地下水体，导致水环境造成影响</w:t>
                  </w:r>
                  <w:r>
                    <w:rPr>
                      <w:rFonts w:hint="default"/>
                      <w:b w:val="0"/>
                      <w:color w:val="000000"/>
                      <w:kern w:val="21"/>
                      <w:lang w:eastAsia="zh-CN"/>
                    </w:rPr>
                    <w:t>；</w:t>
                  </w:r>
                  <w:r>
                    <w:rPr>
                      <w:rFonts w:hint="default"/>
                      <w:b w:val="0"/>
                      <w:color w:val="000000"/>
                      <w:kern w:val="21"/>
                    </w:rPr>
                    <w:t>在危险物质转移过程中，如包装发生破裂等原因导致危险废物遗失于环境中，导致地下水环境和土壤造成影响</w:t>
                  </w:r>
                  <w:r>
                    <w:rPr>
                      <w:rFonts w:hint="default"/>
                      <w:b w:val="0"/>
                      <w:color w:val="000000"/>
                      <w:kern w:val="21"/>
                      <w:lang w:eastAsia="zh-CN"/>
                    </w:rPr>
                    <w:t>；</w:t>
                  </w:r>
                  <w:r>
                    <w:rPr>
                      <w:rFonts w:hint="default"/>
                      <w:b w:val="0"/>
                      <w:color w:val="000000"/>
                      <w:kern w:val="21"/>
                    </w:rPr>
                    <w:t>危险物质泄露后遇明火燃烧，在不充分燃烧时产生的废气(包括CO</w:t>
                  </w:r>
                  <w:r>
                    <w:rPr>
                      <w:rFonts w:hint="default"/>
                      <w:b w:val="0"/>
                      <w:color w:val="000000"/>
                      <w:kern w:val="21"/>
                      <w:vertAlign w:val="subscript"/>
                    </w:rPr>
                    <w:t>2</w:t>
                  </w:r>
                  <w:r>
                    <w:rPr>
                      <w:rFonts w:hint="default"/>
                      <w:b w:val="0"/>
                      <w:color w:val="000000"/>
                      <w:kern w:val="21"/>
                    </w:rPr>
                    <w:t>、CO等多种物质)进入大气环境或挥发进入大气环境，通过大气扩散对项目周围环境造成影响</w:t>
                  </w:r>
                  <w:r>
                    <w:rPr>
                      <w:rFonts w:hint="default"/>
                      <w:b w:val="0"/>
                      <w:color w:val="000000"/>
                      <w:kern w:val="21"/>
                      <w:lang w:eastAsia="zh-CN"/>
                    </w:rPr>
                    <w:t>。</w:t>
                  </w:r>
                </w:p>
              </w:tc>
            </w:tr>
            <w:tr w14:paraId="598E8D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5" w:hRule="atLeast"/>
                <w:jc w:val="center"/>
              </w:trPr>
              <w:tc>
                <w:tcPr>
                  <w:tcW w:w="875" w:type="pct"/>
                  <w:vAlign w:val="center"/>
                </w:tcPr>
                <w:p w14:paraId="75A69EEA">
                  <w:pPr>
                    <w:keepNext w:val="0"/>
                    <w:keepLines w:val="0"/>
                    <w:suppressLineNumbers w:val="0"/>
                    <w:kinsoku w:val="0"/>
                    <w:overflowPunct w:val="0"/>
                    <w:autoSpaceDE w:val="0"/>
                    <w:autoSpaceDN w:val="0"/>
                    <w:adjustRightInd w:val="0"/>
                    <w:spacing w:before="0" w:beforeAutospacing="0" w:after="0" w:afterAutospacing="0" w:line="240" w:lineRule="auto"/>
                    <w:ind w:left="0" w:right="0"/>
                    <w:jc w:val="center"/>
                    <w:rPr>
                      <w:rFonts w:hint="default"/>
                      <w:b w:val="0"/>
                      <w:color w:val="000000"/>
                      <w:kern w:val="0"/>
                      <w:szCs w:val="21"/>
                      <w:highlight w:val="none"/>
                      <w:lang w:val="en-US" w:eastAsia="zh-CN"/>
                    </w:rPr>
                  </w:pPr>
                  <w:r>
                    <w:rPr>
                      <w:rFonts w:hint="default"/>
                      <w:b w:val="0"/>
                      <w:color w:val="000000"/>
                      <w:kern w:val="0"/>
                      <w:szCs w:val="21"/>
                      <w:highlight w:val="none"/>
                      <w:lang w:val="en-US" w:eastAsia="zh-CN"/>
                    </w:rPr>
                    <w:t>风险防范措施要求</w:t>
                  </w:r>
                </w:p>
              </w:tc>
              <w:tc>
                <w:tcPr>
                  <w:tcW w:w="4124" w:type="pct"/>
                  <w:gridSpan w:val="2"/>
                  <w:tcMar>
                    <w:left w:w="28" w:type="dxa"/>
                    <w:right w:w="28" w:type="dxa"/>
                  </w:tcMar>
                  <w:vAlign w:val="center"/>
                </w:tcPr>
                <w:p w14:paraId="2797CFB2">
                  <w:pPr>
                    <w:keepNext w:val="0"/>
                    <w:keepLines w:val="0"/>
                    <w:suppressLineNumbers w:val="0"/>
                    <w:kinsoku w:val="0"/>
                    <w:overflowPunct w:val="0"/>
                    <w:autoSpaceDE w:val="0"/>
                    <w:autoSpaceDN w:val="0"/>
                    <w:adjustRightInd/>
                    <w:snapToGrid/>
                    <w:spacing w:before="0" w:beforeLines="0" w:beforeAutospacing="0" w:after="0" w:afterLines="0" w:afterAutospacing="0" w:line="240" w:lineRule="auto"/>
                    <w:ind w:left="0" w:right="0"/>
                    <w:jc w:val="left"/>
                    <w:rPr>
                      <w:rFonts w:hint="default"/>
                      <w:kern w:val="0"/>
                      <w:szCs w:val="21"/>
                      <w:highlight w:val="none"/>
                      <w:lang w:bidi="en-US"/>
                    </w:rPr>
                  </w:pPr>
                  <w:r>
                    <w:rPr>
                      <w:rFonts w:hint="default"/>
                      <w:kern w:val="0"/>
                      <w:szCs w:val="21"/>
                      <w:highlight w:val="none"/>
                      <w:lang w:bidi="en-US"/>
                    </w:rPr>
                    <w:t>1）要求企业强化风险意识、加强安全管理，进行广泛系统的培训，使所有操作人员熟悉自己的岗位，树立严谨规范的操作作风，并且在任何紧急状况下都能随时对工艺装置进行控制，并及时、独立、正确地实施相关应急措施。</w:t>
                  </w:r>
                </w:p>
                <w:p w14:paraId="5BE5FC59">
                  <w:pPr>
                    <w:keepNext w:val="0"/>
                    <w:keepLines w:val="0"/>
                    <w:suppressLineNumbers w:val="0"/>
                    <w:kinsoku w:val="0"/>
                    <w:overflowPunct w:val="0"/>
                    <w:autoSpaceDE w:val="0"/>
                    <w:autoSpaceDN w:val="0"/>
                    <w:adjustRightInd/>
                    <w:snapToGrid/>
                    <w:spacing w:before="0" w:beforeLines="0" w:beforeAutospacing="0" w:after="0" w:afterLines="0" w:afterAutospacing="0" w:line="240" w:lineRule="auto"/>
                    <w:ind w:left="0" w:right="0"/>
                    <w:jc w:val="left"/>
                    <w:rPr>
                      <w:rFonts w:hint="default"/>
                      <w:kern w:val="0"/>
                      <w:szCs w:val="21"/>
                      <w:highlight w:val="none"/>
                      <w:lang w:bidi="en-US"/>
                    </w:rPr>
                  </w:pPr>
                  <w:r>
                    <w:rPr>
                      <w:rFonts w:hint="default"/>
                      <w:kern w:val="0"/>
                      <w:szCs w:val="21"/>
                      <w:highlight w:val="none"/>
                      <w:lang w:bidi="en-US"/>
                    </w:rPr>
                    <w:t>2）要求企业严格按照不同原辅料的性质分类贮存，防止原辅料泄漏液进入附近水体或土壤；对各类原料的包装须定期进行检查，一旦发现有老化、破损现象须及时更换包装，杜绝风险事故的发生。</w:t>
                  </w:r>
                </w:p>
                <w:p w14:paraId="6DB0EF0D">
                  <w:pPr>
                    <w:keepNext w:val="0"/>
                    <w:keepLines w:val="0"/>
                    <w:suppressLineNumbers w:val="0"/>
                    <w:kinsoku w:val="0"/>
                    <w:overflowPunct w:val="0"/>
                    <w:autoSpaceDE w:val="0"/>
                    <w:autoSpaceDN w:val="0"/>
                    <w:adjustRightInd/>
                    <w:snapToGrid/>
                    <w:spacing w:before="0" w:beforeLines="0" w:beforeAutospacing="0" w:after="0" w:afterLines="0" w:afterAutospacing="0" w:line="240" w:lineRule="auto"/>
                    <w:ind w:left="0" w:right="0"/>
                    <w:jc w:val="left"/>
                    <w:rPr>
                      <w:rFonts w:hint="default"/>
                      <w:kern w:val="0"/>
                      <w:szCs w:val="21"/>
                      <w:highlight w:val="none"/>
                      <w:lang w:bidi="en-US"/>
                    </w:rPr>
                  </w:pPr>
                  <w:r>
                    <w:rPr>
                      <w:rFonts w:hint="default"/>
                      <w:kern w:val="0"/>
                      <w:szCs w:val="21"/>
                      <w:highlight w:val="none"/>
                      <w:lang w:bidi="en-US"/>
                    </w:rPr>
                    <w:t>3）要求厂区内设置危险废物贮存场所，并按照《危险废物贮存污染控制标准》（GB18597-2023）的规定做好防雨淋、防渗漏、防流失措施，各类危险废物暂存危废间，定期交由有危废资质的单位收集处理。同时，建设单位在危险废物转移过程中须严格执行转移联单制度，并做好记录台账，防止危险废物在转移过程中发生遗失事故。</w:t>
                  </w:r>
                </w:p>
                <w:p w14:paraId="5867848C">
                  <w:pPr>
                    <w:keepNext w:val="0"/>
                    <w:keepLines w:val="0"/>
                    <w:suppressLineNumbers w:val="0"/>
                    <w:kinsoku w:val="0"/>
                    <w:overflowPunct w:val="0"/>
                    <w:autoSpaceDE w:val="0"/>
                    <w:autoSpaceDN w:val="0"/>
                    <w:adjustRightInd/>
                    <w:snapToGrid/>
                    <w:spacing w:before="0" w:beforeLines="0" w:beforeAutospacing="0" w:after="0" w:afterLines="0" w:afterAutospacing="0" w:line="240" w:lineRule="auto"/>
                    <w:ind w:left="0" w:right="0"/>
                    <w:jc w:val="left"/>
                    <w:rPr>
                      <w:rFonts w:hint="default"/>
                      <w:kern w:val="0"/>
                      <w:szCs w:val="21"/>
                      <w:highlight w:val="none"/>
                      <w:lang w:bidi="en-US"/>
                    </w:rPr>
                  </w:pPr>
                  <w:r>
                    <w:rPr>
                      <w:rFonts w:hint="default"/>
                      <w:kern w:val="0"/>
                      <w:szCs w:val="21"/>
                      <w:highlight w:val="none"/>
                      <w:lang w:bidi="en-US"/>
                    </w:rPr>
                    <w:t>4）要求企业定期对废气收集、处理设施进行维护、修理，使其处于正常运转状态，杜绝事故性排放；一旦发现废气收集、处理设施出现故障，须立即停止生产，待故障排除完毕、治理设施正常运行后方可恢复生产。</w:t>
                  </w:r>
                </w:p>
                <w:p w14:paraId="2EB6B9D5">
                  <w:pPr>
                    <w:keepNext w:val="0"/>
                    <w:keepLines w:val="0"/>
                    <w:suppressLineNumbers w:val="0"/>
                    <w:kinsoku w:val="0"/>
                    <w:overflowPunct w:val="0"/>
                    <w:autoSpaceDE w:val="0"/>
                    <w:autoSpaceDN w:val="0"/>
                    <w:adjustRightInd/>
                    <w:snapToGrid/>
                    <w:spacing w:before="0" w:beforeLines="0" w:beforeAutospacing="0" w:after="0" w:afterLines="0" w:afterAutospacing="0" w:line="240" w:lineRule="auto"/>
                    <w:ind w:left="0" w:right="0"/>
                    <w:jc w:val="left"/>
                    <w:rPr>
                      <w:rFonts w:hint="default"/>
                      <w:kern w:val="0"/>
                      <w:szCs w:val="21"/>
                      <w:highlight w:val="none"/>
                      <w:lang w:bidi="en-US"/>
                    </w:rPr>
                  </w:pPr>
                  <w:r>
                    <w:rPr>
                      <w:rFonts w:hint="default"/>
                      <w:kern w:val="0"/>
                      <w:szCs w:val="21"/>
                      <w:highlight w:val="none"/>
                      <w:lang w:bidi="en-US"/>
                    </w:rPr>
                    <w:t>5）要求企业重视安全措施建设，除了配备必要的消防应急措施外，还应加强车间的通风设施建设，保证车间内良好通风。同时，车间内应杜绝明火，车间墙壁张贴相应警告标志，平时加强对生产设备的维护、检修，确保设备正常运行。</w:t>
                  </w:r>
                </w:p>
                <w:p w14:paraId="0D57B251">
                  <w:pPr>
                    <w:keepNext w:val="0"/>
                    <w:keepLines w:val="0"/>
                    <w:suppressLineNumbers w:val="0"/>
                    <w:kinsoku w:val="0"/>
                    <w:overflowPunct w:val="0"/>
                    <w:autoSpaceDE w:val="0"/>
                    <w:autoSpaceDN w:val="0"/>
                    <w:spacing w:before="0" w:beforeLines="0" w:beforeAutospacing="0" w:after="0" w:afterLines="0" w:afterAutospacing="0" w:line="240" w:lineRule="auto"/>
                    <w:ind w:left="0" w:leftChars="0" w:right="0" w:rightChars="0"/>
                    <w:jc w:val="left"/>
                    <w:rPr>
                      <w:rFonts w:hint="default" w:cs="Times New Roman"/>
                      <w:kern w:val="0"/>
                      <w:sz w:val="21"/>
                      <w:szCs w:val="21"/>
                      <w:highlight w:val="none"/>
                      <w:lang w:val="en-US" w:eastAsia="zh-CN" w:bidi="en-US"/>
                    </w:rPr>
                  </w:pPr>
                  <w:r>
                    <w:rPr>
                      <w:rFonts w:hint="default" w:cs="Times New Roman"/>
                      <w:kern w:val="0"/>
                      <w:sz w:val="21"/>
                      <w:szCs w:val="21"/>
                      <w:highlight w:val="none"/>
                      <w:lang w:val="en-US" w:eastAsia="zh-CN" w:bidi="en-US"/>
                    </w:rPr>
                    <w:t>6）编写企业突发环境事件应急预案，建立健全安全、环境管理体系，一旦发生事故，要做到快速、高效、安全处置。根据国家相关规定的要求，项目方应制定环境风险应急预案，并且配备必要的设施。</w:t>
                  </w:r>
                </w:p>
                <w:p w14:paraId="16C754E7">
                  <w:pPr>
                    <w:keepNext w:val="0"/>
                    <w:keepLines w:val="0"/>
                    <w:suppressLineNumbers w:val="0"/>
                    <w:kinsoku w:val="0"/>
                    <w:overflowPunct w:val="0"/>
                    <w:autoSpaceDE w:val="0"/>
                    <w:autoSpaceDN w:val="0"/>
                    <w:spacing w:before="0" w:beforeLines="0" w:beforeAutospacing="0" w:after="0" w:afterLines="0" w:afterAutospacing="0"/>
                    <w:ind w:left="0" w:right="0"/>
                    <w:jc w:val="left"/>
                    <w:rPr>
                      <w:rFonts w:hint="default"/>
                      <w:highlight w:val="none"/>
                      <w:lang w:eastAsia="zh-CN"/>
                    </w:rPr>
                  </w:pPr>
                  <w:r>
                    <w:rPr>
                      <w:rFonts w:hint="default" w:ascii="Times New Roman" w:hAnsi="Times New Roman" w:eastAsia="宋体" w:cs="Times New Roman"/>
                      <w:kern w:val="0"/>
                      <w:szCs w:val="21"/>
                      <w:highlight w:val="none"/>
                      <w:lang w:val="en-US" w:eastAsia="zh-CN" w:bidi="en-US"/>
                    </w:rPr>
                    <w:t>7）</w:t>
                  </w:r>
                  <w:r>
                    <w:rPr>
                      <w:rFonts w:hint="default" w:ascii="Times New Roman" w:hAnsi="Times New Roman" w:eastAsia="宋体" w:cs="Times New Roman"/>
                      <w:kern w:val="0"/>
                      <w:szCs w:val="21"/>
                      <w:highlight w:val="none"/>
                      <w:lang w:eastAsia="zh-CN" w:bidi="en-US"/>
                    </w:rPr>
                    <w:t>应对工人进行消防、急救、事故处置等应急培训，购置消防和急救器材，并设置厂区救护班，一旦发生危险事故，在专业急救人员到达事故现场之前，救护班人员可临时进行现场救护。</w:t>
                  </w:r>
                </w:p>
              </w:tc>
            </w:tr>
          </w:tbl>
          <w:p w14:paraId="04FA857A">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firstLine="482" w:firstLineChars="200"/>
              <w:textAlignment w:val="auto"/>
              <w:rPr>
                <w:rFonts w:hint="default" w:ascii="Times New Roman" w:hAnsi="Times New Roman" w:cs="Times New Roman"/>
                <w:b/>
                <w:bCs/>
                <w:color w:val="auto"/>
                <w:sz w:val="24"/>
              </w:rPr>
            </w:pPr>
            <w:r>
              <w:rPr>
                <w:rFonts w:hint="default" w:ascii="Times New Roman" w:hAnsi="Times New Roman" w:cs="Times New Roman"/>
                <w:b/>
                <w:bCs/>
                <w:color w:val="auto"/>
                <w:sz w:val="24"/>
                <w:lang w:val="en-US" w:eastAsia="zh-CN"/>
              </w:rPr>
              <w:t>7.</w:t>
            </w:r>
            <w:r>
              <w:rPr>
                <w:rFonts w:hint="default" w:cs="Times New Roman"/>
                <w:b/>
                <w:bCs/>
                <w:color w:val="auto"/>
                <w:sz w:val="24"/>
                <w:lang w:val="en-US" w:eastAsia="zh-CN"/>
              </w:rPr>
              <w:t>3</w:t>
            </w:r>
            <w:r>
              <w:rPr>
                <w:rFonts w:hint="default" w:ascii="Times New Roman" w:hAnsi="Times New Roman" w:cs="Times New Roman"/>
                <w:b/>
                <w:bCs/>
                <w:color w:val="auto"/>
                <w:sz w:val="24"/>
              </w:rPr>
              <w:t>风险防范应急预案</w:t>
            </w:r>
          </w:p>
          <w:p w14:paraId="23DF2CB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b/>
                <w:bCs/>
                <w:color w:val="000000"/>
                <w:kern w:val="0"/>
                <w:sz w:val="21"/>
                <w:szCs w:val="21"/>
                <w:lang w:val="en-US" w:eastAsia="zh-CN" w:bidi="ar-SA"/>
              </w:rPr>
            </w:pPr>
            <w:r>
              <w:rPr>
                <w:rFonts w:hint="default" w:ascii="Times New Roman" w:hAnsi="Times New Roman" w:cs="Times New Roman"/>
                <w:color w:val="auto"/>
                <w:sz w:val="24"/>
                <w:lang w:val="en-US" w:eastAsia="zh-CN"/>
              </w:rPr>
              <w:t>项目水性油墨、</w:t>
            </w:r>
            <w:r>
              <w:rPr>
                <w:rFonts w:hint="default" w:cs="Times New Roman"/>
                <w:color w:val="auto"/>
                <w:sz w:val="24"/>
                <w:lang w:val="en-US" w:eastAsia="zh-CN"/>
              </w:rPr>
              <w:t>无水乙醇</w:t>
            </w:r>
            <w:r>
              <w:rPr>
                <w:rFonts w:hint="default" w:ascii="Times New Roman" w:hAnsi="Times New Roman" w:cs="Times New Roman"/>
                <w:color w:val="auto"/>
                <w:sz w:val="24"/>
                <w:lang w:val="en-US" w:eastAsia="zh-CN"/>
              </w:rPr>
              <w:t>、胶粘剂</w:t>
            </w:r>
            <w:r>
              <w:rPr>
                <w:rFonts w:hint="default" w:ascii="Times New Roman" w:hAnsi="Times New Roman" w:cs="Times New Roman"/>
                <w:color w:val="auto"/>
                <w:sz w:val="24"/>
                <w:szCs w:val="24"/>
                <w:lang w:val="en-US" w:eastAsia="zh-CN"/>
              </w:rPr>
              <w:t>及</w:t>
            </w:r>
            <w:r>
              <w:rPr>
                <w:rFonts w:hint="default" w:ascii="Times New Roman" w:hAnsi="Times New Roman" w:cs="Times New Roman"/>
                <w:color w:val="auto"/>
                <w:sz w:val="24"/>
                <w:lang w:val="en-US" w:eastAsia="zh-CN"/>
              </w:rPr>
              <w:t>危险废物</w:t>
            </w:r>
            <w:r>
              <w:rPr>
                <w:rFonts w:hint="default" w:ascii="Times New Roman" w:hAnsi="Times New Roman" w:cs="Times New Roman"/>
                <w:color w:val="auto"/>
                <w:sz w:val="24"/>
              </w:rPr>
              <w:t>属于有毒有害物品，如果</w:t>
            </w:r>
            <w:r>
              <w:rPr>
                <w:rFonts w:hint="default" w:ascii="Times New Roman" w:hAnsi="Times New Roman" w:cs="Times New Roman"/>
                <w:color w:val="auto"/>
                <w:sz w:val="24"/>
                <w:lang w:val="en-US" w:eastAsia="zh-CN"/>
              </w:rPr>
              <w:t>泄漏</w:t>
            </w:r>
            <w:r>
              <w:rPr>
                <w:rFonts w:hint="default" w:ascii="Times New Roman" w:hAnsi="Times New Roman" w:cs="Times New Roman"/>
                <w:color w:val="auto"/>
                <w:sz w:val="24"/>
              </w:rPr>
              <w:t>可能引起伴生/次生污染</w:t>
            </w:r>
            <w:r>
              <w:rPr>
                <w:rFonts w:hint="default" w:ascii="Times New Roman" w:hAnsi="Times New Roman" w:cs="Times New Roman"/>
                <w:color w:val="auto"/>
                <w:sz w:val="24"/>
                <w:lang w:eastAsia="zh-CN"/>
              </w:rPr>
              <w:t>，</w:t>
            </w:r>
            <w:r>
              <w:rPr>
                <w:rFonts w:hint="default" w:ascii="Times New Roman" w:hAnsi="Times New Roman" w:cs="Times New Roman"/>
                <w:color w:val="auto"/>
                <w:sz w:val="24"/>
              </w:rPr>
              <w:t>遇到明火可能引起火灾，对厂内职工造成安全威胁。因此，根据《环境风险评价技术导则》要求，企业必须制定风险事故应急预案，以便事故发生时，能及时采取针对性措施，把事故造成的破坏降至最低程度。</w:t>
            </w:r>
          </w:p>
          <w:p w14:paraId="1F43953A">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Autospacing="0" w:line="240" w:lineRule="auto"/>
              <w:ind w:left="0" w:right="0" w:firstLine="422" w:firstLineChars="200"/>
              <w:jc w:val="center"/>
              <w:textAlignment w:val="auto"/>
              <w:rPr>
                <w:rFonts w:hint="default" w:ascii="Times New Roman" w:hAnsi="Times New Roman" w:eastAsia="宋体" w:cs="Times New Roman"/>
                <w:b/>
                <w:bCs/>
                <w:color w:val="000000"/>
                <w:kern w:val="0"/>
                <w:sz w:val="21"/>
                <w:szCs w:val="21"/>
                <w:lang w:val="en-US" w:eastAsia="zh-CN" w:bidi="ar-SA"/>
              </w:rPr>
            </w:pPr>
            <w:r>
              <w:rPr>
                <w:rFonts w:hint="default" w:ascii="Times New Roman" w:hAnsi="Times New Roman" w:eastAsia="宋体" w:cs="Times New Roman"/>
                <w:b/>
                <w:bCs/>
                <w:color w:val="000000"/>
                <w:kern w:val="0"/>
                <w:sz w:val="21"/>
                <w:szCs w:val="21"/>
                <w:lang w:val="en-US" w:eastAsia="zh-CN" w:bidi="ar-SA"/>
              </w:rPr>
              <w:t>风险防范应急预案内容和要求</w:t>
            </w:r>
          </w:p>
          <w:tbl>
            <w:tblPr>
              <w:tblStyle w:val="38"/>
              <w:tblW w:w="799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
            <w:tblGrid>
              <w:gridCol w:w="642"/>
              <w:gridCol w:w="1413"/>
              <w:gridCol w:w="5944"/>
            </w:tblGrid>
            <w:tr w14:paraId="0F9B083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56" w:hRule="exact"/>
                <w:jc w:val="center"/>
              </w:trPr>
              <w:tc>
                <w:tcPr>
                  <w:tcW w:w="401" w:type="pct"/>
                  <w:noWrap w:val="0"/>
                  <w:vAlign w:val="center"/>
                </w:tcPr>
                <w:p w14:paraId="2AE4974B">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0"/>
                      <w:sz w:val="21"/>
                      <w:szCs w:val="21"/>
                    </w:rPr>
                  </w:pPr>
                  <w:r>
                    <w:rPr>
                      <w:rFonts w:hint="default" w:ascii="Times New Roman" w:hAnsi="Times New Roman" w:eastAsia="宋体" w:cs="Times New Roman"/>
                      <w:b/>
                      <w:color w:val="auto"/>
                      <w:kern w:val="0"/>
                      <w:sz w:val="21"/>
                      <w:szCs w:val="21"/>
                    </w:rPr>
                    <w:t>序号</w:t>
                  </w:r>
                </w:p>
              </w:tc>
              <w:tc>
                <w:tcPr>
                  <w:tcW w:w="883" w:type="pct"/>
                  <w:noWrap w:val="0"/>
                  <w:vAlign w:val="center"/>
                </w:tcPr>
                <w:p w14:paraId="690A56C3">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0"/>
                      <w:sz w:val="21"/>
                      <w:szCs w:val="21"/>
                    </w:rPr>
                  </w:pPr>
                  <w:r>
                    <w:rPr>
                      <w:rFonts w:hint="default" w:ascii="Times New Roman" w:hAnsi="Times New Roman" w:eastAsia="宋体" w:cs="Times New Roman"/>
                      <w:b/>
                      <w:color w:val="auto"/>
                      <w:kern w:val="0"/>
                      <w:sz w:val="21"/>
                      <w:szCs w:val="21"/>
                    </w:rPr>
                    <w:t>项目</w:t>
                  </w:r>
                </w:p>
              </w:tc>
              <w:tc>
                <w:tcPr>
                  <w:tcW w:w="3714" w:type="pct"/>
                  <w:noWrap w:val="0"/>
                  <w:vAlign w:val="center"/>
                </w:tcPr>
                <w:p w14:paraId="200B4851">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0"/>
                      <w:sz w:val="21"/>
                      <w:szCs w:val="21"/>
                    </w:rPr>
                  </w:pPr>
                  <w:r>
                    <w:rPr>
                      <w:rFonts w:hint="default" w:ascii="Times New Roman" w:hAnsi="Times New Roman" w:eastAsia="宋体" w:cs="Times New Roman"/>
                      <w:b/>
                      <w:color w:val="auto"/>
                      <w:kern w:val="0"/>
                      <w:sz w:val="21"/>
                      <w:szCs w:val="21"/>
                    </w:rPr>
                    <w:t>内容及要求</w:t>
                  </w:r>
                </w:p>
              </w:tc>
            </w:tr>
            <w:tr w14:paraId="7CD038D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99" w:hRule="exact"/>
                <w:jc w:val="center"/>
              </w:trPr>
              <w:tc>
                <w:tcPr>
                  <w:tcW w:w="401" w:type="pct"/>
                  <w:noWrap w:val="0"/>
                  <w:vAlign w:val="center"/>
                </w:tcPr>
                <w:p w14:paraId="197FD601">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w:t>
                  </w:r>
                </w:p>
              </w:tc>
              <w:tc>
                <w:tcPr>
                  <w:tcW w:w="883" w:type="pct"/>
                  <w:noWrap w:val="0"/>
                  <w:vAlign w:val="center"/>
                </w:tcPr>
                <w:p w14:paraId="3BA68582">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危险源情况</w:t>
                  </w:r>
                </w:p>
              </w:tc>
              <w:tc>
                <w:tcPr>
                  <w:tcW w:w="3714" w:type="pct"/>
                  <w:noWrap w:val="0"/>
                  <w:vAlign w:val="center"/>
                </w:tcPr>
                <w:p w14:paraId="59FCB0FE">
                  <w:pPr>
                    <w:keepNext w:val="0"/>
                    <w:keepLines w:val="0"/>
                    <w:suppressLineNumbers w:val="0"/>
                    <w:spacing w:before="0" w:beforeAutospacing="0" w:after="0" w:afterAutospacing="0" w:line="240" w:lineRule="auto"/>
                    <w:ind w:left="0" w:right="0" w:firstLine="0" w:firstLineChars="0"/>
                    <w:jc w:val="left"/>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详细说明危险源类型、数量、分布及其对环境的风险</w:t>
                  </w:r>
                </w:p>
              </w:tc>
            </w:tr>
            <w:tr w14:paraId="737B254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60" w:hRule="exact"/>
                <w:jc w:val="center"/>
              </w:trPr>
              <w:tc>
                <w:tcPr>
                  <w:tcW w:w="401" w:type="pct"/>
                  <w:noWrap w:val="0"/>
                  <w:vAlign w:val="center"/>
                </w:tcPr>
                <w:p w14:paraId="04BA0769">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2</w:t>
                  </w:r>
                </w:p>
              </w:tc>
              <w:tc>
                <w:tcPr>
                  <w:tcW w:w="883" w:type="pct"/>
                  <w:noWrap w:val="0"/>
                  <w:vAlign w:val="center"/>
                </w:tcPr>
                <w:p w14:paraId="09599D89">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应急计划区</w:t>
                  </w:r>
                </w:p>
              </w:tc>
              <w:tc>
                <w:tcPr>
                  <w:tcW w:w="3714" w:type="pct"/>
                  <w:noWrap w:val="0"/>
                  <w:vAlign w:val="center"/>
                </w:tcPr>
                <w:p w14:paraId="74F02010">
                  <w:pPr>
                    <w:keepNext w:val="0"/>
                    <w:keepLines w:val="0"/>
                    <w:suppressLineNumbers w:val="0"/>
                    <w:spacing w:before="0" w:beforeAutospacing="0" w:after="0" w:afterAutospacing="0" w:line="240" w:lineRule="auto"/>
                    <w:ind w:left="0" w:right="0" w:firstLine="0" w:firstLineChars="0"/>
                    <w:jc w:val="left"/>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rPr>
                    <w:t>危废间</w:t>
                  </w:r>
                  <w:r>
                    <w:rPr>
                      <w:rFonts w:hint="default" w:ascii="Times New Roman" w:hAnsi="Times New Roman" w:eastAsia="宋体" w:cs="Times New Roman"/>
                      <w:color w:val="auto"/>
                      <w:kern w:val="0"/>
                      <w:sz w:val="21"/>
                      <w:szCs w:val="21"/>
                      <w:lang w:eastAsia="zh-CN"/>
                    </w:rPr>
                    <w:t>、原料区、配制间、印刷间</w:t>
                  </w:r>
                </w:p>
              </w:tc>
            </w:tr>
            <w:tr w14:paraId="50F30D8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27" w:hRule="exact"/>
                <w:jc w:val="center"/>
              </w:trPr>
              <w:tc>
                <w:tcPr>
                  <w:tcW w:w="401" w:type="pct"/>
                  <w:noWrap w:val="0"/>
                  <w:vAlign w:val="center"/>
                </w:tcPr>
                <w:p w14:paraId="4B63EB19">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3</w:t>
                  </w:r>
                </w:p>
              </w:tc>
              <w:tc>
                <w:tcPr>
                  <w:tcW w:w="883" w:type="pct"/>
                  <w:noWrap w:val="0"/>
                  <w:vAlign w:val="center"/>
                </w:tcPr>
                <w:p w14:paraId="6843CAB2">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应急组织</w:t>
                  </w:r>
                </w:p>
              </w:tc>
              <w:tc>
                <w:tcPr>
                  <w:tcW w:w="3714" w:type="pct"/>
                  <w:noWrap w:val="0"/>
                  <w:vAlign w:val="center"/>
                </w:tcPr>
                <w:p w14:paraId="24B864DB">
                  <w:pPr>
                    <w:keepNext w:val="0"/>
                    <w:keepLines w:val="0"/>
                    <w:suppressLineNumbers w:val="0"/>
                    <w:spacing w:before="0" w:beforeAutospacing="0" w:after="0" w:afterAutospacing="0" w:line="240" w:lineRule="auto"/>
                    <w:ind w:left="0" w:right="0" w:firstLine="0" w:firstLineChars="0"/>
                    <w:jc w:val="left"/>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办公室</w:t>
                  </w:r>
                </w:p>
              </w:tc>
            </w:tr>
            <w:tr w14:paraId="1775CCB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691" w:hRule="atLeast"/>
                <w:jc w:val="center"/>
              </w:trPr>
              <w:tc>
                <w:tcPr>
                  <w:tcW w:w="401" w:type="pct"/>
                  <w:noWrap w:val="0"/>
                  <w:vAlign w:val="center"/>
                </w:tcPr>
                <w:p w14:paraId="34701D28">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4</w:t>
                  </w:r>
                </w:p>
              </w:tc>
              <w:tc>
                <w:tcPr>
                  <w:tcW w:w="883" w:type="pct"/>
                  <w:noWrap w:val="0"/>
                  <w:vAlign w:val="center"/>
                </w:tcPr>
                <w:p w14:paraId="47E4D4FA">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应急状态分类应急响应程序</w:t>
                  </w:r>
                </w:p>
              </w:tc>
              <w:tc>
                <w:tcPr>
                  <w:tcW w:w="3714" w:type="pct"/>
                  <w:noWrap w:val="0"/>
                  <w:vAlign w:val="center"/>
                </w:tcPr>
                <w:p w14:paraId="5CB6B9C8">
                  <w:pPr>
                    <w:keepNext w:val="0"/>
                    <w:keepLines w:val="0"/>
                    <w:suppressLineNumbers w:val="0"/>
                    <w:spacing w:before="0" w:beforeAutospacing="0" w:after="0" w:afterAutospacing="0" w:line="240" w:lineRule="auto"/>
                    <w:ind w:left="0" w:right="0" w:firstLine="0" w:firstLineChars="0"/>
                    <w:jc w:val="left"/>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规定环境风险事故的级别及相应的应急状态分类，以此制定相应的应急响应程序</w:t>
                  </w:r>
                </w:p>
              </w:tc>
            </w:tr>
            <w:tr w14:paraId="2F3245D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jc w:val="center"/>
              </w:trPr>
              <w:tc>
                <w:tcPr>
                  <w:tcW w:w="401" w:type="pct"/>
                  <w:noWrap w:val="0"/>
                  <w:vAlign w:val="center"/>
                </w:tcPr>
                <w:p w14:paraId="21881EB9">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5</w:t>
                  </w:r>
                </w:p>
              </w:tc>
              <w:tc>
                <w:tcPr>
                  <w:tcW w:w="883" w:type="pct"/>
                  <w:noWrap w:val="0"/>
                  <w:vAlign w:val="center"/>
                </w:tcPr>
                <w:p w14:paraId="1870FE27">
                  <w:pPr>
                    <w:keepNext w:val="0"/>
                    <w:keepLines w:val="0"/>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应急设施设备与材料</w:t>
                  </w:r>
                </w:p>
              </w:tc>
              <w:tc>
                <w:tcPr>
                  <w:tcW w:w="3714" w:type="pct"/>
                  <w:noWrap w:val="0"/>
                  <w:vAlign w:val="center"/>
                </w:tcPr>
                <w:p w14:paraId="7082098B">
                  <w:pPr>
                    <w:keepNext w:val="0"/>
                    <w:keepLines w:val="0"/>
                    <w:suppressLineNumbers w:val="0"/>
                    <w:autoSpaceDE w:val="0"/>
                    <w:autoSpaceDN w:val="0"/>
                    <w:spacing w:before="0" w:beforeAutospacing="0" w:after="0" w:afterAutospacing="0" w:line="240" w:lineRule="auto"/>
                    <w:ind w:left="0" w:right="0" w:firstLine="0" w:firstLineChars="0"/>
                    <w:jc w:val="left"/>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危废间</w:t>
                  </w:r>
                  <w:r>
                    <w:rPr>
                      <w:rFonts w:hint="default" w:ascii="Times New Roman" w:hAnsi="Times New Roman" w:eastAsia="宋体" w:cs="Times New Roman"/>
                      <w:color w:val="auto"/>
                      <w:kern w:val="0"/>
                      <w:sz w:val="21"/>
                      <w:szCs w:val="21"/>
                      <w:lang w:eastAsia="zh-CN"/>
                    </w:rPr>
                    <w:t>、原料区、配制间、印刷间</w:t>
                  </w:r>
                  <w:r>
                    <w:rPr>
                      <w:rFonts w:hint="default" w:ascii="Times New Roman" w:hAnsi="Times New Roman" w:eastAsia="宋体" w:cs="Times New Roman"/>
                      <w:color w:val="auto"/>
                      <w:kern w:val="0"/>
                      <w:sz w:val="21"/>
                      <w:szCs w:val="21"/>
                    </w:rPr>
                    <w:t>：防燃烧事故的应急设施、设备与材料，主要为消防器材、消防服等；临界地区：烧伤人员急救所用的一些药品、器材</w:t>
                  </w:r>
                </w:p>
              </w:tc>
            </w:tr>
            <w:tr w14:paraId="640A9FC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652" w:hRule="atLeast"/>
                <w:jc w:val="center"/>
              </w:trPr>
              <w:tc>
                <w:tcPr>
                  <w:tcW w:w="401" w:type="pct"/>
                  <w:noWrap w:val="0"/>
                  <w:vAlign w:val="center"/>
                </w:tcPr>
                <w:p w14:paraId="45352830">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6</w:t>
                  </w:r>
                </w:p>
              </w:tc>
              <w:tc>
                <w:tcPr>
                  <w:tcW w:w="883" w:type="pct"/>
                  <w:noWrap w:val="0"/>
                  <w:vAlign w:val="center"/>
                </w:tcPr>
                <w:p w14:paraId="6BB6ACAB">
                  <w:pPr>
                    <w:keepNext w:val="0"/>
                    <w:keepLines w:val="0"/>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应急通讯通告与交通</w:t>
                  </w:r>
                </w:p>
              </w:tc>
              <w:tc>
                <w:tcPr>
                  <w:tcW w:w="3714" w:type="pct"/>
                  <w:noWrap w:val="0"/>
                  <w:vAlign w:val="center"/>
                </w:tcPr>
                <w:p w14:paraId="73A84B4F">
                  <w:pPr>
                    <w:keepNext w:val="0"/>
                    <w:keepLines w:val="0"/>
                    <w:suppressLineNumbers w:val="0"/>
                    <w:spacing w:before="0" w:beforeAutospacing="0" w:after="0" w:afterAutospacing="0" w:line="240" w:lineRule="auto"/>
                    <w:ind w:left="0" w:right="0" w:firstLine="0" w:firstLineChars="0"/>
                    <w:jc w:val="left"/>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规定应急状态下的通讯、通告方式和交通保障、管制等事项</w:t>
                  </w:r>
                </w:p>
              </w:tc>
            </w:tr>
            <w:tr w14:paraId="4D267D3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048" w:hRule="atLeast"/>
                <w:jc w:val="center"/>
              </w:trPr>
              <w:tc>
                <w:tcPr>
                  <w:tcW w:w="401" w:type="pct"/>
                  <w:noWrap w:val="0"/>
                  <w:vAlign w:val="center"/>
                </w:tcPr>
                <w:p w14:paraId="3592CE71">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7</w:t>
                  </w:r>
                </w:p>
              </w:tc>
              <w:tc>
                <w:tcPr>
                  <w:tcW w:w="883" w:type="pct"/>
                  <w:noWrap w:val="0"/>
                  <w:vAlign w:val="center"/>
                </w:tcPr>
                <w:p w14:paraId="349E7458">
                  <w:pPr>
                    <w:keepNext w:val="0"/>
                    <w:keepLines w:val="0"/>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应急环境监测及事故后评估</w:t>
                  </w:r>
                </w:p>
              </w:tc>
              <w:tc>
                <w:tcPr>
                  <w:tcW w:w="3714" w:type="pct"/>
                  <w:noWrap w:val="0"/>
                  <w:vAlign w:val="center"/>
                </w:tcPr>
                <w:p w14:paraId="5233B531">
                  <w:pPr>
                    <w:keepNext w:val="0"/>
                    <w:keepLines w:val="0"/>
                    <w:suppressLineNumbers w:val="0"/>
                    <w:autoSpaceDE w:val="0"/>
                    <w:autoSpaceDN w:val="0"/>
                    <w:spacing w:before="0" w:beforeAutospacing="0" w:after="0" w:afterAutospacing="0" w:line="240" w:lineRule="auto"/>
                    <w:ind w:left="0" w:right="0" w:firstLine="0" w:firstLineChars="0"/>
                    <w:jc w:val="left"/>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由专业人员对环境风险事故现场进行应急监测，对事故性质、严重程度等所造成的环境危害后果进行评估，吸取经验教训避免再次发生事故，为指挥部门提供决策依据</w:t>
                  </w:r>
                </w:p>
              </w:tc>
            </w:tr>
            <w:tr w14:paraId="364DF59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35" w:hRule="atLeast"/>
                <w:jc w:val="center"/>
              </w:trPr>
              <w:tc>
                <w:tcPr>
                  <w:tcW w:w="401" w:type="pct"/>
                  <w:noWrap w:val="0"/>
                  <w:vAlign w:val="center"/>
                </w:tcPr>
                <w:p w14:paraId="3AF8E8CF">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8</w:t>
                  </w:r>
                </w:p>
              </w:tc>
              <w:tc>
                <w:tcPr>
                  <w:tcW w:w="883" w:type="pct"/>
                  <w:noWrap w:val="0"/>
                  <w:vAlign w:val="center"/>
                </w:tcPr>
                <w:p w14:paraId="7C249E01">
                  <w:pPr>
                    <w:keepNext w:val="0"/>
                    <w:keepLines w:val="0"/>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应急状态中止恢复措施</w:t>
                  </w:r>
                </w:p>
              </w:tc>
              <w:tc>
                <w:tcPr>
                  <w:tcW w:w="3714" w:type="pct"/>
                  <w:noWrap w:val="0"/>
                  <w:vAlign w:val="center"/>
                </w:tcPr>
                <w:p w14:paraId="31882EB0">
                  <w:pPr>
                    <w:keepNext w:val="0"/>
                    <w:keepLines w:val="0"/>
                    <w:suppressLineNumbers w:val="0"/>
                    <w:autoSpaceDE w:val="0"/>
                    <w:autoSpaceDN w:val="0"/>
                    <w:spacing w:before="0" w:beforeAutospacing="0" w:after="0" w:afterAutospacing="0" w:line="240" w:lineRule="auto"/>
                    <w:ind w:left="0" w:right="0" w:firstLine="0" w:firstLineChars="0"/>
                    <w:jc w:val="left"/>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事故现场：规定应急状态终止秩序，事故现场善后处理、恢复生产措施；临近地区：解除事故警戒、公众返回和善后恢复措施</w:t>
                  </w:r>
                </w:p>
              </w:tc>
            </w:tr>
            <w:tr w14:paraId="27778A9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994" w:hRule="atLeast"/>
                <w:jc w:val="center"/>
              </w:trPr>
              <w:tc>
                <w:tcPr>
                  <w:tcW w:w="401" w:type="pct"/>
                  <w:noWrap w:val="0"/>
                  <w:vAlign w:val="center"/>
                </w:tcPr>
                <w:p w14:paraId="09E3CB94">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9</w:t>
                  </w:r>
                </w:p>
              </w:tc>
              <w:tc>
                <w:tcPr>
                  <w:tcW w:w="883" w:type="pct"/>
                  <w:noWrap w:val="0"/>
                  <w:vAlign w:val="center"/>
                </w:tcPr>
                <w:p w14:paraId="1193D1A0">
                  <w:pPr>
                    <w:keepNext w:val="0"/>
                    <w:keepLines w:val="0"/>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人员培训与演习</w:t>
                  </w:r>
                </w:p>
              </w:tc>
              <w:tc>
                <w:tcPr>
                  <w:tcW w:w="3714" w:type="pct"/>
                  <w:noWrap w:val="0"/>
                  <w:vAlign w:val="center"/>
                </w:tcPr>
                <w:p w14:paraId="7B60DFE5">
                  <w:pPr>
                    <w:keepNext w:val="0"/>
                    <w:keepLines w:val="0"/>
                    <w:suppressLineNumbers w:val="0"/>
                    <w:autoSpaceDE w:val="0"/>
                    <w:autoSpaceDN w:val="0"/>
                    <w:spacing w:before="0" w:beforeAutospacing="0" w:after="0" w:afterAutospacing="0" w:line="240" w:lineRule="auto"/>
                    <w:ind w:left="0" w:right="0" w:firstLine="0" w:firstLineChars="0"/>
                    <w:jc w:val="left"/>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应急计划制定后，平时安排事故处理人员进行相关知识培训进行事故应急处理演习；对</w:t>
                  </w:r>
                  <w:r>
                    <w:rPr>
                      <w:rFonts w:hint="default" w:ascii="Times New Roman" w:hAnsi="Times New Roman" w:eastAsia="宋体" w:cs="Times New Roman"/>
                      <w:color w:val="auto"/>
                      <w:kern w:val="0"/>
                      <w:sz w:val="21"/>
                      <w:szCs w:val="21"/>
                      <w:lang w:val="en-US" w:eastAsia="zh-CN"/>
                    </w:rPr>
                    <w:t>原料区、</w:t>
                  </w:r>
                  <w:r>
                    <w:rPr>
                      <w:rFonts w:hint="default" w:ascii="Times New Roman" w:hAnsi="Times New Roman" w:eastAsia="宋体" w:cs="Times New Roman"/>
                      <w:color w:val="auto"/>
                      <w:kern w:val="0"/>
                      <w:sz w:val="21"/>
                      <w:szCs w:val="21"/>
                    </w:rPr>
                    <w:t>危废间的管理人员进行安全生产教育</w:t>
                  </w:r>
                </w:p>
              </w:tc>
            </w:tr>
            <w:tr w14:paraId="6172212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821" w:hRule="atLeast"/>
                <w:jc w:val="center"/>
              </w:trPr>
              <w:tc>
                <w:tcPr>
                  <w:tcW w:w="401" w:type="pct"/>
                  <w:noWrap w:val="0"/>
                  <w:vAlign w:val="center"/>
                </w:tcPr>
                <w:p w14:paraId="0EDB2620">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10</w:t>
                  </w:r>
                </w:p>
              </w:tc>
              <w:tc>
                <w:tcPr>
                  <w:tcW w:w="883" w:type="pct"/>
                  <w:noWrap w:val="0"/>
                  <w:vAlign w:val="center"/>
                </w:tcPr>
                <w:p w14:paraId="6950ABD4">
                  <w:pPr>
                    <w:keepNext w:val="0"/>
                    <w:keepLines w:val="0"/>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公众教育信息发布</w:t>
                  </w:r>
                </w:p>
              </w:tc>
              <w:tc>
                <w:tcPr>
                  <w:tcW w:w="3714" w:type="pct"/>
                  <w:noWrap w:val="0"/>
                  <w:vAlign w:val="center"/>
                </w:tcPr>
                <w:p w14:paraId="31AB12E1">
                  <w:pPr>
                    <w:keepNext w:val="0"/>
                    <w:keepLines w:val="0"/>
                    <w:suppressLineNumbers w:val="0"/>
                    <w:autoSpaceDE w:val="0"/>
                    <w:autoSpaceDN w:val="0"/>
                    <w:spacing w:before="0" w:beforeAutospacing="0" w:after="0" w:afterAutospacing="0" w:line="240" w:lineRule="auto"/>
                    <w:ind w:left="0" w:right="0" w:firstLine="0" w:firstLineChars="0"/>
                    <w:jc w:val="left"/>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对临近地区公众开展环境风险事故预防教育、应急知识培训并定期发布相关信息</w:t>
                  </w:r>
                </w:p>
              </w:tc>
            </w:tr>
            <w:tr w14:paraId="394AB0D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21" w:hRule="exact"/>
                <w:jc w:val="center"/>
              </w:trPr>
              <w:tc>
                <w:tcPr>
                  <w:tcW w:w="401" w:type="pct"/>
                  <w:noWrap w:val="0"/>
                  <w:vAlign w:val="center"/>
                </w:tcPr>
                <w:p w14:paraId="3F67343A">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11</w:t>
                  </w:r>
                </w:p>
              </w:tc>
              <w:tc>
                <w:tcPr>
                  <w:tcW w:w="883" w:type="pct"/>
                  <w:noWrap w:val="0"/>
                  <w:vAlign w:val="center"/>
                </w:tcPr>
                <w:p w14:paraId="634457D6">
                  <w:pPr>
                    <w:keepNext w:val="0"/>
                    <w:keepLines w:val="0"/>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记录和报告</w:t>
                  </w:r>
                </w:p>
              </w:tc>
              <w:tc>
                <w:tcPr>
                  <w:tcW w:w="3714" w:type="pct"/>
                  <w:noWrap w:val="0"/>
                  <w:vAlign w:val="center"/>
                </w:tcPr>
                <w:p w14:paraId="6CA89442">
                  <w:pPr>
                    <w:keepNext w:val="0"/>
                    <w:keepLines w:val="0"/>
                    <w:suppressLineNumbers w:val="0"/>
                    <w:autoSpaceDE w:val="0"/>
                    <w:autoSpaceDN w:val="0"/>
                    <w:spacing w:before="0" w:beforeAutospacing="0" w:after="0" w:afterAutospacing="0" w:line="240" w:lineRule="auto"/>
                    <w:ind w:left="0" w:right="0" w:firstLine="0" w:firstLineChars="0"/>
                    <w:jc w:val="left"/>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设应急事故专门记录，建立档案和报告制度，设专门部门、专门人员负责管理</w:t>
                  </w:r>
                </w:p>
              </w:tc>
            </w:tr>
          </w:tbl>
          <w:p w14:paraId="2DEED0A6">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firstLine="480" w:firstLineChars="200"/>
              <w:textAlignment w:val="auto"/>
              <w:rPr>
                <w:rFonts w:hint="default" w:ascii="Times New Roman" w:hAnsi="Times New Roman" w:cs="Times New Roman"/>
                <w:color w:val="auto"/>
                <w:sz w:val="24"/>
                <w:lang w:eastAsia="zh-CN"/>
              </w:rPr>
            </w:pPr>
            <w:r>
              <w:rPr>
                <w:rFonts w:hint="default"/>
                <w:snapToGrid w:val="0"/>
                <w:kern w:val="0"/>
                <w:sz w:val="24"/>
                <w:lang w:bidi="en-US"/>
              </w:rPr>
              <w:t>项目实施后，企业应根据管理要求开展突发环境事件应急预案相关工作。根据项目环境风险特点及周边环境敏感特征，项目运行期间在认真落实报告表提出的各项风险防范措施的基础上，并切实加强环境风险管理的前提下，项目环境风险可控。</w:t>
            </w:r>
          </w:p>
          <w:p w14:paraId="418C21ED">
            <w:pPr>
              <w:keepNext w:val="0"/>
              <w:keepLines w:val="0"/>
              <w:suppressLineNumbers w:val="0"/>
              <w:spacing w:before="0" w:beforeAutospacing="0" w:after="0" w:afterAutospacing="0" w:line="360" w:lineRule="auto"/>
              <w:ind w:left="0" w:right="0"/>
              <w:rPr>
                <w:rFonts w:hint="default" w:ascii="Times New Roman" w:hAnsi="Times New Roman" w:cs="Times New Roman"/>
                <w:b/>
                <w:sz w:val="24"/>
              </w:rPr>
            </w:pPr>
            <w:r>
              <w:rPr>
                <w:rFonts w:hint="default" w:ascii="Times New Roman" w:hAnsi="Times New Roman" w:cs="Times New Roman"/>
                <w:b/>
                <w:sz w:val="24"/>
              </w:rPr>
              <w:t>8、电磁辐射</w:t>
            </w:r>
          </w:p>
          <w:p w14:paraId="125B139F">
            <w:pPr>
              <w:keepNext w:val="0"/>
              <w:keepLines w:val="0"/>
              <w:suppressLineNumbers w:val="0"/>
              <w:adjustRightInd w:val="0"/>
              <w:snapToGrid w:val="0"/>
              <w:spacing w:before="0" w:beforeAutospacing="0" w:after="0" w:afterAutospacing="0" w:line="360" w:lineRule="auto"/>
              <w:ind w:left="0" w:right="0" w:firstLine="440" w:firstLineChars="200"/>
              <w:rPr>
                <w:rFonts w:hint="default" w:ascii="Times New Roman" w:hAnsi="Times New Roman" w:eastAsia="宋体" w:cs="Times New Roman"/>
                <w:bCs/>
                <w:spacing w:val="-10"/>
                <w:sz w:val="24"/>
                <w:lang w:eastAsia="zh-CN"/>
              </w:rPr>
            </w:pPr>
            <w:r>
              <w:rPr>
                <w:rFonts w:hint="default" w:ascii="Times New Roman" w:hAnsi="Times New Roman" w:cs="Times New Roman"/>
                <w:bCs/>
                <w:spacing w:val="-10"/>
                <w:sz w:val="24"/>
                <w:lang w:eastAsia="zh-CN"/>
              </w:rPr>
              <w:t>本项目不涉及电磁辐射影响。</w:t>
            </w:r>
          </w:p>
          <w:p w14:paraId="67CB5213">
            <w:pPr>
              <w:keepNext w:val="0"/>
              <w:keepLines w:val="0"/>
              <w:widowControl/>
              <w:suppressLineNumbers w:val="0"/>
              <w:snapToGrid/>
              <w:spacing w:before="0" w:beforeLines="0" w:beforeAutospacing="0" w:after="0" w:afterAutospacing="0" w:line="360" w:lineRule="auto"/>
              <w:ind w:left="0" w:right="0"/>
              <w:textAlignment w:val="auto"/>
              <w:rPr>
                <w:rFonts w:hint="default" w:ascii="Times New Roman" w:hAnsi="Times New Roman" w:eastAsia="宋体" w:cs="Times New Roman"/>
                <w:b/>
                <w:bCs/>
                <w:color w:val="auto"/>
                <w:kern w:val="0"/>
                <w:sz w:val="24"/>
              </w:rPr>
            </w:pPr>
            <w:r>
              <w:rPr>
                <w:rFonts w:hint="default" w:ascii="Times New Roman" w:hAnsi="Times New Roman" w:eastAsia="宋体" w:cs="Times New Roman"/>
                <w:b/>
                <w:bCs/>
                <w:color w:val="auto"/>
                <w:kern w:val="0"/>
                <w:sz w:val="24"/>
                <w:lang w:val="en-US" w:eastAsia="zh-CN"/>
              </w:rPr>
              <w:t>9.</w:t>
            </w:r>
            <w:r>
              <w:rPr>
                <w:rFonts w:hint="default" w:ascii="Times New Roman" w:hAnsi="Times New Roman" w:eastAsia="宋体" w:cs="Times New Roman"/>
                <w:b/>
                <w:bCs/>
                <w:color w:val="auto"/>
                <w:kern w:val="0"/>
                <w:sz w:val="24"/>
              </w:rPr>
              <w:t>排污口规范化设置</w:t>
            </w:r>
          </w:p>
          <w:p w14:paraId="606E8BE7">
            <w:pPr>
              <w:keepNext w:val="0"/>
              <w:keepLines w:val="0"/>
              <w:suppressLineNumbers w:val="0"/>
              <w:spacing w:before="0" w:beforeAutospacing="0" w:after="0" w:afterAutospacing="0" w:line="360" w:lineRule="auto"/>
              <w:ind w:left="0" w:right="0" w:firstLine="480" w:firstLineChars="200"/>
              <w:outlineLvl w:val="0"/>
              <w:rPr>
                <w:rFonts w:hint="default" w:ascii="Times New Roman" w:hAnsi="Times New Roman" w:cs="Times New Roman"/>
                <w:sz w:val="24"/>
              </w:rPr>
            </w:pPr>
            <w:r>
              <w:rPr>
                <w:rFonts w:hint="default" w:ascii="Times New Roman" w:hAnsi="Times New Roman" w:cs="Times New Roman"/>
                <w:sz w:val="24"/>
              </w:rPr>
              <w:t>（1）监测点位标志牌设置要求：</w:t>
            </w:r>
          </w:p>
          <w:p w14:paraId="1B93150F">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kern w:val="21"/>
                <w:sz w:val="24"/>
                <w:szCs w:val="32"/>
              </w:rPr>
            </w:pPr>
            <w:r>
              <w:rPr>
                <w:rFonts w:hint="default" w:ascii="Times New Roman" w:hAnsi="Times New Roman" w:cs="Times New Roman"/>
                <w:color w:val="000000"/>
                <w:kern w:val="21"/>
                <w:sz w:val="24"/>
                <w:szCs w:val="32"/>
              </w:rPr>
              <w:t>根据《关于开展排放口规范化整治工作的通知》（环发〔1999〕24号），为进一步强化对污染源的现场监督管理及更好的落实污染物总量控制的要求，规定一切新建、扩建、改造和限期治理的排污单位必须在建设污染源治理实施的同时建设规范化排污口，并作为落实环境保护</w:t>
            </w:r>
            <w:r>
              <w:rPr>
                <w:rFonts w:hint="default" w:ascii="Times New Roman" w:hAnsi="Times New Roman" w:cs="Times New Roman"/>
                <w:color w:val="000000"/>
                <w:kern w:val="21"/>
                <w:sz w:val="24"/>
                <w:szCs w:val="32"/>
                <w:lang w:eastAsia="zh-CN"/>
              </w:rPr>
              <w:t>“</w:t>
            </w:r>
            <w:r>
              <w:rPr>
                <w:rFonts w:hint="default" w:ascii="Times New Roman" w:hAnsi="Times New Roman" w:cs="Times New Roman"/>
                <w:color w:val="000000"/>
                <w:kern w:val="21"/>
                <w:sz w:val="24"/>
                <w:szCs w:val="32"/>
              </w:rPr>
              <w:t>三同时</w:t>
            </w:r>
            <w:r>
              <w:rPr>
                <w:rFonts w:hint="default" w:ascii="Times New Roman" w:hAnsi="Times New Roman" w:cs="Times New Roman"/>
                <w:color w:val="000000"/>
                <w:kern w:val="21"/>
                <w:sz w:val="24"/>
                <w:szCs w:val="32"/>
                <w:lang w:eastAsia="zh-CN"/>
              </w:rPr>
              <w:t>”</w:t>
            </w:r>
            <w:r>
              <w:rPr>
                <w:rFonts w:hint="default" w:ascii="Times New Roman" w:hAnsi="Times New Roman" w:cs="Times New Roman"/>
                <w:color w:val="000000"/>
                <w:kern w:val="21"/>
                <w:sz w:val="24"/>
                <w:szCs w:val="32"/>
              </w:rPr>
              <w:t>制度的必要组成部分和项目验收内容之一。排污口规范化的技术要求如下：</w:t>
            </w:r>
          </w:p>
          <w:p w14:paraId="62BD302C">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kern w:val="21"/>
                <w:sz w:val="24"/>
                <w:szCs w:val="32"/>
              </w:rPr>
            </w:pPr>
            <w:r>
              <w:rPr>
                <w:rFonts w:hint="default" w:ascii="Times New Roman" w:hAnsi="Times New Roman" w:cs="Times New Roman"/>
                <w:color w:val="000000"/>
                <w:kern w:val="21"/>
                <w:sz w:val="24"/>
                <w:szCs w:val="32"/>
              </w:rPr>
              <w:t>（1）如实向生态管理部门申报所排放的主要污染物种类、数量、浓度、排放去向等情况。</w:t>
            </w:r>
          </w:p>
          <w:p w14:paraId="1705500B">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kern w:val="21"/>
                <w:sz w:val="24"/>
                <w:szCs w:val="32"/>
              </w:rPr>
            </w:pPr>
            <w:r>
              <w:rPr>
                <w:rFonts w:hint="default" w:ascii="Times New Roman" w:hAnsi="Times New Roman" w:cs="Times New Roman"/>
                <w:color w:val="000000"/>
                <w:kern w:val="21"/>
                <w:sz w:val="24"/>
                <w:szCs w:val="32"/>
              </w:rPr>
              <w:t>（2）按照《环境保护图形标志 排放口（源）》（GB15562.1-1995）的规定，排放口应设置相应的生态图形标志牌。</w:t>
            </w:r>
          </w:p>
          <w:p w14:paraId="40F0CFEC">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kern w:val="21"/>
                <w:sz w:val="24"/>
                <w:szCs w:val="32"/>
              </w:rPr>
            </w:pPr>
            <w:r>
              <w:rPr>
                <w:rFonts w:hint="default" w:ascii="Times New Roman" w:hAnsi="Times New Roman" w:cs="Times New Roman"/>
                <w:color w:val="000000"/>
                <w:kern w:val="21"/>
                <w:sz w:val="24"/>
                <w:szCs w:val="32"/>
              </w:rPr>
              <w:t>（3）填写由原国家环保总局统一印制的《中华人民共和国规范化排污口标志登记证》，并根据登记证的内容建立排污口管理档案。</w:t>
            </w:r>
          </w:p>
          <w:p w14:paraId="4C3F4B92">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Autospacing="0" w:line="360" w:lineRule="auto"/>
              <w:ind w:left="0" w:right="0" w:firstLine="480" w:firstLineChars="200"/>
              <w:jc w:val="both"/>
              <w:textAlignment w:val="auto"/>
              <w:rPr>
                <w:rFonts w:hint="default" w:ascii="Times New Roman" w:hAnsi="Times New Roman" w:eastAsia="宋体" w:cs="Times New Roman"/>
                <w:b/>
                <w:bCs/>
                <w:color w:val="000000"/>
                <w:kern w:val="0"/>
                <w:sz w:val="21"/>
                <w:szCs w:val="21"/>
                <w:lang w:val="en-US" w:eastAsia="zh-CN" w:bidi="ar-SA"/>
              </w:rPr>
            </w:pPr>
            <w:r>
              <w:rPr>
                <w:rFonts w:hint="default" w:ascii="Times New Roman" w:hAnsi="Times New Roman" w:cs="Times New Roman"/>
                <w:color w:val="000000"/>
                <w:kern w:val="21"/>
                <w:sz w:val="24"/>
                <w:szCs w:val="32"/>
              </w:rPr>
              <w:t>（4）规范化排污口有关设施属环境保护设施，企业要将其纳入本公司设备管理，并选派责任心强、有专业知识和技能的专业或兼职人员对排污口进行管理。</w:t>
            </w:r>
          </w:p>
          <w:p w14:paraId="5EA9E8AF">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Autospacing="0" w:line="240" w:lineRule="auto"/>
              <w:ind w:left="0" w:right="0" w:firstLine="422" w:firstLineChars="200"/>
              <w:jc w:val="center"/>
              <w:textAlignment w:val="auto"/>
              <w:rPr>
                <w:rFonts w:hint="default" w:ascii="Times New Roman" w:hAnsi="Times New Roman" w:eastAsia="宋体" w:cs="Times New Roman"/>
                <w:b/>
                <w:bCs/>
                <w:color w:val="000000"/>
                <w:kern w:val="0"/>
                <w:sz w:val="21"/>
                <w:szCs w:val="21"/>
                <w:lang w:val="en-US" w:eastAsia="zh-CN" w:bidi="ar-SA"/>
              </w:rPr>
            </w:pPr>
            <w:r>
              <w:rPr>
                <w:rFonts w:hint="default" w:ascii="Times New Roman" w:hAnsi="Times New Roman" w:eastAsia="宋体" w:cs="Times New Roman"/>
                <w:b/>
                <w:bCs/>
                <w:color w:val="000000"/>
                <w:kern w:val="0"/>
                <w:sz w:val="21"/>
                <w:szCs w:val="21"/>
                <w:lang w:val="en-US" w:eastAsia="zh-CN" w:bidi="ar-SA"/>
              </w:rPr>
              <w:t>排放口标志牌示例</w:t>
            </w:r>
          </w:p>
          <w:tbl>
            <w:tblPr>
              <w:tblStyle w:val="38"/>
              <w:tblW w:w="4882"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57" w:type="dxa"/>
                <w:left w:w="108" w:type="dxa"/>
                <w:bottom w:w="0" w:type="dxa"/>
                <w:right w:w="108" w:type="dxa"/>
              </w:tblCellMar>
            </w:tblPr>
            <w:tblGrid>
              <w:gridCol w:w="1283"/>
              <w:gridCol w:w="930"/>
              <w:gridCol w:w="1939"/>
              <w:gridCol w:w="3878"/>
            </w:tblGrid>
            <w:tr w14:paraId="4336B73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57" w:type="dxa"/>
                  <w:left w:w="108" w:type="dxa"/>
                  <w:bottom w:w="0" w:type="dxa"/>
                  <w:right w:w="108" w:type="dxa"/>
                </w:tblCellMar>
              </w:tblPrEx>
              <w:trPr>
                <w:trHeight w:val="603" w:hRule="atLeast"/>
                <w:jc w:val="center"/>
              </w:trPr>
              <w:tc>
                <w:tcPr>
                  <w:tcW w:w="1238" w:type="dxa"/>
                  <w:noWrap/>
                  <w:vAlign w:val="center"/>
                </w:tcPr>
                <w:p w14:paraId="0EBCB318">
                  <w:pPr>
                    <w:keepNext w:val="0"/>
                    <w:keepLines w:val="0"/>
                    <w:suppressLineNumbers w:val="0"/>
                    <w:spacing w:before="0" w:beforeAutospacing="0" w:after="0" w:afterAutospacing="0"/>
                    <w:ind w:left="0" w:right="0"/>
                    <w:jc w:val="center"/>
                    <w:rPr>
                      <w:rFonts w:hint="default" w:ascii="Times New Roman" w:hAnsi="Times New Roman" w:cs="Times New Roman"/>
                      <w:b/>
                      <w:bCs/>
                      <w:snapToGrid w:val="0"/>
                      <w:color w:val="000000"/>
                      <w:kern w:val="21"/>
                      <w:szCs w:val="21"/>
                    </w:rPr>
                  </w:pPr>
                  <w:r>
                    <w:rPr>
                      <w:rFonts w:hint="default" w:ascii="Times New Roman" w:hAnsi="Times New Roman" w:cs="Times New Roman"/>
                      <w:b/>
                      <w:bCs/>
                      <w:snapToGrid w:val="0"/>
                      <w:color w:val="000000"/>
                      <w:kern w:val="21"/>
                      <w:szCs w:val="21"/>
                    </w:rPr>
                    <w:t>排放口名称</w:t>
                  </w:r>
                </w:p>
              </w:tc>
              <w:tc>
                <w:tcPr>
                  <w:tcW w:w="898" w:type="dxa"/>
                  <w:noWrap/>
                  <w:vAlign w:val="center"/>
                </w:tcPr>
                <w:p w14:paraId="754538C5">
                  <w:pPr>
                    <w:keepNext w:val="0"/>
                    <w:keepLines w:val="0"/>
                    <w:suppressLineNumbers w:val="0"/>
                    <w:spacing w:before="0" w:beforeAutospacing="0" w:after="0" w:afterAutospacing="0"/>
                    <w:ind w:left="0" w:right="0"/>
                    <w:jc w:val="center"/>
                    <w:rPr>
                      <w:rFonts w:hint="default" w:ascii="Times New Roman" w:hAnsi="Times New Roman" w:cs="Times New Roman"/>
                      <w:b/>
                      <w:bCs/>
                      <w:snapToGrid w:val="0"/>
                      <w:color w:val="000000"/>
                      <w:kern w:val="21"/>
                      <w:szCs w:val="21"/>
                    </w:rPr>
                  </w:pPr>
                  <w:r>
                    <w:rPr>
                      <w:rFonts w:hint="default" w:ascii="Times New Roman" w:hAnsi="Times New Roman" w:cs="Times New Roman"/>
                      <w:b/>
                      <w:bCs/>
                      <w:snapToGrid w:val="0"/>
                      <w:color w:val="000000"/>
                      <w:kern w:val="21"/>
                      <w:szCs w:val="21"/>
                    </w:rPr>
                    <w:t>编号示例</w:t>
                  </w:r>
                </w:p>
              </w:tc>
              <w:tc>
                <w:tcPr>
                  <w:tcW w:w="1871" w:type="dxa"/>
                  <w:noWrap/>
                  <w:vAlign w:val="center"/>
                </w:tcPr>
                <w:p w14:paraId="435FC2F2">
                  <w:pPr>
                    <w:keepNext w:val="0"/>
                    <w:keepLines w:val="0"/>
                    <w:suppressLineNumbers w:val="0"/>
                    <w:spacing w:before="0" w:beforeAutospacing="0" w:after="0" w:afterAutospacing="0"/>
                    <w:ind w:left="0" w:right="0"/>
                    <w:jc w:val="center"/>
                    <w:rPr>
                      <w:rFonts w:hint="default" w:ascii="Times New Roman" w:hAnsi="Times New Roman" w:cs="Times New Roman"/>
                      <w:b/>
                      <w:bCs/>
                      <w:snapToGrid w:val="0"/>
                      <w:color w:val="000000"/>
                      <w:kern w:val="21"/>
                      <w:szCs w:val="21"/>
                    </w:rPr>
                  </w:pPr>
                  <w:r>
                    <w:rPr>
                      <w:rFonts w:hint="default" w:ascii="Times New Roman" w:hAnsi="Times New Roman" w:cs="Times New Roman"/>
                      <w:b/>
                      <w:bCs/>
                      <w:snapToGrid w:val="0"/>
                      <w:color w:val="000000"/>
                      <w:kern w:val="21"/>
                      <w:szCs w:val="21"/>
                    </w:rPr>
                    <w:t>图形标志</w:t>
                  </w:r>
                </w:p>
              </w:tc>
              <w:tc>
                <w:tcPr>
                  <w:tcW w:w="3743" w:type="dxa"/>
                  <w:noWrap/>
                  <w:vAlign w:val="center"/>
                </w:tcPr>
                <w:p w14:paraId="25929462">
                  <w:pPr>
                    <w:keepNext w:val="0"/>
                    <w:keepLines w:val="0"/>
                    <w:suppressLineNumbers w:val="0"/>
                    <w:spacing w:before="0" w:beforeAutospacing="0" w:after="0" w:afterAutospacing="0"/>
                    <w:ind w:left="0" w:right="0"/>
                    <w:jc w:val="center"/>
                    <w:rPr>
                      <w:rFonts w:hint="default" w:ascii="Times New Roman" w:hAnsi="Times New Roman" w:cs="Times New Roman"/>
                      <w:b/>
                      <w:bCs/>
                      <w:snapToGrid w:val="0"/>
                      <w:color w:val="000000"/>
                      <w:kern w:val="21"/>
                      <w:szCs w:val="21"/>
                    </w:rPr>
                  </w:pPr>
                  <w:r>
                    <w:rPr>
                      <w:rFonts w:hint="default" w:ascii="Times New Roman" w:hAnsi="Times New Roman" w:cs="Times New Roman"/>
                      <w:b/>
                      <w:bCs/>
                      <w:snapToGrid w:val="0"/>
                      <w:color w:val="000000"/>
                      <w:kern w:val="21"/>
                      <w:szCs w:val="21"/>
                    </w:rPr>
                    <w:t>要求</w:t>
                  </w:r>
                </w:p>
              </w:tc>
            </w:tr>
            <w:tr w14:paraId="186A20E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57" w:type="dxa"/>
                  <w:left w:w="108" w:type="dxa"/>
                  <w:bottom w:w="0" w:type="dxa"/>
                  <w:right w:w="108" w:type="dxa"/>
                </w:tblCellMar>
              </w:tblPrEx>
              <w:trPr>
                <w:trHeight w:val="1095" w:hRule="atLeast"/>
                <w:jc w:val="center"/>
              </w:trPr>
              <w:tc>
                <w:tcPr>
                  <w:tcW w:w="1238" w:type="dxa"/>
                  <w:noWrap/>
                  <w:vAlign w:val="center"/>
                </w:tcPr>
                <w:p w14:paraId="10C884E4">
                  <w:pPr>
                    <w:keepNext w:val="0"/>
                    <w:keepLines w:val="0"/>
                    <w:suppressLineNumbers w:val="0"/>
                    <w:spacing w:before="0" w:beforeAutospacing="0" w:after="0" w:afterAutospacing="0"/>
                    <w:ind w:left="0" w:right="0"/>
                    <w:jc w:val="center"/>
                    <w:rPr>
                      <w:rFonts w:hint="default" w:ascii="Times New Roman" w:hAnsi="Times New Roman" w:cs="Times New Roman"/>
                      <w:snapToGrid w:val="0"/>
                      <w:color w:val="auto"/>
                      <w:kern w:val="21"/>
                      <w:szCs w:val="21"/>
                    </w:rPr>
                  </w:pPr>
                  <w:r>
                    <w:rPr>
                      <w:rFonts w:hint="default" w:ascii="Times New Roman" w:hAnsi="Times New Roman" w:cs="Times New Roman"/>
                      <w:snapToGrid w:val="0"/>
                      <w:color w:val="auto"/>
                      <w:kern w:val="21"/>
                      <w:szCs w:val="21"/>
                    </w:rPr>
                    <w:t>排气筒</w:t>
                  </w:r>
                </w:p>
              </w:tc>
              <w:tc>
                <w:tcPr>
                  <w:tcW w:w="898" w:type="dxa"/>
                  <w:noWrap/>
                  <w:vAlign w:val="center"/>
                </w:tcPr>
                <w:p w14:paraId="0DCED8C7">
                  <w:pPr>
                    <w:keepNext w:val="0"/>
                    <w:keepLines w:val="0"/>
                    <w:suppressLineNumbers w:val="0"/>
                    <w:spacing w:before="0" w:beforeAutospacing="0" w:after="0" w:afterAutospacing="0"/>
                    <w:ind w:left="0" w:right="0"/>
                    <w:jc w:val="center"/>
                    <w:rPr>
                      <w:rFonts w:hint="default" w:ascii="Times New Roman" w:hAnsi="Times New Roman" w:cs="Times New Roman"/>
                      <w:snapToGrid w:val="0"/>
                      <w:color w:val="auto"/>
                      <w:kern w:val="21"/>
                      <w:szCs w:val="21"/>
                    </w:rPr>
                  </w:pPr>
                  <w:r>
                    <w:rPr>
                      <w:rFonts w:hint="default" w:ascii="Times New Roman" w:hAnsi="Times New Roman" w:cs="Times New Roman"/>
                      <w:snapToGrid w:val="0"/>
                      <w:color w:val="auto"/>
                      <w:kern w:val="21"/>
                      <w:szCs w:val="21"/>
                      <w:lang w:val="en-US" w:eastAsia="zh-CN"/>
                    </w:rPr>
                    <w:t>DA0</w:t>
                  </w:r>
                  <w:r>
                    <w:rPr>
                      <w:rFonts w:hint="default" w:ascii="Times New Roman" w:hAnsi="Times New Roman" w:cs="Times New Roman"/>
                      <w:snapToGrid w:val="0"/>
                      <w:color w:val="auto"/>
                      <w:kern w:val="21"/>
                      <w:szCs w:val="21"/>
                    </w:rPr>
                    <w:t>01</w:t>
                  </w:r>
                </w:p>
              </w:tc>
              <w:tc>
                <w:tcPr>
                  <w:tcW w:w="1871" w:type="dxa"/>
                  <w:noWrap/>
                  <w:vAlign w:val="center"/>
                </w:tcPr>
                <w:p w14:paraId="6EF9D33F">
                  <w:pPr>
                    <w:keepNext w:val="0"/>
                    <w:keepLines w:val="0"/>
                    <w:suppressLineNumbers w:val="0"/>
                    <w:spacing w:before="0" w:beforeAutospacing="0" w:after="0" w:afterAutospacing="0"/>
                    <w:ind w:left="0" w:right="0"/>
                    <w:jc w:val="center"/>
                    <w:rPr>
                      <w:rFonts w:hint="default" w:ascii="Times New Roman" w:hAnsi="Times New Roman" w:cs="Times New Roman"/>
                      <w:color w:val="000000"/>
                      <w:kern w:val="21"/>
                      <w:szCs w:val="21"/>
                      <w:lang w:bidi="mn-Mong-CN"/>
                    </w:rPr>
                  </w:pPr>
                  <w:r>
                    <w:rPr>
                      <w:rFonts w:hint="default" w:ascii="Times New Roman" w:hAnsi="Times New Roman" w:cs="Times New Roman"/>
                      <w:color w:val="000000"/>
                      <w:kern w:val="21"/>
                      <w:szCs w:val="21"/>
                    </w:rPr>
                    <w:drawing>
                      <wp:inline distT="0" distB="0" distL="114300" distR="114300">
                        <wp:extent cx="1092835" cy="995045"/>
                        <wp:effectExtent l="0" t="0" r="12065" b="14605"/>
                        <wp:docPr id="6" name="图片 6" descr="5d02c76245692c2e49e45ec6c76485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5d02c76245692c2e49e45ec6c76485c"/>
                                <pic:cNvPicPr>
                                  <a:picLocks noChangeAspect="1"/>
                                </pic:cNvPicPr>
                              </pic:nvPicPr>
                              <pic:blipFill>
                                <a:blip r:embed="rId30"/>
                                <a:stretch>
                                  <a:fillRect/>
                                </a:stretch>
                              </pic:blipFill>
                              <pic:spPr>
                                <a:xfrm>
                                  <a:off x="0" y="0"/>
                                  <a:ext cx="1092835" cy="995045"/>
                                </a:xfrm>
                                <a:prstGeom prst="rect">
                                  <a:avLst/>
                                </a:prstGeom>
                              </pic:spPr>
                            </pic:pic>
                          </a:graphicData>
                        </a:graphic>
                      </wp:inline>
                    </w:drawing>
                  </w:r>
                </w:p>
              </w:tc>
              <w:tc>
                <w:tcPr>
                  <w:tcW w:w="3743" w:type="dxa"/>
                  <w:vMerge w:val="restart"/>
                  <w:noWrap/>
                  <w:vAlign w:val="center"/>
                </w:tcPr>
                <w:p w14:paraId="6BC264A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cs="Times New Roman"/>
                      <w:color w:val="000000"/>
                      <w:kern w:val="21"/>
                      <w:szCs w:val="21"/>
                    </w:rPr>
                  </w:pPr>
                  <w:r>
                    <w:rPr>
                      <w:rFonts w:hint="default" w:ascii="Times New Roman" w:hAnsi="Times New Roman" w:cs="Times New Roman"/>
                      <w:color w:val="000000"/>
                      <w:kern w:val="21"/>
                      <w:szCs w:val="21"/>
                    </w:rPr>
                    <w:t>1、平面悬挂尺寸：48×30cm</w:t>
                  </w:r>
                </w:p>
                <w:p w14:paraId="5D7A6A3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cs="Times New Roman"/>
                      <w:color w:val="000000"/>
                      <w:kern w:val="21"/>
                      <w:szCs w:val="21"/>
                    </w:rPr>
                  </w:pPr>
                  <w:r>
                    <w:rPr>
                      <w:rFonts w:hint="default" w:ascii="Times New Roman" w:hAnsi="Times New Roman" w:cs="Times New Roman"/>
                      <w:color w:val="000000"/>
                      <w:kern w:val="21"/>
                      <w:szCs w:val="21"/>
                    </w:rPr>
                    <w:t>底色：绿色；字体：黑体字，白色</w:t>
                  </w:r>
                </w:p>
                <w:p w14:paraId="4A5F3D5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cs="Times New Roman"/>
                      <w:color w:val="000000"/>
                      <w:kern w:val="21"/>
                      <w:szCs w:val="21"/>
                    </w:rPr>
                  </w:pPr>
                  <w:r>
                    <w:rPr>
                      <w:rFonts w:hint="default" w:ascii="Times New Roman" w:hAnsi="Times New Roman" w:cs="Times New Roman"/>
                      <w:color w:val="000000"/>
                      <w:kern w:val="21"/>
                      <w:szCs w:val="21"/>
                    </w:rPr>
                    <w:t>如不便悬挂，可用立式标志牌，尺寸：42×42cm（正面排放口名称、反面图案）。</w:t>
                  </w:r>
                </w:p>
                <w:p w14:paraId="0ED1BCC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cs="Times New Roman"/>
                      <w:color w:val="000000"/>
                      <w:kern w:val="21"/>
                      <w:szCs w:val="21"/>
                    </w:rPr>
                  </w:pPr>
                  <w:r>
                    <w:rPr>
                      <w:rFonts w:hint="default" w:ascii="Times New Roman" w:hAnsi="Times New Roman" w:cs="Times New Roman"/>
                      <w:color w:val="000000"/>
                      <w:kern w:val="21"/>
                      <w:szCs w:val="21"/>
                    </w:rPr>
                    <w:t>2、排放口编号：按水-01、02顺序编号。</w:t>
                  </w:r>
                </w:p>
                <w:p w14:paraId="6CF4F138">
                  <w:pPr>
                    <w:keepNext w:val="0"/>
                    <w:keepLines w:val="0"/>
                    <w:widowControl/>
                    <w:suppressLineNumbers w:val="0"/>
                    <w:spacing w:before="0" w:beforeAutospacing="0" w:after="0" w:afterAutospacing="0"/>
                    <w:ind w:left="0" w:right="0"/>
                    <w:jc w:val="left"/>
                    <w:rPr>
                      <w:rFonts w:hint="default" w:ascii="Times New Roman" w:hAnsi="Times New Roman" w:cs="Times New Roman"/>
                      <w:color w:val="000000"/>
                      <w:kern w:val="21"/>
                      <w:szCs w:val="21"/>
                    </w:rPr>
                  </w:pPr>
                  <w:r>
                    <w:rPr>
                      <w:rFonts w:hint="default" w:ascii="Times New Roman" w:hAnsi="Times New Roman" w:cs="Times New Roman"/>
                      <w:color w:val="000000"/>
                      <w:kern w:val="21"/>
                      <w:szCs w:val="21"/>
                    </w:rPr>
                    <w:t>3、标志牌材料：用1.5～2mm冷轧钢板、表面用搪瓷或者反光贴膜；立式标志牌支杆高120cm，采用38×4无缝钢管。</w:t>
                  </w:r>
                </w:p>
              </w:tc>
            </w:tr>
            <w:tr w14:paraId="70DD4FC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57" w:type="dxa"/>
                  <w:left w:w="108" w:type="dxa"/>
                  <w:bottom w:w="0" w:type="dxa"/>
                  <w:right w:w="108" w:type="dxa"/>
                </w:tblCellMar>
              </w:tblPrEx>
              <w:trPr>
                <w:trHeight w:val="1095" w:hRule="atLeast"/>
                <w:jc w:val="center"/>
              </w:trPr>
              <w:tc>
                <w:tcPr>
                  <w:tcW w:w="1238" w:type="dxa"/>
                  <w:noWrap/>
                  <w:vAlign w:val="center"/>
                </w:tcPr>
                <w:p w14:paraId="3B443E14">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auto"/>
                      <w:kern w:val="21"/>
                      <w:szCs w:val="21"/>
                      <w:lang w:eastAsia="zh-CN"/>
                    </w:rPr>
                  </w:pPr>
                  <w:r>
                    <w:rPr>
                      <w:rFonts w:hint="default" w:cs="Times New Roman"/>
                      <w:snapToGrid w:val="0"/>
                      <w:color w:val="auto"/>
                      <w:kern w:val="21"/>
                      <w:szCs w:val="21"/>
                      <w:lang w:eastAsia="zh-CN"/>
                    </w:rPr>
                    <w:t>污水排放口</w:t>
                  </w:r>
                </w:p>
              </w:tc>
              <w:tc>
                <w:tcPr>
                  <w:tcW w:w="898" w:type="dxa"/>
                  <w:noWrap/>
                  <w:vAlign w:val="center"/>
                </w:tcPr>
                <w:p w14:paraId="132763CF">
                  <w:pPr>
                    <w:keepNext w:val="0"/>
                    <w:keepLines w:val="0"/>
                    <w:suppressLineNumbers w:val="0"/>
                    <w:spacing w:before="0" w:beforeAutospacing="0" w:after="0" w:afterAutospacing="0"/>
                    <w:ind w:left="0" w:right="0"/>
                    <w:jc w:val="center"/>
                    <w:rPr>
                      <w:rFonts w:hint="default" w:ascii="Times New Roman" w:hAnsi="Times New Roman" w:cs="Times New Roman"/>
                      <w:snapToGrid w:val="0"/>
                      <w:color w:val="auto"/>
                      <w:kern w:val="21"/>
                      <w:szCs w:val="21"/>
                      <w:lang w:val="en-US" w:eastAsia="zh-CN"/>
                    </w:rPr>
                  </w:pPr>
                  <w:r>
                    <w:rPr>
                      <w:rFonts w:hint="default" w:cs="Times New Roman"/>
                      <w:snapToGrid w:val="0"/>
                      <w:color w:val="auto"/>
                      <w:kern w:val="21"/>
                      <w:szCs w:val="21"/>
                      <w:lang w:val="en-US" w:eastAsia="zh-CN"/>
                    </w:rPr>
                    <w:t>DW001</w:t>
                  </w:r>
                </w:p>
              </w:tc>
              <w:tc>
                <w:tcPr>
                  <w:tcW w:w="1871" w:type="dxa"/>
                  <w:noWrap/>
                  <w:vAlign w:val="center"/>
                </w:tcPr>
                <w:p w14:paraId="17A3D48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kern w:val="21"/>
                      <w:szCs w:val="21"/>
                      <w:lang w:eastAsia="zh-CN"/>
                    </w:rPr>
                  </w:pPr>
                  <w:r>
                    <w:rPr>
                      <w:rFonts w:hint="default" w:ascii="Times New Roman" w:hAnsi="Times New Roman" w:eastAsia="宋体" w:cs="Times New Roman"/>
                      <w:color w:val="000000"/>
                      <w:kern w:val="21"/>
                      <w:szCs w:val="21"/>
                      <w:lang w:eastAsia="zh-CN"/>
                    </w:rPr>
                    <w:drawing>
                      <wp:inline distT="0" distB="0" distL="114300" distR="114300">
                        <wp:extent cx="1089660" cy="940435"/>
                        <wp:effectExtent l="0" t="0" r="15240" b="12065"/>
                        <wp:docPr id="12" name="图片 12" descr="58377f4c7cf54eb973a8ccad2bbe6a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58377f4c7cf54eb973a8ccad2bbe6a5"/>
                                <pic:cNvPicPr>
                                  <a:picLocks noChangeAspect="1"/>
                                </pic:cNvPicPr>
                              </pic:nvPicPr>
                              <pic:blipFill>
                                <a:blip r:embed="rId31"/>
                                <a:stretch>
                                  <a:fillRect/>
                                </a:stretch>
                              </pic:blipFill>
                              <pic:spPr>
                                <a:xfrm>
                                  <a:off x="0" y="0"/>
                                  <a:ext cx="1089660" cy="940435"/>
                                </a:xfrm>
                                <a:prstGeom prst="rect">
                                  <a:avLst/>
                                </a:prstGeom>
                              </pic:spPr>
                            </pic:pic>
                          </a:graphicData>
                        </a:graphic>
                      </wp:inline>
                    </w:drawing>
                  </w:r>
                </w:p>
              </w:tc>
              <w:tc>
                <w:tcPr>
                  <w:tcW w:w="3743" w:type="dxa"/>
                  <w:vMerge w:val="continue"/>
                  <w:noWrap/>
                  <w:vAlign w:val="center"/>
                </w:tcPr>
                <w:p w14:paraId="1410D790">
                  <w:pPr>
                    <w:keepNext w:val="0"/>
                    <w:keepLines w:val="0"/>
                    <w:widowControl/>
                    <w:suppressLineNumbers w:val="0"/>
                    <w:spacing w:before="0" w:beforeAutospacing="0" w:after="0" w:afterAutospacing="0"/>
                    <w:ind w:left="0" w:right="0"/>
                    <w:jc w:val="left"/>
                    <w:rPr>
                      <w:rFonts w:hint="default" w:ascii="Times New Roman" w:hAnsi="Times New Roman" w:cs="Times New Roman"/>
                      <w:color w:val="000000"/>
                      <w:kern w:val="21"/>
                      <w:szCs w:val="21"/>
                    </w:rPr>
                  </w:pPr>
                </w:p>
              </w:tc>
            </w:tr>
            <w:tr w14:paraId="6BE8221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57" w:type="dxa"/>
                  <w:left w:w="108" w:type="dxa"/>
                  <w:bottom w:w="0" w:type="dxa"/>
                  <w:right w:w="108" w:type="dxa"/>
                </w:tblCellMar>
              </w:tblPrEx>
              <w:trPr>
                <w:trHeight w:val="1088" w:hRule="atLeast"/>
                <w:jc w:val="center"/>
              </w:trPr>
              <w:tc>
                <w:tcPr>
                  <w:tcW w:w="1238" w:type="dxa"/>
                  <w:noWrap/>
                  <w:vAlign w:val="center"/>
                </w:tcPr>
                <w:p w14:paraId="63DFD2A0">
                  <w:pPr>
                    <w:keepNext w:val="0"/>
                    <w:keepLines w:val="0"/>
                    <w:suppressLineNumbers w:val="0"/>
                    <w:spacing w:before="0" w:beforeAutospacing="0" w:after="0" w:afterAutospacing="0"/>
                    <w:ind w:left="0" w:right="0"/>
                    <w:jc w:val="center"/>
                    <w:rPr>
                      <w:rFonts w:hint="default" w:ascii="Times New Roman" w:hAnsi="Times New Roman" w:cs="Times New Roman"/>
                      <w:snapToGrid w:val="0"/>
                      <w:color w:val="000000"/>
                      <w:kern w:val="21"/>
                      <w:szCs w:val="21"/>
                    </w:rPr>
                  </w:pPr>
                  <w:r>
                    <w:rPr>
                      <w:rFonts w:hint="default" w:ascii="Times New Roman" w:hAnsi="Times New Roman" w:cs="Times New Roman"/>
                      <w:snapToGrid w:val="0"/>
                      <w:color w:val="000000"/>
                      <w:kern w:val="21"/>
                      <w:szCs w:val="21"/>
                    </w:rPr>
                    <w:t>噪声源</w:t>
                  </w:r>
                </w:p>
              </w:tc>
              <w:tc>
                <w:tcPr>
                  <w:tcW w:w="898" w:type="dxa"/>
                  <w:noWrap/>
                  <w:vAlign w:val="center"/>
                </w:tcPr>
                <w:p w14:paraId="719356FA">
                  <w:pPr>
                    <w:keepNext w:val="0"/>
                    <w:keepLines w:val="0"/>
                    <w:suppressLineNumbers w:val="0"/>
                    <w:spacing w:before="0" w:beforeAutospacing="0" w:after="0" w:afterAutospacing="0"/>
                    <w:ind w:left="0" w:right="0"/>
                    <w:jc w:val="center"/>
                    <w:rPr>
                      <w:rFonts w:hint="default" w:ascii="Times New Roman" w:hAnsi="Times New Roman" w:cs="Times New Roman"/>
                      <w:snapToGrid w:val="0"/>
                      <w:color w:val="000000"/>
                      <w:kern w:val="21"/>
                      <w:szCs w:val="21"/>
                    </w:rPr>
                  </w:pPr>
                  <w:r>
                    <w:rPr>
                      <w:rFonts w:hint="default" w:ascii="Times New Roman" w:hAnsi="Times New Roman" w:cs="Times New Roman"/>
                      <w:snapToGrid w:val="0"/>
                      <w:color w:val="000000"/>
                      <w:kern w:val="21"/>
                      <w:szCs w:val="21"/>
                    </w:rPr>
                    <w:t>ZS-01</w:t>
                  </w:r>
                </w:p>
              </w:tc>
              <w:tc>
                <w:tcPr>
                  <w:tcW w:w="1871" w:type="dxa"/>
                  <w:noWrap/>
                  <w:vAlign w:val="center"/>
                </w:tcPr>
                <w:p w14:paraId="60F5D553">
                  <w:pPr>
                    <w:keepNext w:val="0"/>
                    <w:keepLines w:val="0"/>
                    <w:suppressLineNumbers w:val="0"/>
                    <w:spacing w:before="0" w:beforeAutospacing="0" w:after="0" w:afterAutospacing="0"/>
                    <w:ind w:left="0" w:right="0"/>
                    <w:jc w:val="center"/>
                    <w:rPr>
                      <w:rFonts w:hint="default" w:ascii="Times New Roman" w:hAnsi="Times New Roman" w:cs="Times New Roman"/>
                      <w:snapToGrid w:val="0"/>
                      <w:color w:val="000000"/>
                      <w:kern w:val="21"/>
                      <w:szCs w:val="21"/>
                    </w:rPr>
                  </w:pPr>
                  <w:r>
                    <w:rPr>
                      <w:rFonts w:hint="default" w:ascii="Times New Roman" w:hAnsi="Times New Roman" w:cs="Times New Roman"/>
                      <w:snapToGrid w:val="0"/>
                      <w:color w:val="000000"/>
                      <w:kern w:val="21"/>
                      <w:szCs w:val="21"/>
                    </w:rPr>
                    <w:drawing>
                      <wp:inline distT="0" distB="0" distL="114300" distR="114300">
                        <wp:extent cx="1092835" cy="1035050"/>
                        <wp:effectExtent l="0" t="0" r="12065" b="12700"/>
                        <wp:docPr id="8" name="图片 8" descr="fa9546fce629111edb4cbd8cae196f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fa9546fce629111edb4cbd8cae196f3"/>
                                <pic:cNvPicPr>
                                  <a:picLocks noChangeAspect="1"/>
                                </pic:cNvPicPr>
                              </pic:nvPicPr>
                              <pic:blipFill>
                                <a:blip r:embed="rId32"/>
                                <a:stretch>
                                  <a:fillRect/>
                                </a:stretch>
                              </pic:blipFill>
                              <pic:spPr>
                                <a:xfrm>
                                  <a:off x="0" y="0"/>
                                  <a:ext cx="1092835" cy="1035050"/>
                                </a:xfrm>
                                <a:prstGeom prst="rect">
                                  <a:avLst/>
                                </a:prstGeom>
                              </pic:spPr>
                            </pic:pic>
                          </a:graphicData>
                        </a:graphic>
                      </wp:inline>
                    </w:drawing>
                  </w:r>
                </w:p>
              </w:tc>
              <w:tc>
                <w:tcPr>
                  <w:tcW w:w="3743" w:type="dxa"/>
                  <w:vMerge w:val="continue"/>
                  <w:noWrap/>
                  <w:vAlign w:val="center"/>
                </w:tcPr>
                <w:p w14:paraId="4656B51A">
                  <w:pPr>
                    <w:keepNext w:val="0"/>
                    <w:keepLines w:val="0"/>
                    <w:suppressLineNumbers w:val="0"/>
                    <w:spacing w:before="0" w:beforeAutospacing="0" w:after="0" w:afterAutospacing="0"/>
                    <w:ind w:left="0" w:right="0"/>
                    <w:jc w:val="center"/>
                    <w:rPr>
                      <w:rFonts w:hint="default" w:ascii="Times New Roman" w:hAnsi="Times New Roman" w:cs="Times New Roman"/>
                      <w:color w:val="000000"/>
                      <w:kern w:val="21"/>
                      <w:szCs w:val="21"/>
                    </w:rPr>
                  </w:pPr>
                </w:p>
              </w:tc>
            </w:tr>
            <w:tr w14:paraId="2F3930A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57" w:type="dxa"/>
                  <w:left w:w="108" w:type="dxa"/>
                  <w:bottom w:w="0" w:type="dxa"/>
                  <w:right w:w="108" w:type="dxa"/>
                </w:tblCellMar>
              </w:tblPrEx>
              <w:trPr>
                <w:trHeight w:val="1089" w:hRule="atLeast"/>
                <w:jc w:val="center"/>
              </w:trPr>
              <w:tc>
                <w:tcPr>
                  <w:tcW w:w="1238" w:type="dxa"/>
                  <w:noWrap/>
                  <w:vAlign w:val="center"/>
                </w:tcPr>
                <w:p w14:paraId="166E7503">
                  <w:pPr>
                    <w:keepNext w:val="0"/>
                    <w:keepLines w:val="0"/>
                    <w:suppressLineNumbers w:val="0"/>
                    <w:spacing w:before="0" w:beforeAutospacing="0" w:after="0" w:afterAutospacing="0"/>
                    <w:ind w:left="0" w:right="0"/>
                    <w:jc w:val="center"/>
                    <w:rPr>
                      <w:rFonts w:hint="default" w:ascii="Times New Roman" w:hAnsi="Times New Roman" w:cs="Times New Roman"/>
                      <w:snapToGrid w:val="0"/>
                      <w:color w:val="000000"/>
                      <w:kern w:val="21"/>
                      <w:szCs w:val="21"/>
                    </w:rPr>
                  </w:pPr>
                  <w:r>
                    <w:rPr>
                      <w:rFonts w:hint="default" w:ascii="Times New Roman" w:hAnsi="Times New Roman" w:cs="Times New Roman"/>
                      <w:snapToGrid w:val="0"/>
                      <w:color w:val="000000"/>
                      <w:kern w:val="21"/>
                      <w:szCs w:val="21"/>
                    </w:rPr>
                    <w:t>一般工业固废</w:t>
                  </w:r>
                </w:p>
              </w:tc>
              <w:tc>
                <w:tcPr>
                  <w:tcW w:w="898" w:type="dxa"/>
                  <w:noWrap/>
                  <w:vAlign w:val="center"/>
                </w:tcPr>
                <w:p w14:paraId="20DA09D8">
                  <w:pPr>
                    <w:keepNext w:val="0"/>
                    <w:keepLines w:val="0"/>
                    <w:suppressLineNumbers w:val="0"/>
                    <w:spacing w:before="0" w:beforeAutospacing="0" w:after="0" w:afterAutospacing="0"/>
                    <w:ind w:left="0" w:right="0"/>
                    <w:jc w:val="center"/>
                    <w:rPr>
                      <w:rFonts w:hint="default" w:ascii="Times New Roman" w:hAnsi="Times New Roman" w:cs="Times New Roman"/>
                      <w:snapToGrid w:val="0"/>
                      <w:color w:val="000000"/>
                      <w:kern w:val="21"/>
                      <w:szCs w:val="21"/>
                    </w:rPr>
                  </w:pPr>
                  <w:r>
                    <w:rPr>
                      <w:rFonts w:hint="default" w:ascii="Times New Roman" w:hAnsi="Times New Roman" w:cs="Times New Roman"/>
                      <w:snapToGrid w:val="0"/>
                      <w:color w:val="000000"/>
                      <w:kern w:val="21"/>
                      <w:szCs w:val="21"/>
                    </w:rPr>
                    <w:t>TS001</w:t>
                  </w:r>
                </w:p>
              </w:tc>
              <w:tc>
                <w:tcPr>
                  <w:tcW w:w="1871" w:type="dxa"/>
                  <w:noWrap/>
                  <w:vAlign w:val="center"/>
                </w:tcPr>
                <w:p w14:paraId="1CC7DF8B">
                  <w:pPr>
                    <w:keepNext w:val="0"/>
                    <w:keepLines w:val="0"/>
                    <w:suppressLineNumbers w:val="0"/>
                    <w:spacing w:before="0" w:beforeAutospacing="0" w:after="0" w:afterAutospacing="0"/>
                    <w:ind w:left="0" w:right="0"/>
                    <w:jc w:val="center"/>
                    <w:rPr>
                      <w:rFonts w:hint="default" w:ascii="Times New Roman" w:hAnsi="Times New Roman" w:cs="Times New Roman"/>
                      <w:color w:val="000000"/>
                      <w:kern w:val="21"/>
                      <w:szCs w:val="21"/>
                    </w:rPr>
                  </w:pPr>
                  <w:r>
                    <w:rPr>
                      <w:rFonts w:hint="default" w:ascii="Times New Roman" w:hAnsi="Times New Roman" w:cs="Times New Roman"/>
                      <w:color w:val="000000"/>
                      <w:kern w:val="21"/>
                      <w:szCs w:val="21"/>
                    </w:rPr>
                    <w:drawing>
                      <wp:inline distT="0" distB="0" distL="114300" distR="114300">
                        <wp:extent cx="1092835" cy="1022350"/>
                        <wp:effectExtent l="0" t="0" r="12065" b="6350"/>
                        <wp:docPr id="2" name="图片 2" descr="873e5ce4fe6ee5f92545226552a06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873e5ce4fe6ee5f92545226552a0651"/>
                                <pic:cNvPicPr>
                                  <a:picLocks noChangeAspect="1"/>
                                </pic:cNvPicPr>
                              </pic:nvPicPr>
                              <pic:blipFill>
                                <a:blip r:embed="rId25"/>
                                <a:stretch>
                                  <a:fillRect/>
                                </a:stretch>
                              </pic:blipFill>
                              <pic:spPr>
                                <a:xfrm>
                                  <a:off x="0" y="0"/>
                                  <a:ext cx="1092835" cy="1022350"/>
                                </a:xfrm>
                                <a:prstGeom prst="rect">
                                  <a:avLst/>
                                </a:prstGeom>
                              </pic:spPr>
                            </pic:pic>
                          </a:graphicData>
                        </a:graphic>
                      </wp:inline>
                    </w:drawing>
                  </w:r>
                </w:p>
              </w:tc>
              <w:tc>
                <w:tcPr>
                  <w:tcW w:w="3743" w:type="dxa"/>
                  <w:vMerge w:val="continue"/>
                  <w:noWrap/>
                  <w:vAlign w:val="center"/>
                </w:tcPr>
                <w:p w14:paraId="6BDDF736">
                  <w:pPr>
                    <w:keepNext w:val="0"/>
                    <w:keepLines w:val="0"/>
                    <w:suppressLineNumbers w:val="0"/>
                    <w:spacing w:before="0" w:beforeAutospacing="0" w:after="0" w:afterAutospacing="0"/>
                    <w:ind w:left="0" w:right="0"/>
                    <w:jc w:val="center"/>
                    <w:rPr>
                      <w:rFonts w:hint="default" w:ascii="Times New Roman" w:hAnsi="Times New Roman" w:cs="Times New Roman"/>
                      <w:color w:val="000000"/>
                      <w:kern w:val="21"/>
                      <w:szCs w:val="21"/>
                    </w:rPr>
                  </w:pPr>
                </w:p>
              </w:tc>
            </w:tr>
          </w:tbl>
          <w:p w14:paraId="22724538">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360" w:lineRule="auto"/>
              <w:ind w:left="0" w:right="0" w:firstLine="480" w:firstLineChars="200"/>
              <w:jc w:val="left"/>
              <w:textAlignment w:val="baseline"/>
              <w:rPr>
                <w:rFonts w:hint="default" w:ascii="Times New Roman" w:hAnsi="Times New Roman" w:cs="Times New Roman"/>
                <w:bCs/>
                <w:color w:val="000000"/>
                <w:kern w:val="21"/>
                <w:sz w:val="24"/>
              </w:rPr>
            </w:pPr>
            <w:r>
              <w:rPr>
                <w:rFonts w:hint="default" w:ascii="Times New Roman" w:hAnsi="Times New Roman" w:cs="Times New Roman"/>
                <w:bCs/>
                <w:color w:val="000000"/>
                <w:kern w:val="21"/>
                <w:sz w:val="24"/>
              </w:rPr>
              <w:t>（5）排污口立标</w:t>
            </w:r>
          </w:p>
          <w:p w14:paraId="192B22B9">
            <w:pPr>
              <w:keepNext w:val="0"/>
              <w:keepLines w:val="0"/>
              <w:widowControl/>
              <w:suppressLineNumbers w:val="0"/>
              <w:spacing w:before="0" w:beforeAutospacing="0" w:after="0" w:afterAutospacing="0" w:line="360" w:lineRule="auto"/>
              <w:ind w:left="0" w:right="0" w:firstLine="480" w:firstLineChars="200"/>
              <w:jc w:val="left"/>
              <w:textAlignment w:val="baseline"/>
              <w:rPr>
                <w:rFonts w:hint="default" w:ascii="Times New Roman" w:hAnsi="Times New Roman" w:cs="Times New Roman"/>
                <w:bCs/>
                <w:color w:val="000000"/>
                <w:kern w:val="21"/>
                <w:sz w:val="24"/>
              </w:rPr>
            </w:pPr>
            <w:r>
              <w:rPr>
                <w:rFonts w:hint="default" w:ascii="Times New Roman" w:hAnsi="Times New Roman" w:cs="Times New Roman"/>
                <w:bCs/>
                <w:color w:val="000000"/>
                <w:kern w:val="21"/>
                <w:sz w:val="24"/>
              </w:rPr>
              <w:t>环境保护图形标志牌按原国家环保总局统一规范要求定点制作，各建设单位排污口分布图由环境监理部门统一绘制。排放一般污染物排污口（源），设置提示式标志牌，排放有毒有害等污染物的排污口设置警告式标志牌。</w:t>
            </w:r>
          </w:p>
          <w:p w14:paraId="0A329AB4">
            <w:pPr>
              <w:keepNext w:val="0"/>
              <w:keepLines w:val="0"/>
              <w:widowControl/>
              <w:suppressLineNumbers w:val="0"/>
              <w:spacing w:before="0" w:beforeAutospacing="0" w:after="0" w:afterAutospacing="0" w:line="360" w:lineRule="auto"/>
              <w:ind w:left="0" w:right="0" w:firstLine="480" w:firstLineChars="200"/>
              <w:jc w:val="left"/>
              <w:textAlignment w:val="baseline"/>
              <w:rPr>
                <w:rFonts w:hint="default" w:ascii="Times New Roman" w:hAnsi="Times New Roman" w:cs="Times New Roman"/>
                <w:bCs/>
                <w:color w:val="000000"/>
                <w:kern w:val="21"/>
                <w:sz w:val="24"/>
              </w:rPr>
            </w:pPr>
            <w:r>
              <w:rPr>
                <w:rFonts w:hint="default" w:ascii="Times New Roman" w:hAnsi="Times New Roman" w:cs="Times New Roman"/>
                <w:bCs/>
                <w:color w:val="000000"/>
                <w:kern w:val="21"/>
                <w:sz w:val="24"/>
              </w:rPr>
              <w:t>1）污染物排放口的环保图形标志牌应设置在排污口（采样点）附近且醒目处，高度为标志牌上缘离地面约2m。</w:t>
            </w:r>
          </w:p>
          <w:p w14:paraId="68254F2A">
            <w:pPr>
              <w:keepNext w:val="0"/>
              <w:keepLines w:val="0"/>
              <w:widowControl/>
              <w:suppressLineNumbers w:val="0"/>
              <w:spacing w:before="0" w:beforeAutospacing="0" w:after="0" w:afterAutospacing="0" w:line="360" w:lineRule="auto"/>
              <w:ind w:left="0" w:right="0" w:firstLine="480" w:firstLineChars="200"/>
              <w:jc w:val="left"/>
              <w:textAlignment w:val="baseline"/>
              <w:rPr>
                <w:rFonts w:hint="default" w:ascii="Times New Roman" w:hAnsi="Times New Roman" w:cs="Times New Roman"/>
                <w:bCs/>
                <w:color w:val="000000"/>
                <w:kern w:val="21"/>
                <w:sz w:val="24"/>
              </w:rPr>
            </w:pPr>
            <w:r>
              <w:rPr>
                <w:rFonts w:hint="default" w:ascii="Times New Roman" w:hAnsi="Times New Roman" w:cs="Times New Roman"/>
                <w:bCs/>
                <w:color w:val="000000"/>
                <w:kern w:val="21"/>
                <w:sz w:val="24"/>
              </w:rPr>
              <w:t>2）排污口附近1m范围内有建筑物的，设平面式标志牌，无建筑物的设立式标志牌。一般排污单位的污染物排放口，可根据情况设置立式或平面固定式标志牌。</w:t>
            </w:r>
          </w:p>
          <w:p w14:paraId="44DDC422">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bCs/>
                <w:spacing w:val="-10"/>
                <w:szCs w:val="21"/>
                <w:lang w:val="en-US" w:eastAsia="zh-CN"/>
              </w:rPr>
            </w:pPr>
            <w:r>
              <w:rPr>
                <w:rFonts w:hint="default" w:ascii="Times New Roman" w:hAnsi="Times New Roman" w:cs="Times New Roman"/>
                <w:bCs/>
                <w:color w:val="000000"/>
                <w:kern w:val="21"/>
                <w:sz w:val="24"/>
              </w:rPr>
              <w:t>3）规范化排污口的有关设置（如图形标志牌、计量装置、监控装置等）属于环保设施，排污单位必须负责日常的维护保养，任何单位和个人不得擅自拆除，如需要变更的需报环境监管部门同意并办理相关变更手续。</w:t>
            </w:r>
          </w:p>
        </w:tc>
      </w:tr>
    </w:tbl>
    <w:p w14:paraId="7C6B98E0">
      <w:pPr>
        <w:adjustRightInd w:val="0"/>
        <w:snapToGrid w:val="0"/>
        <w:spacing w:line="360" w:lineRule="auto"/>
        <w:rPr>
          <w:b/>
          <w:kern w:val="0"/>
          <w:sz w:val="28"/>
          <w:szCs w:val="28"/>
        </w:rPr>
        <w:sectPr>
          <w:pgSz w:w="11907" w:h="16840"/>
          <w:pgMar w:top="1701" w:right="1531" w:bottom="2127" w:left="1531" w:header="851" w:footer="851" w:gutter="0"/>
          <w:pgBorders>
            <w:top w:val="none" w:sz="0" w:space="0"/>
            <w:left w:val="none" w:sz="0" w:space="0"/>
            <w:bottom w:val="none" w:sz="0" w:space="0"/>
            <w:right w:val="none" w:sz="0" w:space="0"/>
          </w:pgBorders>
          <w:cols w:space="720" w:num="1"/>
          <w:docGrid w:linePitch="312" w:charSpace="0"/>
        </w:sectPr>
      </w:pPr>
    </w:p>
    <w:p w14:paraId="06FB8F28">
      <w:pPr>
        <w:pStyle w:val="34"/>
        <w:spacing w:before="0" w:beforeAutospacing="0" w:after="0" w:afterAutospacing="0" w:line="276" w:lineRule="auto"/>
        <w:jc w:val="center"/>
        <w:outlineLvl w:val="0"/>
        <w:rPr>
          <w:rFonts w:ascii="Times New Roman" w:hAnsi="Times New Roman" w:eastAsia="黑体"/>
          <w:snapToGrid w:val="0"/>
          <w:sz w:val="30"/>
          <w:szCs w:val="30"/>
        </w:rPr>
      </w:pPr>
      <w:r>
        <w:rPr>
          <w:rFonts w:ascii="Times New Roman" w:hAnsi="Times New Roman" w:eastAsia="黑体"/>
          <w:snapToGrid w:val="0"/>
          <w:sz w:val="30"/>
          <w:szCs w:val="30"/>
        </w:rPr>
        <w:t>五、</w:t>
      </w:r>
      <w:bookmarkStart w:id="8" w:name="_Hlk54167917"/>
      <w:r>
        <w:rPr>
          <w:rFonts w:ascii="Times New Roman" w:hAnsi="Times New Roman" w:eastAsia="黑体"/>
          <w:snapToGrid w:val="0"/>
          <w:sz w:val="30"/>
          <w:szCs w:val="30"/>
        </w:rPr>
        <w:t>环境保护措施监督检查清单</w:t>
      </w:r>
      <w:bookmarkEnd w:id="8"/>
    </w:p>
    <w:tbl>
      <w:tblPr>
        <w:tblStyle w:val="3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79"/>
        <w:gridCol w:w="1345"/>
        <w:gridCol w:w="1440"/>
        <w:gridCol w:w="1349"/>
        <w:gridCol w:w="1306"/>
        <w:gridCol w:w="2741"/>
      </w:tblGrid>
      <w:tr w14:paraId="0F892F0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tblHeader/>
          <w:jc w:val="center"/>
        </w:trPr>
        <w:tc>
          <w:tcPr>
            <w:tcW w:w="879" w:type="dxa"/>
            <w:tcBorders>
              <w:tl2br w:val="single" w:color="auto" w:sz="4" w:space="0"/>
            </w:tcBorders>
            <w:noWrap w:val="0"/>
            <w:vAlign w:val="top"/>
          </w:tcPr>
          <w:p w14:paraId="3C5A5D5D">
            <w:pPr>
              <w:keepNext w:val="0"/>
              <w:keepLines w:val="0"/>
              <w:suppressLineNumbers w:val="0"/>
              <w:adjustRightInd w:val="0"/>
              <w:snapToGrid w:val="0"/>
              <w:spacing w:before="0" w:beforeAutospacing="0" w:after="0" w:afterAutospacing="0" w:line="300" w:lineRule="exact"/>
              <w:ind w:left="0" w:right="0"/>
              <w:rPr>
                <w:rFonts w:hint="eastAsia" w:ascii="Times New Roman" w:hAnsi="Times New Roman" w:cs="Times New Roman"/>
                <w:b/>
                <w:sz w:val="24"/>
              </w:rPr>
            </w:pPr>
            <w:r>
              <w:rPr>
                <w:rFonts w:hint="default" w:ascii="Times New Roman" w:hAnsi="Times New Roman" w:cs="Times New Roman"/>
                <w:b/>
                <w:sz w:val="24"/>
              </w:rPr>
              <w:t>内容</w:t>
            </w:r>
          </w:p>
          <w:p w14:paraId="48FBA769">
            <w:pPr>
              <w:keepNext w:val="0"/>
              <w:keepLines w:val="0"/>
              <w:suppressLineNumbers w:val="0"/>
              <w:adjustRightInd w:val="0"/>
              <w:snapToGrid w:val="0"/>
              <w:spacing w:before="0" w:beforeAutospacing="0" w:after="0" w:afterAutospacing="0" w:line="300" w:lineRule="exact"/>
              <w:ind w:left="0" w:right="0" w:firstLine="723" w:firstLineChars="300"/>
              <w:rPr>
                <w:rFonts w:hint="default" w:ascii="Times New Roman" w:hAnsi="Times New Roman" w:cs="Times New Roman"/>
                <w:b/>
                <w:sz w:val="24"/>
              </w:rPr>
            </w:pPr>
          </w:p>
          <w:p w14:paraId="00DA44D7">
            <w:pPr>
              <w:keepNext w:val="0"/>
              <w:keepLines w:val="0"/>
              <w:suppressLineNumbers w:val="0"/>
              <w:adjustRightInd w:val="0"/>
              <w:snapToGrid w:val="0"/>
              <w:spacing w:before="0" w:beforeAutospacing="0" w:after="0" w:afterAutospacing="0" w:line="300" w:lineRule="exact"/>
              <w:ind w:left="0" w:right="0"/>
              <w:rPr>
                <w:rFonts w:hint="default" w:ascii="Times New Roman" w:hAnsi="Times New Roman" w:cs="Times New Roman"/>
                <w:b/>
                <w:sz w:val="24"/>
              </w:rPr>
            </w:pPr>
            <w:r>
              <w:rPr>
                <w:rFonts w:hint="default" w:ascii="Times New Roman" w:hAnsi="Times New Roman" w:cs="Times New Roman"/>
                <w:b/>
                <w:sz w:val="24"/>
              </w:rPr>
              <w:t>要素</w:t>
            </w:r>
          </w:p>
        </w:tc>
        <w:tc>
          <w:tcPr>
            <w:tcW w:w="1345" w:type="dxa"/>
            <w:noWrap w:val="0"/>
            <w:vAlign w:val="center"/>
          </w:tcPr>
          <w:p w14:paraId="668875C9">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b/>
                <w:sz w:val="24"/>
              </w:rPr>
            </w:pPr>
            <w:r>
              <w:rPr>
                <w:rFonts w:hint="default" w:ascii="Times New Roman" w:hAnsi="Times New Roman" w:cs="Times New Roman"/>
                <w:b/>
                <w:sz w:val="24"/>
              </w:rPr>
              <w:t>排放口(编号、名称)/污染源</w:t>
            </w:r>
          </w:p>
        </w:tc>
        <w:tc>
          <w:tcPr>
            <w:tcW w:w="1440" w:type="dxa"/>
            <w:noWrap w:val="0"/>
            <w:vAlign w:val="center"/>
          </w:tcPr>
          <w:p w14:paraId="6F82D367">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b/>
                <w:sz w:val="24"/>
              </w:rPr>
            </w:pPr>
            <w:r>
              <w:rPr>
                <w:rFonts w:hint="default" w:ascii="Times New Roman" w:hAnsi="Times New Roman" w:cs="Times New Roman"/>
                <w:b/>
                <w:sz w:val="24"/>
              </w:rPr>
              <w:t>污染物</w:t>
            </w:r>
          </w:p>
          <w:p w14:paraId="2C9A0692">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b/>
                <w:sz w:val="24"/>
              </w:rPr>
            </w:pPr>
            <w:r>
              <w:rPr>
                <w:rFonts w:hint="default" w:ascii="Times New Roman" w:hAnsi="Times New Roman" w:cs="Times New Roman"/>
                <w:b/>
                <w:sz w:val="24"/>
              </w:rPr>
              <w:t>项目</w:t>
            </w:r>
          </w:p>
        </w:tc>
        <w:tc>
          <w:tcPr>
            <w:tcW w:w="1349" w:type="dxa"/>
            <w:noWrap w:val="0"/>
            <w:vAlign w:val="center"/>
          </w:tcPr>
          <w:p w14:paraId="014DD80B">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b/>
                <w:sz w:val="24"/>
              </w:rPr>
            </w:pPr>
            <w:r>
              <w:rPr>
                <w:rFonts w:hint="default" w:ascii="Times New Roman" w:hAnsi="Times New Roman" w:cs="Times New Roman"/>
                <w:b/>
                <w:sz w:val="24"/>
              </w:rPr>
              <w:t>环境保护措施</w:t>
            </w:r>
          </w:p>
        </w:tc>
        <w:tc>
          <w:tcPr>
            <w:tcW w:w="4047" w:type="dxa"/>
            <w:gridSpan w:val="2"/>
            <w:noWrap w:val="0"/>
            <w:vAlign w:val="center"/>
          </w:tcPr>
          <w:p w14:paraId="3E534566">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b/>
                <w:sz w:val="24"/>
              </w:rPr>
            </w:pPr>
            <w:r>
              <w:rPr>
                <w:rFonts w:hint="default" w:ascii="Times New Roman" w:hAnsi="Times New Roman" w:cs="Times New Roman"/>
                <w:b/>
                <w:sz w:val="24"/>
              </w:rPr>
              <w:t>执行标准</w:t>
            </w:r>
          </w:p>
        </w:tc>
      </w:tr>
      <w:tr w14:paraId="5267A4B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0" w:hRule="atLeast"/>
          <w:jc w:val="center"/>
        </w:trPr>
        <w:tc>
          <w:tcPr>
            <w:tcW w:w="879" w:type="dxa"/>
            <w:vMerge w:val="restart"/>
            <w:noWrap w:val="0"/>
            <w:vAlign w:val="center"/>
          </w:tcPr>
          <w:p w14:paraId="7F445F86">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b/>
                <w:sz w:val="24"/>
              </w:rPr>
            </w:pPr>
            <w:r>
              <w:rPr>
                <w:rFonts w:hint="default" w:ascii="Times New Roman" w:hAnsi="Times New Roman" w:cs="Times New Roman"/>
                <w:b/>
                <w:sz w:val="24"/>
              </w:rPr>
              <w:t>大气环境</w:t>
            </w:r>
          </w:p>
        </w:tc>
        <w:tc>
          <w:tcPr>
            <w:tcW w:w="1345" w:type="dxa"/>
            <w:vMerge w:val="restart"/>
            <w:noWrap w:val="0"/>
            <w:vAlign w:val="center"/>
          </w:tcPr>
          <w:p w14:paraId="670513FB">
            <w:pPr>
              <w:keepNext w:val="0"/>
              <w:keepLines w:val="0"/>
              <w:suppressLineNumbers w:val="0"/>
              <w:spacing w:before="0" w:beforeAutospacing="0" w:after="0" w:afterAutospacing="0" w:line="300" w:lineRule="exact"/>
              <w:ind w:left="0" w:right="0"/>
              <w:jc w:val="center"/>
              <w:rPr>
                <w:rFonts w:hint="eastAsia" w:ascii="Times New Roman" w:hAnsi="Times New Roman" w:cs="Times New Roman"/>
                <w:bCs/>
                <w:sz w:val="24"/>
                <w:szCs w:val="24"/>
              </w:rPr>
            </w:pPr>
            <w:r>
              <w:rPr>
                <w:rFonts w:hint="eastAsia" w:ascii="Times New Roman" w:hAnsi="Times New Roman" w:cs="Times New Roman"/>
                <w:bCs/>
                <w:sz w:val="24"/>
                <w:szCs w:val="24"/>
                <w:lang w:val="en-US" w:eastAsia="zh-CN"/>
              </w:rPr>
              <w:t>DA001</w:t>
            </w:r>
            <w:r>
              <w:rPr>
                <w:rFonts w:hint="eastAsia" w:ascii="Times New Roman" w:hAnsi="Times New Roman" w:eastAsia="宋体" w:cs="Times New Roman"/>
                <w:snapToGrid w:val="0"/>
                <w:color w:val="auto"/>
                <w:sz w:val="24"/>
                <w:szCs w:val="24"/>
                <w:lang w:val="en-US" w:eastAsia="zh-CN"/>
              </w:rPr>
              <w:t>非洁净车间吹膜、印刷、复合工序</w:t>
            </w:r>
            <w:r>
              <w:rPr>
                <w:rFonts w:hint="eastAsia" w:cs="Times New Roman"/>
                <w:snapToGrid w:val="0"/>
                <w:color w:val="auto"/>
                <w:sz w:val="24"/>
                <w:szCs w:val="24"/>
                <w:lang w:val="en-US" w:eastAsia="zh-CN"/>
              </w:rPr>
              <w:t>（依托）</w:t>
            </w:r>
          </w:p>
        </w:tc>
        <w:tc>
          <w:tcPr>
            <w:tcW w:w="1440" w:type="dxa"/>
            <w:noWrap w:val="0"/>
            <w:vAlign w:val="center"/>
          </w:tcPr>
          <w:p w14:paraId="1BA5D2A6">
            <w:pPr>
              <w:keepNext w:val="0"/>
              <w:keepLines w:val="0"/>
              <w:suppressLineNumbers w:val="0"/>
              <w:spacing w:before="0" w:beforeAutospacing="0" w:after="0" w:afterAutospacing="0" w:line="300" w:lineRule="exact"/>
              <w:ind w:left="0" w:right="0"/>
              <w:jc w:val="center"/>
              <w:rPr>
                <w:rFonts w:hint="eastAsia" w:ascii="Times New Roman" w:hAnsi="Times New Roman" w:cs="Times New Roman"/>
                <w:snapToGrid w:val="0"/>
                <w:color w:val="auto"/>
                <w:sz w:val="24"/>
                <w:szCs w:val="24"/>
                <w:lang w:val="en-US" w:eastAsia="zh-CN"/>
              </w:rPr>
            </w:pPr>
            <w:r>
              <w:rPr>
                <w:rFonts w:hint="eastAsia" w:ascii="Times New Roman" w:hAnsi="Times New Roman" w:cs="Times New Roman"/>
                <w:sz w:val="24"/>
                <w:szCs w:val="24"/>
                <w:lang w:val="en-US" w:eastAsia="zh-CN"/>
              </w:rPr>
              <w:t>非甲烷总烃</w:t>
            </w:r>
          </w:p>
        </w:tc>
        <w:tc>
          <w:tcPr>
            <w:tcW w:w="1349" w:type="dxa"/>
            <w:vMerge w:val="restart"/>
            <w:noWrap w:val="0"/>
            <w:vAlign w:val="center"/>
          </w:tcPr>
          <w:p w14:paraId="347BC8C0">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spacing w:val="-4"/>
                <w:sz w:val="24"/>
                <w:szCs w:val="24"/>
                <w:lang w:val="en-US"/>
              </w:rPr>
            </w:pPr>
            <w:r>
              <w:rPr>
                <w:rFonts w:hint="eastAsia" w:ascii="Times New Roman" w:hAnsi="Times New Roman" w:cs="Times New Roman"/>
                <w:sz w:val="24"/>
                <w:szCs w:val="24"/>
                <w:lang w:val="en-US" w:eastAsia="zh-CN"/>
              </w:rPr>
              <w:t>集气装置+二级活性炭吸附装置+15m高排气筒（DA001）</w:t>
            </w:r>
          </w:p>
        </w:tc>
        <w:tc>
          <w:tcPr>
            <w:tcW w:w="1306" w:type="dxa"/>
            <w:noWrap w:val="0"/>
            <w:vAlign w:val="center"/>
          </w:tcPr>
          <w:p w14:paraId="661DCEA7">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kern w:val="2"/>
                <w:sz w:val="24"/>
                <w:szCs w:val="24"/>
                <w:u w:val="none" w:color="000000"/>
                <w:lang w:eastAsia="zh-CN" w:bidi="ar-SA"/>
              </w:rPr>
            </w:pPr>
            <w:r>
              <w:rPr>
                <w:rFonts w:hint="eastAsia" w:ascii="Times New Roman" w:hAnsi="Times New Roman" w:eastAsia="宋体" w:cs="Times New Roman"/>
                <w:color w:val="auto"/>
                <w:sz w:val="24"/>
                <w:szCs w:val="24"/>
                <w:highlight w:val="none"/>
                <w:lang w:val="en-US" w:eastAsia="zh-CN"/>
              </w:rPr>
              <w:t>排放浓度：</w:t>
            </w:r>
            <w:r>
              <w:rPr>
                <w:rFonts w:hint="eastAsia" w:ascii="Times New Roman"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lang w:val="en-US" w:eastAsia="zh-CN"/>
              </w:rPr>
              <w:t xml:space="preserve">0 </w:t>
            </w:r>
            <w:r>
              <w:rPr>
                <w:rFonts w:hint="default" w:ascii="Times New Roman" w:hAnsi="Times New Roman" w:eastAsia="宋体" w:cs="Times New Roman"/>
                <w:color w:val="auto"/>
                <w:sz w:val="24"/>
                <w:szCs w:val="24"/>
                <w:highlight w:val="none"/>
              </w:rPr>
              <w:t>mg/m</w:t>
            </w:r>
            <w:r>
              <w:rPr>
                <w:rFonts w:hint="default" w:ascii="Times New Roman" w:hAnsi="Times New Roman" w:eastAsia="宋体" w:cs="Times New Roman"/>
                <w:color w:val="auto"/>
                <w:sz w:val="24"/>
                <w:szCs w:val="24"/>
                <w:highlight w:val="none"/>
                <w:vertAlign w:val="superscript"/>
              </w:rPr>
              <w:t>3</w:t>
            </w:r>
          </w:p>
        </w:tc>
        <w:tc>
          <w:tcPr>
            <w:tcW w:w="2741" w:type="dxa"/>
            <w:noWrap w:val="0"/>
            <w:vAlign w:val="center"/>
          </w:tcPr>
          <w:p w14:paraId="56DAC1C2">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eastAsia="宋体" w:cs="Times New Roman"/>
                <w:kern w:val="2"/>
                <w:sz w:val="24"/>
                <w:szCs w:val="24"/>
                <w:u w:val="none" w:color="000000"/>
                <w:lang w:val="en-US" w:eastAsia="zh-CN" w:bidi="ar-SA"/>
              </w:rPr>
            </w:pPr>
            <w:r>
              <w:rPr>
                <w:rFonts w:hint="default" w:ascii="Times New Roman" w:hAnsi="Times New Roman" w:eastAsia="宋体" w:cs="Times New Roman"/>
                <w:color w:val="auto"/>
                <w:kern w:val="0"/>
                <w:sz w:val="24"/>
                <w:szCs w:val="24"/>
                <w:highlight w:val="none"/>
                <w:lang w:val="en-US" w:eastAsia="zh-CN" w:bidi="ar-SA"/>
              </w:rPr>
              <w:t>《合成树脂工业污染物排放标准》（GB31572-2015，含2024修改单）表5大气污染物特别排放限值</w:t>
            </w:r>
            <w:r>
              <w:rPr>
                <w:rFonts w:hint="eastAsia" w:cs="Times New Roman"/>
                <w:color w:val="auto"/>
                <w:kern w:val="0"/>
                <w:sz w:val="24"/>
                <w:szCs w:val="24"/>
                <w:highlight w:val="none"/>
                <w:lang w:val="en-US" w:eastAsia="zh-CN" w:bidi="ar-SA"/>
              </w:rPr>
              <w:t>、</w:t>
            </w:r>
            <w:r>
              <w:rPr>
                <w:rFonts w:hint="default" w:ascii="Times New Roman" w:hAnsi="Times New Roman" w:eastAsia="宋体" w:cs="Times New Roman"/>
                <w:color w:val="auto"/>
                <w:kern w:val="0"/>
                <w:sz w:val="24"/>
                <w:szCs w:val="24"/>
                <w:highlight w:val="none"/>
                <w:lang w:val="en-US" w:eastAsia="zh-CN" w:bidi="ar-SA"/>
              </w:rPr>
              <w:t>《工业企业挥发性有机物排放控制标准》（DB13/2322-20</w:t>
            </w:r>
            <w:r>
              <w:rPr>
                <w:rFonts w:hint="eastAsia" w:cs="Times New Roman"/>
                <w:color w:val="auto"/>
                <w:kern w:val="0"/>
                <w:sz w:val="24"/>
                <w:szCs w:val="24"/>
                <w:highlight w:val="none"/>
                <w:lang w:val="en-US" w:eastAsia="zh-CN" w:bidi="ar-SA"/>
              </w:rPr>
              <w:t>25</w:t>
            </w:r>
            <w:r>
              <w:rPr>
                <w:rFonts w:hint="default" w:ascii="Times New Roman" w:hAnsi="Times New Roman" w:eastAsia="宋体" w:cs="Times New Roman"/>
                <w:color w:val="auto"/>
                <w:kern w:val="0"/>
                <w:sz w:val="24"/>
                <w:szCs w:val="24"/>
                <w:highlight w:val="none"/>
                <w:lang w:val="en-US" w:eastAsia="zh-CN" w:bidi="ar-SA"/>
              </w:rPr>
              <w:t>）表1中</w:t>
            </w:r>
            <w:r>
              <w:rPr>
                <w:rFonts w:hint="eastAsia" w:cs="Times New Roman"/>
                <w:color w:val="auto"/>
                <w:kern w:val="0"/>
                <w:sz w:val="24"/>
                <w:szCs w:val="24"/>
                <w:highlight w:val="none"/>
                <w:lang w:val="en-US" w:eastAsia="zh-CN" w:bidi="ar-SA"/>
              </w:rPr>
              <w:t>塑料制品制造行业</w:t>
            </w:r>
            <w:r>
              <w:rPr>
                <w:rFonts w:hint="default" w:ascii="Times New Roman" w:hAnsi="Times New Roman" w:eastAsia="宋体" w:cs="Times New Roman"/>
                <w:color w:val="auto"/>
                <w:kern w:val="0"/>
                <w:sz w:val="24"/>
                <w:szCs w:val="24"/>
                <w:highlight w:val="none"/>
                <w:lang w:val="en-US" w:eastAsia="zh-CN" w:bidi="ar-SA"/>
              </w:rPr>
              <w:t>排放限值要求</w:t>
            </w:r>
            <w:r>
              <w:rPr>
                <w:rFonts w:hint="eastAsia" w:cs="Times New Roman"/>
                <w:color w:val="auto"/>
                <w:kern w:val="0"/>
                <w:sz w:val="24"/>
                <w:szCs w:val="24"/>
                <w:highlight w:val="none"/>
                <w:lang w:val="en-US" w:eastAsia="zh-CN" w:bidi="ar-SA"/>
              </w:rPr>
              <w:t>、</w:t>
            </w:r>
            <w:r>
              <w:rPr>
                <w:rFonts w:hint="eastAsia" w:cs="Times New Roman"/>
                <w:color w:val="auto"/>
                <w:sz w:val="24"/>
                <w:szCs w:val="24"/>
                <w:lang w:eastAsia="zh-CN"/>
              </w:rPr>
              <w:t>《印刷工业挥发性有机物排放标准》（</w:t>
            </w:r>
            <w:r>
              <w:rPr>
                <w:rFonts w:hint="eastAsia" w:cs="Times New Roman"/>
                <w:color w:val="auto"/>
                <w:sz w:val="24"/>
                <w:szCs w:val="24"/>
                <w:lang w:val="en-US" w:eastAsia="zh-CN"/>
              </w:rPr>
              <w:t>DB13/6188-2025）表1中排放限值要求</w:t>
            </w:r>
          </w:p>
        </w:tc>
      </w:tr>
      <w:tr w14:paraId="4AB111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0" w:hRule="atLeast"/>
          <w:jc w:val="center"/>
        </w:trPr>
        <w:tc>
          <w:tcPr>
            <w:tcW w:w="879" w:type="dxa"/>
            <w:vMerge w:val="continue"/>
            <w:noWrap w:val="0"/>
            <w:vAlign w:val="center"/>
          </w:tcPr>
          <w:p w14:paraId="0831767A">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rPr>
            </w:pPr>
          </w:p>
        </w:tc>
        <w:tc>
          <w:tcPr>
            <w:tcW w:w="1345" w:type="dxa"/>
            <w:vMerge w:val="continue"/>
            <w:noWrap w:val="0"/>
            <w:vAlign w:val="center"/>
          </w:tcPr>
          <w:p w14:paraId="204F3E85">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sz w:val="24"/>
              </w:rPr>
            </w:pPr>
          </w:p>
        </w:tc>
        <w:tc>
          <w:tcPr>
            <w:tcW w:w="1440" w:type="dxa"/>
            <w:noWrap w:val="0"/>
            <w:vAlign w:val="center"/>
          </w:tcPr>
          <w:p w14:paraId="24C1B6F3">
            <w:pPr>
              <w:keepNext w:val="0"/>
              <w:keepLines w:val="0"/>
              <w:widowControl w:val="0"/>
              <w:suppressLineNumbers w:val="0"/>
              <w:adjustRightInd w:val="0"/>
              <w:snapToGrid w:val="0"/>
              <w:spacing w:before="0" w:beforeAutospacing="0" w:after="0" w:afterAutospacing="0" w:line="320" w:lineRule="atLeast"/>
              <w:ind w:left="0" w:right="0"/>
              <w:jc w:val="center"/>
              <w:rPr>
                <w:rFonts w:hint="eastAsia" w:ascii="Times New Roman" w:hAnsi="Times New Roman" w:cs="Times New Roman"/>
                <w:kern w:val="2"/>
                <w:sz w:val="24"/>
                <w:szCs w:val="24"/>
                <w:lang w:val="en-US" w:eastAsia="zh-CN" w:bidi="ar-SA"/>
              </w:rPr>
            </w:pPr>
            <w:r>
              <w:rPr>
                <w:rFonts w:hint="eastAsia" w:cs="Times New Roman"/>
                <w:sz w:val="24"/>
                <w:szCs w:val="24"/>
                <w:vertAlign w:val="superscript"/>
                <w:lang w:val="en-US" w:eastAsia="zh-CN"/>
              </w:rPr>
              <w:t>*</w:t>
            </w:r>
            <w:r>
              <w:rPr>
                <w:rFonts w:hint="eastAsia" w:ascii="Times New Roman" w:hAnsi="Times New Roman" w:cs="Times New Roman"/>
                <w:sz w:val="24"/>
                <w:szCs w:val="24"/>
                <w:lang w:val="en-US" w:eastAsia="zh-CN"/>
              </w:rPr>
              <w:t>二苯基甲烷二异氰酸酯（MDI）</w:t>
            </w:r>
          </w:p>
        </w:tc>
        <w:tc>
          <w:tcPr>
            <w:tcW w:w="1349" w:type="dxa"/>
            <w:vMerge w:val="continue"/>
            <w:noWrap w:val="0"/>
            <w:vAlign w:val="center"/>
          </w:tcPr>
          <w:p w14:paraId="0B967254">
            <w:pPr>
              <w:keepNext w:val="0"/>
              <w:keepLines w:val="0"/>
              <w:widowControl w:val="0"/>
              <w:suppressLineNumbers w:val="0"/>
              <w:adjustRightInd w:val="0"/>
              <w:snapToGrid w:val="0"/>
              <w:spacing w:before="0" w:beforeAutospacing="0" w:after="0" w:afterAutospacing="0" w:line="320" w:lineRule="atLeast"/>
              <w:ind w:left="0" w:right="0"/>
              <w:jc w:val="center"/>
              <w:rPr>
                <w:rFonts w:hint="eastAsia" w:ascii="Times New Roman" w:hAnsi="Times New Roman" w:cs="Times New Roman"/>
                <w:kern w:val="2"/>
                <w:sz w:val="24"/>
                <w:szCs w:val="24"/>
                <w:lang w:val="en-US" w:eastAsia="zh-CN" w:bidi="ar-SA"/>
              </w:rPr>
            </w:pPr>
          </w:p>
        </w:tc>
        <w:tc>
          <w:tcPr>
            <w:tcW w:w="1306" w:type="dxa"/>
            <w:noWrap w:val="0"/>
            <w:vAlign w:val="center"/>
          </w:tcPr>
          <w:p w14:paraId="202D2AE3">
            <w:pPr>
              <w:keepNext w:val="0"/>
              <w:keepLines w:val="0"/>
              <w:suppressLineNumbers w:val="0"/>
              <w:adjustRightInd w:val="0"/>
              <w:snapToGrid w:val="0"/>
              <w:spacing w:before="0" w:beforeAutospacing="0" w:after="0" w:afterAutospacing="0" w:line="300" w:lineRule="exact"/>
              <w:ind w:left="0" w:right="0"/>
              <w:jc w:val="center"/>
              <w:rPr>
                <w:rFonts w:hint="eastAsia" w:ascii="Times New Roman" w:hAnsi="Times New Roman" w:cs="Times New Roman"/>
                <w:sz w:val="24"/>
                <w:szCs w:val="24"/>
                <w:lang w:val="en-US" w:eastAsia="zh-CN"/>
              </w:rPr>
            </w:pPr>
            <w:r>
              <w:rPr>
                <w:rFonts w:hint="default" w:ascii="Times New Roman" w:hAnsi="Times New Roman" w:eastAsia="宋体" w:cs="Times New Roman"/>
                <w:color w:val="auto"/>
                <w:sz w:val="24"/>
                <w:szCs w:val="24"/>
                <w:highlight w:val="none"/>
                <w:lang w:eastAsia="zh-CN"/>
              </w:rPr>
              <w:t>最高排放浓度：</w:t>
            </w:r>
            <w:r>
              <w:rPr>
                <w:rFonts w:hint="eastAsia" w:ascii="Times New Roman" w:hAnsi="Times New Roman" w:eastAsia="宋体" w:cs="Times New Roman"/>
                <w:color w:val="auto"/>
                <w:sz w:val="24"/>
                <w:szCs w:val="24"/>
                <w:highlight w:val="none"/>
                <w:lang w:val="en-US" w:eastAsia="zh-CN"/>
              </w:rPr>
              <w:t>1.0</w:t>
            </w:r>
            <w:r>
              <w:rPr>
                <w:rFonts w:hint="default" w:ascii="Times New Roman" w:hAnsi="Times New Roman" w:eastAsia="宋体" w:cs="Times New Roman"/>
                <w:color w:val="auto"/>
                <w:sz w:val="24"/>
                <w:szCs w:val="24"/>
                <w:highlight w:val="none"/>
                <w:lang w:eastAsia="zh-CN"/>
              </w:rPr>
              <w:t>mg/m</w:t>
            </w:r>
            <w:r>
              <w:rPr>
                <w:rFonts w:hint="default" w:ascii="Times New Roman" w:hAnsi="Times New Roman" w:eastAsia="宋体" w:cs="Times New Roman"/>
                <w:color w:val="auto"/>
                <w:sz w:val="24"/>
                <w:szCs w:val="24"/>
                <w:highlight w:val="none"/>
                <w:vertAlign w:val="superscript"/>
                <w:lang w:eastAsia="zh-CN"/>
              </w:rPr>
              <w:t>3</w:t>
            </w:r>
          </w:p>
        </w:tc>
        <w:tc>
          <w:tcPr>
            <w:tcW w:w="2741" w:type="dxa"/>
            <w:noWrap w:val="0"/>
            <w:vAlign w:val="center"/>
          </w:tcPr>
          <w:p w14:paraId="5D5F855A">
            <w:pPr>
              <w:keepNext w:val="0"/>
              <w:keepLines w:val="0"/>
              <w:suppressLineNumbers w:val="0"/>
              <w:adjustRightInd w:val="0"/>
              <w:snapToGrid w:val="0"/>
              <w:spacing w:before="0" w:beforeAutospacing="0" w:after="0" w:afterAutospacing="0" w:line="300" w:lineRule="exact"/>
              <w:ind w:left="0" w:right="0"/>
              <w:jc w:val="center"/>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《合成树脂工业污染物排放标准》（GB31572-2015）表5大气污染物特别排放限值</w:t>
            </w:r>
          </w:p>
        </w:tc>
      </w:tr>
      <w:tr w14:paraId="277FEE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0" w:hRule="atLeast"/>
          <w:jc w:val="center"/>
        </w:trPr>
        <w:tc>
          <w:tcPr>
            <w:tcW w:w="879" w:type="dxa"/>
            <w:vMerge w:val="continue"/>
            <w:noWrap w:val="0"/>
            <w:vAlign w:val="center"/>
          </w:tcPr>
          <w:p w14:paraId="4BA615D9">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rPr>
            </w:pPr>
          </w:p>
        </w:tc>
        <w:tc>
          <w:tcPr>
            <w:tcW w:w="1345" w:type="dxa"/>
            <w:vMerge w:val="continue"/>
            <w:noWrap w:val="0"/>
            <w:vAlign w:val="center"/>
          </w:tcPr>
          <w:p w14:paraId="5F4A8055">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sz w:val="24"/>
              </w:rPr>
            </w:pPr>
          </w:p>
        </w:tc>
        <w:tc>
          <w:tcPr>
            <w:tcW w:w="1440" w:type="dxa"/>
            <w:shd w:val="clear" w:color="auto" w:fill="auto"/>
            <w:noWrap w:val="0"/>
            <w:vAlign w:val="center"/>
          </w:tcPr>
          <w:p w14:paraId="307859FA">
            <w:pPr>
              <w:keepNext w:val="0"/>
              <w:keepLines w:val="0"/>
              <w:widowControl w:val="0"/>
              <w:suppressLineNumbers w:val="0"/>
              <w:adjustRightInd w:val="0"/>
              <w:snapToGrid w:val="0"/>
              <w:spacing w:before="0" w:beforeAutospacing="0" w:after="0" w:afterAutospacing="0" w:line="320" w:lineRule="atLeast"/>
              <w:ind w:left="0" w:right="0"/>
              <w:jc w:val="center"/>
              <w:rPr>
                <w:rFonts w:hint="default" w:ascii="Times New Roman" w:hAnsi="Times New Roman" w:eastAsia="宋体" w:cs="Times New Roman"/>
                <w:kern w:val="2"/>
                <w:sz w:val="24"/>
                <w:szCs w:val="24"/>
                <w:lang w:val="en-US" w:eastAsia="zh-CN" w:bidi="ar-SA"/>
              </w:rPr>
            </w:pPr>
            <w:r>
              <w:rPr>
                <w:rFonts w:hint="eastAsia"/>
                <w:snapToGrid w:val="0"/>
                <w:color w:val="auto"/>
                <w:sz w:val="24"/>
                <w:szCs w:val="24"/>
                <w:lang w:val="en-US" w:eastAsia="zh-CN"/>
              </w:rPr>
              <w:t>臭气浓度</w:t>
            </w:r>
          </w:p>
        </w:tc>
        <w:tc>
          <w:tcPr>
            <w:tcW w:w="1349" w:type="dxa"/>
            <w:vMerge w:val="continue"/>
            <w:shd w:val="clear" w:color="auto" w:fill="auto"/>
            <w:noWrap w:val="0"/>
            <w:vAlign w:val="center"/>
          </w:tcPr>
          <w:p w14:paraId="1C1154D9">
            <w:pPr>
              <w:keepNext w:val="0"/>
              <w:keepLines w:val="0"/>
              <w:widowControl w:val="0"/>
              <w:suppressLineNumbers w:val="0"/>
              <w:adjustRightInd w:val="0"/>
              <w:snapToGrid w:val="0"/>
              <w:spacing w:before="0" w:beforeAutospacing="0" w:after="0" w:afterAutospacing="0" w:line="320" w:lineRule="atLeast"/>
              <w:ind w:left="0" w:right="0"/>
              <w:jc w:val="center"/>
              <w:rPr>
                <w:rFonts w:hint="eastAsia" w:ascii="Times New Roman" w:hAnsi="Times New Roman" w:eastAsia="宋体" w:cs="Times New Roman"/>
                <w:kern w:val="2"/>
                <w:sz w:val="24"/>
                <w:szCs w:val="24"/>
                <w:lang w:val="en-US" w:eastAsia="zh-CN" w:bidi="ar-SA"/>
              </w:rPr>
            </w:pPr>
          </w:p>
        </w:tc>
        <w:tc>
          <w:tcPr>
            <w:tcW w:w="1306" w:type="dxa"/>
            <w:shd w:val="clear" w:color="auto" w:fill="auto"/>
            <w:noWrap w:val="0"/>
            <w:vAlign w:val="center"/>
          </w:tcPr>
          <w:p w14:paraId="6F7604D6">
            <w:pPr>
              <w:keepNext w:val="0"/>
              <w:keepLines w:val="0"/>
              <w:suppressLineNumbers w:val="0"/>
              <w:spacing w:before="0" w:beforeAutospacing="0" w:after="0" w:afterAutospacing="0"/>
              <w:ind w:left="0" w:right="0"/>
              <w:jc w:val="center"/>
              <w:rPr>
                <w:rFonts w:hint="default"/>
                <w:sz w:val="24"/>
                <w:szCs w:val="24"/>
                <w:highlight w:val="none"/>
              </w:rPr>
            </w:pPr>
            <w:r>
              <w:rPr>
                <w:rFonts w:hint="eastAsia" w:ascii="Times New Roman" w:hAnsi="Times New Roman" w:cs="Times New Roman"/>
                <w:color w:val="auto"/>
                <w:sz w:val="24"/>
                <w:szCs w:val="24"/>
                <w:highlight w:val="none"/>
                <w:lang w:val="en-US" w:eastAsia="zh-CN"/>
              </w:rPr>
              <w:t>臭气浓度：</w:t>
            </w:r>
            <w:r>
              <w:rPr>
                <w:rFonts w:hint="eastAsia"/>
                <w:sz w:val="24"/>
                <w:szCs w:val="24"/>
                <w:highlight w:val="none"/>
                <w:lang w:val="en-US" w:eastAsia="zh-CN"/>
              </w:rPr>
              <w:t>6</w:t>
            </w:r>
            <w:r>
              <w:rPr>
                <w:rFonts w:hint="default"/>
                <w:sz w:val="24"/>
                <w:szCs w:val="24"/>
                <w:highlight w:val="none"/>
              </w:rPr>
              <w:t>000</w:t>
            </w:r>
            <w:r>
              <w:rPr>
                <w:rFonts w:hint="eastAsia"/>
                <w:sz w:val="24"/>
                <w:szCs w:val="24"/>
                <w:highlight w:val="none"/>
              </w:rPr>
              <w:t>（无量纲）</w:t>
            </w:r>
          </w:p>
          <w:p w14:paraId="5770AF89">
            <w:pPr>
              <w:keepNext w:val="0"/>
              <w:keepLines w:val="0"/>
              <w:widowControl w:val="0"/>
              <w:suppressLineNumbers w:val="0"/>
              <w:adjustRightInd w:val="0"/>
              <w:snapToGrid w:val="0"/>
              <w:spacing w:before="0" w:beforeAutospacing="0" w:after="0" w:afterAutospacing="0" w:line="300" w:lineRule="atLeast"/>
              <w:ind w:left="0" w:right="0"/>
              <w:jc w:val="center"/>
              <w:rPr>
                <w:rFonts w:hint="default" w:ascii="Times New Roman" w:hAnsi="Times New Roman" w:eastAsia="宋体" w:cs="Times New Roman"/>
                <w:kern w:val="2"/>
                <w:sz w:val="24"/>
                <w:szCs w:val="24"/>
                <w:lang w:val="en-US" w:eastAsia="zh-CN" w:bidi="ar-SA"/>
              </w:rPr>
            </w:pPr>
            <w:r>
              <w:rPr>
                <w:rFonts w:hint="eastAsia"/>
                <w:sz w:val="24"/>
                <w:szCs w:val="24"/>
                <w:highlight w:val="none"/>
                <w:lang w:val="en-US" w:eastAsia="zh-CN"/>
              </w:rPr>
              <w:t>2</w:t>
            </w:r>
            <w:r>
              <w:rPr>
                <w:rFonts w:hint="default"/>
                <w:sz w:val="24"/>
                <w:szCs w:val="24"/>
                <w:highlight w:val="none"/>
              </w:rPr>
              <w:t>5m</w:t>
            </w:r>
            <w:r>
              <w:rPr>
                <w:rFonts w:hint="eastAsia"/>
                <w:sz w:val="24"/>
                <w:szCs w:val="24"/>
                <w:highlight w:val="none"/>
              </w:rPr>
              <w:t>高排气筒</w:t>
            </w:r>
          </w:p>
        </w:tc>
        <w:tc>
          <w:tcPr>
            <w:tcW w:w="2741" w:type="dxa"/>
            <w:shd w:val="clear" w:color="auto" w:fill="auto"/>
            <w:noWrap w:val="0"/>
            <w:vAlign w:val="center"/>
          </w:tcPr>
          <w:p w14:paraId="478BB46B">
            <w:pPr>
              <w:keepNext w:val="0"/>
              <w:keepLines w:val="0"/>
              <w:widowControl w:val="0"/>
              <w:suppressLineNumbers w:val="0"/>
              <w:adjustRightInd w:val="0"/>
              <w:snapToGrid w:val="0"/>
              <w:spacing w:before="0" w:beforeAutospacing="0" w:after="0" w:afterAutospacing="0" w:line="300" w:lineRule="atLeast"/>
              <w:ind w:left="0" w:right="0"/>
              <w:jc w:val="center"/>
              <w:rPr>
                <w:rFonts w:hint="eastAsia" w:ascii="Times New Roman" w:hAnsi="Times New Roman" w:eastAsia="宋体" w:cs="Times New Roman"/>
                <w:kern w:val="2"/>
                <w:sz w:val="24"/>
                <w:szCs w:val="24"/>
                <w:lang w:val="en-US" w:eastAsia="zh-CN" w:bidi="ar-SA"/>
              </w:rPr>
            </w:pPr>
            <w:r>
              <w:rPr>
                <w:rFonts w:hint="eastAsia"/>
                <w:sz w:val="24"/>
                <w:szCs w:val="24"/>
                <w:highlight w:val="none"/>
              </w:rPr>
              <w:t>《恶臭污染物排放标准》（G</w:t>
            </w:r>
            <w:r>
              <w:rPr>
                <w:rFonts w:hint="default"/>
                <w:sz w:val="24"/>
                <w:szCs w:val="24"/>
                <w:highlight w:val="none"/>
              </w:rPr>
              <w:t>B14554-93</w:t>
            </w:r>
            <w:r>
              <w:rPr>
                <w:rFonts w:hint="eastAsia"/>
                <w:sz w:val="24"/>
                <w:szCs w:val="24"/>
                <w:highlight w:val="none"/>
              </w:rPr>
              <w:t>）表2中排放标准值要求</w:t>
            </w:r>
          </w:p>
        </w:tc>
      </w:tr>
      <w:tr w14:paraId="7DFB1B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879" w:type="dxa"/>
            <w:vMerge w:val="continue"/>
            <w:noWrap w:val="0"/>
            <w:vAlign w:val="center"/>
          </w:tcPr>
          <w:p w14:paraId="2B46F62B">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rPr>
            </w:pPr>
          </w:p>
        </w:tc>
        <w:tc>
          <w:tcPr>
            <w:tcW w:w="1345" w:type="dxa"/>
            <w:vMerge w:val="restart"/>
            <w:noWrap w:val="0"/>
            <w:vAlign w:val="center"/>
          </w:tcPr>
          <w:p w14:paraId="050C0327">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DA002非洁净车间印刷、复合、固化工序</w:t>
            </w:r>
            <w:r>
              <w:rPr>
                <w:rFonts w:hint="eastAsia" w:cs="Times New Roman"/>
                <w:sz w:val="24"/>
                <w:lang w:val="en-US" w:eastAsia="zh-CN"/>
              </w:rPr>
              <w:t>和洁净车间水性油墨配制、擦拭（依托）</w:t>
            </w:r>
          </w:p>
        </w:tc>
        <w:tc>
          <w:tcPr>
            <w:tcW w:w="1440" w:type="dxa"/>
            <w:noWrap w:val="0"/>
            <w:vAlign w:val="center"/>
          </w:tcPr>
          <w:p w14:paraId="1BDAE3E3">
            <w:pPr>
              <w:keepNext w:val="0"/>
              <w:keepLines w:val="0"/>
              <w:suppressLineNumbers w:val="0"/>
              <w:spacing w:before="0" w:beforeAutospacing="0" w:after="0" w:afterAutospacing="0" w:line="300" w:lineRule="exact"/>
              <w:ind w:left="0" w:right="0"/>
              <w:jc w:val="center"/>
              <w:rPr>
                <w:rFonts w:hint="eastAsia" w:ascii="Times New Roman" w:hAnsi="Times New Roman" w:cs="Times New Roman"/>
                <w:snapToGrid w:val="0"/>
                <w:color w:val="auto"/>
                <w:kern w:val="2"/>
                <w:sz w:val="24"/>
                <w:szCs w:val="24"/>
                <w:lang w:val="en-US" w:eastAsia="zh-CN" w:bidi="ar-SA"/>
              </w:rPr>
            </w:pPr>
            <w:r>
              <w:rPr>
                <w:rFonts w:hint="eastAsia" w:ascii="Times New Roman" w:hAnsi="Times New Roman" w:cs="Times New Roman"/>
                <w:sz w:val="24"/>
                <w:szCs w:val="24"/>
                <w:lang w:val="en-US" w:eastAsia="zh-CN"/>
              </w:rPr>
              <w:t>非甲烷总烃</w:t>
            </w:r>
          </w:p>
        </w:tc>
        <w:tc>
          <w:tcPr>
            <w:tcW w:w="1349" w:type="dxa"/>
            <w:vMerge w:val="restart"/>
            <w:noWrap w:val="0"/>
            <w:vAlign w:val="center"/>
          </w:tcPr>
          <w:p w14:paraId="1B954106">
            <w:pPr>
              <w:keepNext w:val="0"/>
              <w:keepLines w:val="0"/>
              <w:suppressLineNumbers w:val="0"/>
              <w:adjustRightInd w:val="0"/>
              <w:snapToGrid w:val="0"/>
              <w:spacing w:before="0" w:beforeAutospacing="0" w:after="0" w:afterAutospacing="0" w:line="300" w:lineRule="exact"/>
              <w:ind w:left="0" w:right="0"/>
              <w:jc w:val="center"/>
              <w:rPr>
                <w:rFonts w:hint="eastAsia" w:ascii="Times New Roman" w:hAnsi="Times New Roman" w:cs="Times New Roman"/>
                <w:spacing w:val="-4"/>
                <w:kern w:val="2"/>
                <w:sz w:val="24"/>
                <w:szCs w:val="24"/>
                <w:lang w:val="en-US" w:eastAsia="zh-CN" w:bidi="ar-SA"/>
              </w:rPr>
            </w:pPr>
            <w:r>
              <w:rPr>
                <w:rFonts w:hint="eastAsia" w:ascii="Times New Roman" w:hAnsi="Times New Roman" w:cs="Times New Roman"/>
                <w:sz w:val="24"/>
                <w:szCs w:val="24"/>
                <w:lang w:val="en-US" w:eastAsia="zh-CN"/>
              </w:rPr>
              <w:t>集气装置+二级活性炭吸附装置+15m高排气筒（DA002）</w:t>
            </w:r>
          </w:p>
        </w:tc>
        <w:tc>
          <w:tcPr>
            <w:tcW w:w="1306" w:type="dxa"/>
            <w:noWrap w:val="0"/>
            <w:vAlign w:val="center"/>
          </w:tcPr>
          <w:p w14:paraId="5E2B3E45">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Times New Roman" w:hAnsi="Times New Roman" w:eastAsia="宋体" w:cs="Times New Roman"/>
                <w:kern w:val="2"/>
                <w:sz w:val="24"/>
                <w:szCs w:val="24"/>
                <w:u w:val="none" w:color="000000"/>
                <w:lang w:val="en-US" w:eastAsia="zh-CN" w:bidi="ar-SA"/>
              </w:rPr>
            </w:pPr>
            <w:r>
              <w:rPr>
                <w:rFonts w:hint="eastAsia" w:ascii="Times New Roman" w:hAnsi="Times New Roman" w:eastAsia="宋体" w:cs="Times New Roman"/>
                <w:color w:val="auto"/>
                <w:sz w:val="24"/>
                <w:szCs w:val="24"/>
                <w:highlight w:val="none"/>
                <w:lang w:val="en-US" w:eastAsia="zh-CN"/>
              </w:rPr>
              <w:t>排放浓度：</w:t>
            </w:r>
            <w:r>
              <w:rPr>
                <w:rFonts w:hint="eastAsia" w:ascii="Times New Roman"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lang w:val="en-US" w:eastAsia="zh-CN"/>
              </w:rPr>
              <w:t xml:space="preserve">0 </w:t>
            </w:r>
            <w:r>
              <w:rPr>
                <w:rFonts w:hint="default" w:ascii="Times New Roman" w:hAnsi="Times New Roman" w:eastAsia="宋体" w:cs="Times New Roman"/>
                <w:color w:val="auto"/>
                <w:sz w:val="24"/>
                <w:szCs w:val="24"/>
                <w:highlight w:val="none"/>
              </w:rPr>
              <w:t>mg/m</w:t>
            </w:r>
            <w:r>
              <w:rPr>
                <w:rFonts w:hint="default" w:ascii="Times New Roman" w:hAnsi="Times New Roman" w:eastAsia="宋体" w:cs="Times New Roman"/>
                <w:color w:val="auto"/>
                <w:sz w:val="24"/>
                <w:szCs w:val="24"/>
                <w:highlight w:val="none"/>
                <w:vertAlign w:val="superscript"/>
              </w:rPr>
              <w:t>3</w:t>
            </w:r>
          </w:p>
        </w:tc>
        <w:tc>
          <w:tcPr>
            <w:tcW w:w="2741" w:type="dxa"/>
            <w:noWrap w:val="0"/>
            <w:vAlign w:val="center"/>
          </w:tcPr>
          <w:p w14:paraId="67165F93">
            <w:pPr>
              <w:keepNext w:val="0"/>
              <w:keepLines w:val="0"/>
              <w:suppressLineNumbers w:val="0"/>
              <w:adjustRightInd w:val="0"/>
              <w:snapToGrid w:val="0"/>
              <w:spacing w:before="0" w:beforeAutospacing="0" w:after="0" w:afterAutospacing="0" w:line="300" w:lineRule="exact"/>
              <w:ind w:left="0" w:right="0"/>
              <w:jc w:val="center"/>
              <w:rPr>
                <w:rFonts w:hint="eastAsia" w:ascii="Times New Roman" w:hAnsi="Times New Roman" w:eastAsia="宋体" w:cs="Times New Roman"/>
                <w:kern w:val="2"/>
                <w:sz w:val="24"/>
                <w:szCs w:val="24"/>
                <w:u w:val="none" w:color="000000"/>
                <w:lang w:val="en-US" w:eastAsia="zh-CN" w:bidi="ar-SA"/>
              </w:rPr>
            </w:pPr>
            <w:r>
              <w:rPr>
                <w:rFonts w:hint="default" w:ascii="Times New Roman" w:hAnsi="Times New Roman" w:eastAsia="宋体" w:cs="Times New Roman"/>
                <w:color w:val="auto"/>
                <w:kern w:val="0"/>
                <w:sz w:val="24"/>
                <w:szCs w:val="24"/>
                <w:highlight w:val="none"/>
                <w:lang w:val="en-US" w:eastAsia="zh-CN" w:bidi="ar-SA"/>
              </w:rPr>
              <w:t>《合成树脂工业污染物排放标准》（GB31572-2015，含2024修改单）表5大气污染物特别排放限值</w:t>
            </w:r>
            <w:r>
              <w:rPr>
                <w:rFonts w:hint="eastAsia" w:cs="Times New Roman"/>
                <w:color w:val="auto"/>
                <w:kern w:val="0"/>
                <w:sz w:val="24"/>
                <w:szCs w:val="24"/>
                <w:highlight w:val="none"/>
                <w:lang w:val="en-US" w:eastAsia="zh-CN" w:bidi="ar-SA"/>
              </w:rPr>
              <w:t>、</w:t>
            </w:r>
            <w:r>
              <w:rPr>
                <w:rFonts w:hint="default" w:ascii="Times New Roman" w:hAnsi="Times New Roman" w:eastAsia="宋体" w:cs="Times New Roman"/>
                <w:color w:val="auto"/>
                <w:kern w:val="0"/>
                <w:sz w:val="24"/>
                <w:szCs w:val="24"/>
                <w:highlight w:val="none"/>
                <w:lang w:val="en-US" w:eastAsia="zh-CN" w:bidi="ar-SA"/>
              </w:rPr>
              <w:t>《工业企业挥发性有机物排放控制标准》（DB13/2322-20</w:t>
            </w:r>
            <w:r>
              <w:rPr>
                <w:rFonts w:hint="eastAsia" w:cs="Times New Roman"/>
                <w:color w:val="auto"/>
                <w:kern w:val="0"/>
                <w:sz w:val="24"/>
                <w:szCs w:val="24"/>
                <w:highlight w:val="none"/>
                <w:lang w:val="en-US" w:eastAsia="zh-CN" w:bidi="ar-SA"/>
              </w:rPr>
              <w:t>25</w:t>
            </w:r>
            <w:r>
              <w:rPr>
                <w:rFonts w:hint="default" w:ascii="Times New Roman" w:hAnsi="Times New Roman" w:eastAsia="宋体" w:cs="Times New Roman"/>
                <w:color w:val="auto"/>
                <w:kern w:val="0"/>
                <w:sz w:val="24"/>
                <w:szCs w:val="24"/>
                <w:highlight w:val="none"/>
                <w:lang w:val="en-US" w:eastAsia="zh-CN" w:bidi="ar-SA"/>
              </w:rPr>
              <w:t>）表1中</w:t>
            </w:r>
            <w:r>
              <w:rPr>
                <w:rFonts w:hint="eastAsia" w:cs="Times New Roman"/>
                <w:color w:val="auto"/>
                <w:kern w:val="0"/>
                <w:sz w:val="24"/>
                <w:szCs w:val="24"/>
                <w:highlight w:val="none"/>
                <w:lang w:val="en-US" w:eastAsia="zh-CN" w:bidi="ar-SA"/>
              </w:rPr>
              <w:t>塑料制品制造行业</w:t>
            </w:r>
            <w:r>
              <w:rPr>
                <w:rFonts w:hint="default" w:ascii="Times New Roman" w:hAnsi="Times New Roman" w:eastAsia="宋体" w:cs="Times New Roman"/>
                <w:color w:val="auto"/>
                <w:kern w:val="0"/>
                <w:sz w:val="24"/>
                <w:szCs w:val="24"/>
                <w:highlight w:val="none"/>
                <w:lang w:val="en-US" w:eastAsia="zh-CN" w:bidi="ar-SA"/>
              </w:rPr>
              <w:t>排放限值要求</w:t>
            </w:r>
            <w:r>
              <w:rPr>
                <w:rFonts w:hint="eastAsia" w:cs="Times New Roman"/>
                <w:color w:val="auto"/>
                <w:kern w:val="0"/>
                <w:sz w:val="24"/>
                <w:szCs w:val="24"/>
                <w:highlight w:val="none"/>
                <w:lang w:val="en-US" w:eastAsia="zh-CN" w:bidi="ar-SA"/>
              </w:rPr>
              <w:t>、</w:t>
            </w:r>
            <w:r>
              <w:rPr>
                <w:rFonts w:hint="eastAsia" w:cs="Times New Roman"/>
                <w:color w:val="auto"/>
                <w:sz w:val="24"/>
                <w:szCs w:val="24"/>
                <w:lang w:eastAsia="zh-CN"/>
              </w:rPr>
              <w:t>《印刷工业挥发性有机物排放标准》（</w:t>
            </w:r>
            <w:r>
              <w:rPr>
                <w:rFonts w:hint="eastAsia" w:cs="Times New Roman"/>
                <w:color w:val="auto"/>
                <w:sz w:val="24"/>
                <w:szCs w:val="24"/>
                <w:lang w:val="en-US" w:eastAsia="zh-CN"/>
              </w:rPr>
              <w:t>DB13/6188-2025）表1中排放限值要求</w:t>
            </w:r>
          </w:p>
        </w:tc>
      </w:tr>
      <w:tr w14:paraId="2430E68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5" w:hRule="atLeast"/>
          <w:jc w:val="center"/>
        </w:trPr>
        <w:tc>
          <w:tcPr>
            <w:tcW w:w="879" w:type="dxa"/>
            <w:vMerge w:val="continue"/>
            <w:noWrap w:val="0"/>
            <w:vAlign w:val="center"/>
          </w:tcPr>
          <w:p w14:paraId="1A59A5C2">
            <w:pPr>
              <w:keepNext w:val="0"/>
              <w:keepLines w:val="0"/>
              <w:widowControl w:val="0"/>
              <w:suppressLineNumbers w:val="0"/>
              <w:adjustRightInd w:val="0"/>
              <w:snapToGrid w:val="0"/>
              <w:spacing w:before="0" w:beforeAutospacing="0" w:after="0" w:afterAutospacing="0" w:line="300" w:lineRule="atLeast"/>
              <w:ind w:left="0" w:right="0"/>
              <w:jc w:val="center"/>
              <w:rPr>
                <w:rFonts w:hint="default" w:ascii="Times New Roman" w:hAnsi="Times New Roman" w:cs="Times New Roman"/>
              </w:rPr>
            </w:pPr>
          </w:p>
        </w:tc>
        <w:tc>
          <w:tcPr>
            <w:tcW w:w="1345" w:type="dxa"/>
            <w:vMerge w:val="continue"/>
            <w:noWrap w:val="0"/>
            <w:vAlign w:val="center"/>
          </w:tcPr>
          <w:p w14:paraId="09C7847B">
            <w:pPr>
              <w:keepNext w:val="0"/>
              <w:keepLines w:val="0"/>
              <w:widowControl w:val="0"/>
              <w:suppressLineNumbers w:val="0"/>
              <w:adjustRightInd w:val="0"/>
              <w:snapToGrid w:val="0"/>
              <w:spacing w:before="0" w:beforeAutospacing="0" w:after="0" w:afterAutospacing="0" w:line="300" w:lineRule="atLeast"/>
              <w:ind w:left="0" w:right="0"/>
              <w:jc w:val="center"/>
              <w:rPr>
                <w:rFonts w:hint="default" w:ascii="Times New Roman" w:hAnsi="Times New Roman" w:cs="Times New Roman"/>
                <w:sz w:val="24"/>
              </w:rPr>
            </w:pPr>
          </w:p>
        </w:tc>
        <w:tc>
          <w:tcPr>
            <w:tcW w:w="1440" w:type="dxa"/>
            <w:noWrap w:val="0"/>
            <w:vAlign w:val="center"/>
          </w:tcPr>
          <w:p w14:paraId="091FBC15">
            <w:pPr>
              <w:keepNext w:val="0"/>
              <w:keepLines w:val="0"/>
              <w:widowControl w:val="0"/>
              <w:suppressLineNumbers w:val="0"/>
              <w:adjustRightInd w:val="0"/>
              <w:snapToGrid w:val="0"/>
              <w:spacing w:before="0" w:beforeAutospacing="0" w:after="0" w:afterAutospacing="0" w:line="320" w:lineRule="atLeast"/>
              <w:ind w:left="0" w:right="0"/>
              <w:jc w:val="center"/>
              <w:rPr>
                <w:rFonts w:hint="eastAsia" w:ascii="Times New Roman" w:hAnsi="Times New Roman" w:cs="Times New Roman"/>
                <w:kern w:val="2"/>
                <w:sz w:val="24"/>
                <w:szCs w:val="24"/>
                <w:lang w:val="en-US" w:eastAsia="zh-CN" w:bidi="ar-SA"/>
              </w:rPr>
            </w:pPr>
            <w:r>
              <w:rPr>
                <w:rFonts w:hint="eastAsia" w:cs="Times New Roman"/>
                <w:sz w:val="24"/>
                <w:szCs w:val="24"/>
                <w:vertAlign w:val="superscript"/>
                <w:lang w:val="en-US" w:eastAsia="zh-CN"/>
              </w:rPr>
              <w:t>*</w:t>
            </w:r>
            <w:r>
              <w:rPr>
                <w:rFonts w:hint="eastAsia" w:ascii="Times New Roman" w:hAnsi="Times New Roman" w:cs="Times New Roman"/>
                <w:sz w:val="24"/>
                <w:szCs w:val="24"/>
                <w:lang w:val="en-US" w:eastAsia="zh-CN"/>
              </w:rPr>
              <w:t>二苯基甲烷二异氰酸酯（MDI）</w:t>
            </w:r>
          </w:p>
        </w:tc>
        <w:tc>
          <w:tcPr>
            <w:tcW w:w="1349" w:type="dxa"/>
            <w:vMerge w:val="continue"/>
            <w:noWrap w:val="0"/>
            <w:vAlign w:val="center"/>
          </w:tcPr>
          <w:p w14:paraId="76969D73">
            <w:pPr>
              <w:keepNext w:val="0"/>
              <w:keepLines w:val="0"/>
              <w:widowControl w:val="0"/>
              <w:suppressLineNumbers w:val="0"/>
              <w:adjustRightInd w:val="0"/>
              <w:snapToGrid w:val="0"/>
              <w:spacing w:before="0" w:beforeAutospacing="0" w:after="0" w:afterAutospacing="0" w:line="300" w:lineRule="atLeast"/>
              <w:ind w:left="0" w:right="0"/>
              <w:jc w:val="center"/>
              <w:rPr>
                <w:rFonts w:hint="eastAsia" w:ascii="Times New Roman" w:hAnsi="Times New Roman" w:cs="Times New Roman"/>
                <w:sz w:val="24"/>
                <w:szCs w:val="24"/>
                <w:lang w:val="en-US" w:eastAsia="zh-CN"/>
              </w:rPr>
            </w:pPr>
          </w:p>
        </w:tc>
        <w:tc>
          <w:tcPr>
            <w:tcW w:w="1306" w:type="dxa"/>
            <w:noWrap w:val="0"/>
            <w:vAlign w:val="center"/>
          </w:tcPr>
          <w:p w14:paraId="408B1129">
            <w:pPr>
              <w:keepNext w:val="0"/>
              <w:keepLines w:val="0"/>
              <w:suppressLineNumbers w:val="0"/>
              <w:adjustRightInd w:val="0"/>
              <w:snapToGrid w:val="0"/>
              <w:spacing w:before="0" w:beforeAutospacing="0" w:after="0" w:afterAutospacing="0" w:line="300" w:lineRule="exact"/>
              <w:ind w:left="0" w:right="0"/>
              <w:jc w:val="center"/>
              <w:rPr>
                <w:rFonts w:hint="eastAsia" w:ascii="Times New Roman" w:hAnsi="Times New Roman" w:cs="Times New Roman"/>
                <w:kern w:val="2"/>
                <w:sz w:val="24"/>
                <w:szCs w:val="24"/>
                <w:lang w:val="en-US" w:eastAsia="zh-CN" w:bidi="ar-SA"/>
              </w:rPr>
            </w:pPr>
            <w:r>
              <w:rPr>
                <w:rFonts w:hint="default" w:ascii="Times New Roman" w:hAnsi="Times New Roman" w:eastAsia="宋体" w:cs="Times New Roman"/>
                <w:color w:val="auto"/>
                <w:sz w:val="24"/>
                <w:szCs w:val="24"/>
                <w:highlight w:val="none"/>
                <w:lang w:eastAsia="zh-CN"/>
              </w:rPr>
              <w:t>最高排放浓度：</w:t>
            </w:r>
            <w:r>
              <w:rPr>
                <w:rFonts w:hint="eastAsia" w:ascii="Times New Roman" w:hAnsi="Times New Roman" w:eastAsia="宋体" w:cs="Times New Roman"/>
                <w:color w:val="auto"/>
                <w:sz w:val="24"/>
                <w:szCs w:val="24"/>
                <w:highlight w:val="none"/>
                <w:lang w:val="en-US" w:eastAsia="zh-CN"/>
              </w:rPr>
              <w:t>1.0</w:t>
            </w:r>
            <w:r>
              <w:rPr>
                <w:rFonts w:hint="default" w:ascii="Times New Roman" w:hAnsi="Times New Roman" w:eastAsia="宋体" w:cs="Times New Roman"/>
                <w:color w:val="auto"/>
                <w:sz w:val="24"/>
                <w:szCs w:val="24"/>
                <w:highlight w:val="none"/>
                <w:lang w:eastAsia="zh-CN"/>
              </w:rPr>
              <w:t>mg/m</w:t>
            </w:r>
            <w:r>
              <w:rPr>
                <w:rFonts w:hint="default" w:ascii="Times New Roman" w:hAnsi="Times New Roman" w:eastAsia="宋体" w:cs="Times New Roman"/>
                <w:color w:val="auto"/>
                <w:sz w:val="24"/>
                <w:szCs w:val="24"/>
                <w:highlight w:val="none"/>
                <w:vertAlign w:val="superscript"/>
                <w:lang w:eastAsia="zh-CN"/>
              </w:rPr>
              <w:t>3</w:t>
            </w:r>
          </w:p>
        </w:tc>
        <w:tc>
          <w:tcPr>
            <w:tcW w:w="2741" w:type="dxa"/>
            <w:noWrap w:val="0"/>
            <w:vAlign w:val="center"/>
          </w:tcPr>
          <w:p w14:paraId="474DD078">
            <w:pPr>
              <w:keepNext w:val="0"/>
              <w:keepLines w:val="0"/>
              <w:suppressLineNumbers w:val="0"/>
              <w:adjustRightInd w:val="0"/>
              <w:snapToGrid w:val="0"/>
              <w:spacing w:before="0" w:beforeAutospacing="0" w:after="0" w:afterAutospacing="0" w:line="300" w:lineRule="exact"/>
              <w:ind w:left="0" w:right="0"/>
              <w:jc w:val="center"/>
              <w:rPr>
                <w:rFonts w:hint="eastAsia" w:ascii="Times New Roman" w:hAnsi="Times New Roman" w:cs="Times New Roman"/>
                <w:kern w:val="2"/>
                <w:sz w:val="24"/>
                <w:szCs w:val="24"/>
                <w:lang w:val="en-US" w:eastAsia="zh-CN" w:bidi="ar-SA"/>
              </w:rPr>
            </w:pPr>
            <w:r>
              <w:rPr>
                <w:rFonts w:hint="eastAsia" w:ascii="Times New Roman" w:hAnsi="Times New Roman" w:cs="Times New Roman"/>
                <w:sz w:val="24"/>
                <w:szCs w:val="24"/>
                <w:lang w:val="en-US" w:eastAsia="zh-CN"/>
              </w:rPr>
              <w:t>《合成树脂工业污染物排放标准》（GB31572-2015）表5大气污染物特别排放限值</w:t>
            </w:r>
          </w:p>
        </w:tc>
      </w:tr>
      <w:tr w14:paraId="443A2EB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5" w:hRule="atLeast"/>
          <w:jc w:val="center"/>
        </w:trPr>
        <w:tc>
          <w:tcPr>
            <w:tcW w:w="879" w:type="dxa"/>
            <w:vMerge w:val="continue"/>
            <w:noWrap w:val="0"/>
            <w:vAlign w:val="center"/>
          </w:tcPr>
          <w:p w14:paraId="5B95029C">
            <w:pPr>
              <w:keepNext w:val="0"/>
              <w:keepLines w:val="0"/>
              <w:widowControl w:val="0"/>
              <w:suppressLineNumbers w:val="0"/>
              <w:adjustRightInd w:val="0"/>
              <w:snapToGrid w:val="0"/>
              <w:spacing w:before="0" w:beforeAutospacing="0" w:after="0" w:afterAutospacing="0" w:line="300" w:lineRule="atLeast"/>
              <w:ind w:left="0" w:right="0"/>
              <w:jc w:val="center"/>
              <w:rPr>
                <w:rFonts w:hint="default" w:ascii="Times New Roman" w:hAnsi="Times New Roman" w:cs="Times New Roman"/>
              </w:rPr>
            </w:pPr>
          </w:p>
        </w:tc>
        <w:tc>
          <w:tcPr>
            <w:tcW w:w="1345" w:type="dxa"/>
            <w:vMerge w:val="continue"/>
            <w:noWrap w:val="0"/>
            <w:vAlign w:val="center"/>
          </w:tcPr>
          <w:p w14:paraId="0AD76B3E">
            <w:pPr>
              <w:keepNext w:val="0"/>
              <w:keepLines w:val="0"/>
              <w:widowControl w:val="0"/>
              <w:suppressLineNumbers w:val="0"/>
              <w:adjustRightInd w:val="0"/>
              <w:snapToGrid w:val="0"/>
              <w:spacing w:before="0" w:beforeAutospacing="0" w:after="0" w:afterAutospacing="0" w:line="300" w:lineRule="atLeast"/>
              <w:ind w:left="0" w:right="0"/>
              <w:jc w:val="center"/>
              <w:rPr>
                <w:rFonts w:hint="default" w:ascii="Times New Roman" w:hAnsi="Times New Roman" w:cs="Times New Roman"/>
                <w:sz w:val="24"/>
              </w:rPr>
            </w:pPr>
          </w:p>
        </w:tc>
        <w:tc>
          <w:tcPr>
            <w:tcW w:w="1440" w:type="dxa"/>
            <w:shd w:val="clear" w:color="auto" w:fill="auto"/>
            <w:noWrap w:val="0"/>
            <w:vAlign w:val="center"/>
          </w:tcPr>
          <w:p w14:paraId="06548CF7">
            <w:pPr>
              <w:keepNext w:val="0"/>
              <w:keepLines w:val="0"/>
              <w:widowControl w:val="0"/>
              <w:suppressLineNumbers w:val="0"/>
              <w:adjustRightInd w:val="0"/>
              <w:snapToGrid w:val="0"/>
              <w:spacing w:before="0" w:beforeAutospacing="0" w:after="0" w:afterAutospacing="0" w:line="320" w:lineRule="atLeast"/>
              <w:ind w:left="0" w:leftChars="0" w:right="0" w:rightChars="0"/>
              <w:jc w:val="center"/>
              <w:rPr>
                <w:rFonts w:hint="eastAsia" w:ascii="Times New Roman" w:hAnsi="Times New Roman" w:eastAsia="宋体" w:cs="Times New Roman"/>
                <w:kern w:val="2"/>
                <w:sz w:val="24"/>
                <w:szCs w:val="24"/>
                <w:lang w:val="en-US" w:eastAsia="zh-CN" w:bidi="ar-SA"/>
              </w:rPr>
            </w:pPr>
            <w:r>
              <w:rPr>
                <w:rFonts w:hint="eastAsia"/>
                <w:snapToGrid w:val="0"/>
                <w:color w:val="auto"/>
                <w:sz w:val="24"/>
                <w:szCs w:val="24"/>
                <w:lang w:val="en-US" w:eastAsia="zh-CN"/>
              </w:rPr>
              <w:t>臭气浓度</w:t>
            </w:r>
          </w:p>
        </w:tc>
        <w:tc>
          <w:tcPr>
            <w:tcW w:w="1349" w:type="dxa"/>
            <w:vMerge w:val="continue"/>
            <w:shd w:val="clear" w:color="auto" w:fill="auto"/>
            <w:noWrap w:val="0"/>
            <w:vAlign w:val="center"/>
          </w:tcPr>
          <w:p w14:paraId="6E55A29F">
            <w:pPr>
              <w:keepNext w:val="0"/>
              <w:keepLines w:val="0"/>
              <w:widowControl w:val="0"/>
              <w:suppressLineNumbers w:val="0"/>
              <w:adjustRightInd w:val="0"/>
              <w:snapToGrid w:val="0"/>
              <w:spacing w:before="0" w:beforeAutospacing="0" w:after="0" w:afterAutospacing="0" w:line="320" w:lineRule="atLeast"/>
              <w:ind w:left="0" w:leftChars="0" w:right="0" w:rightChars="0"/>
              <w:jc w:val="center"/>
              <w:rPr>
                <w:rFonts w:hint="eastAsia" w:ascii="Times New Roman" w:hAnsi="Times New Roman" w:eastAsia="宋体" w:cs="Times New Roman"/>
                <w:kern w:val="2"/>
                <w:sz w:val="24"/>
                <w:szCs w:val="24"/>
                <w:lang w:val="en-US" w:eastAsia="zh-CN" w:bidi="ar-SA"/>
              </w:rPr>
            </w:pPr>
          </w:p>
        </w:tc>
        <w:tc>
          <w:tcPr>
            <w:tcW w:w="1306" w:type="dxa"/>
            <w:shd w:val="clear" w:color="auto" w:fill="auto"/>
            <w:noWrap w:val="0"/>
            <w:vAlign w:val="center"/>
          </w:tcPr>
          <w:p w14:paraId="316C164B">
            <w:pPr>
              <w:keepNext w:val="0"/>
              <w:keepLines w:val="0"/>
              <w:suppressLineNumbers w:val="0"/>
              <w:spacing w:before="0" w:beforeAutospacing="0" w:after="0" w:afterAutospacing="0"/>
              <w:ind w:left="0" w:right="0"/>
              <w:jc w:val="center"/>
              <w:rPr>
                <w:rFonts w:hint="default"/>
                <w:sz w:val="24"/>
                <w:szCs w:val="24"/>
                <w:highlight w:val="none"/>
              </w:rPr>
            </w:pPr>
            <w:r>
              <w:rPr>
                <w:rFonts w:hint="eastAsia" w:ascii="Times New Roman" w:hAnsi="Times New Roman" w:cs="Times New Roman"/>
                <w:color w:val="auto"/>
                <w:sz w:val="24"/>
                <w:szCs w:val="24"/>
                <w:highlight w:val="none"/>
                <w:lang w:val="en-US" w:eastAsia="zh-CN"/>
              </w:rPr>
              <w:t>臭气浓度：</w:t>
            </w:r>
            <w:r>
              <w:rPr>
                <w:rFonts w:hint="eastAsia"/>
                <w:sz w:val="24"/>
                <w:szCs w:val="24"/>
                <w:highlight w:val="none"/>
                <w:lang w:val="en-US" w:eastAsia="zh-CN"/>
              </w:rPr>
              <w:t>6</w:t>
            </w:r>
            <w:r>
              <w:rPr>
                <w:rFonts w:hint="default"/>
                <w:sz w:val="24"/>
                <w:szCs w:val="24"/>
                <w:highlight w:val="none"/>
              </w:rPr>
              <w:t>000</w:t>
            </w:r>
            <w:r>
              <w:rPr>
                <w:rFonts w:hint="eastAsia"/>
                <w:sz w:val="24"/>
                <w:szCs w:val="24"/>
                <w:highlight w:val="none"/>
              </w:rPr>
              <w:t>（无量纲）</w:t>
            </w:r>
          </w:p>
          <w:p w14:paraId="26A7A5C6">
            <w:pPr>
              <w:keepNext w:val="0"/>
              <w:keepLines w:val="0"/>
              <w:widowControl w:val="0"/>
              <w:suppressLineNumbers w:val="0"/>
              <w:adjustRightInd w:val="0"/>
              <w:snapToGrid w:val="0"/>
              <w:spacing w:before="0" w:beforeAutospacing="0" w:after="0" w:afterAutospacing="0" w:line="300" w:lineRule="atLeast"/>
              <w:ind w:left="0" w:leftChars="0" w:right="0" w:rightChars="0"/>
              <w:jc w:val="center"/>
              <w:rPr>
                <w:rFonts w:hint="default" w:ascii="Times New Roman" w:hAnsi="Times New Roman" w:eastAsia="宋体" w:cs="Times New Roman"/>
                <w:kern w:val="2"/>
                <w:sz w:val="24"/>
                <w:szCs w:val="24"/>
                <w:lang w:val="en-US" w:eastAsia="zh-CN" w:bidi="ar-SA"/>
              </w:rPr>
            </w:pPr>
            <w:r>
              <w:rPr>
                <w:rFonts w:hint="eastAsia"/>
                <w:sz w:val="24"/>
                <w:szCs w:val="24"/>
                <w:highlight w:val="none"/>
                <w:lang w:val="en-US" w:eastAsia="zh-CN"/>
              </w:rPr>
              <w:t>2</w:t>
            </w:r>
            <w:r>
              <w:rPr>
                <w:rFonts w:hint="default"/>
                <w:sz w:val="24"/>
                <w:szCs w:val="24"/>
                <w:highlight w:val="none"/>
              </w:rPr>
              <w:t>5m</w:t>
            </w:r>
            <w:r>
              <w:rPr>
                <w:rFonts w:hint="eastAsia"/>
                <w:sz w:val="24"/>
                <w:szCs w:val="24"/>
                <w:highlight w:val="none"/>
              </w:rPr>
              <w:t>高排气筒</w:t>
            </w:r>
          </w:p>
        </w:tc>
        <w:tc>
          <w:tcPr>
            <w:tcW w:w="2741" w:type="dxa"/>
            <w:shd w:val="clear" w:color="auto" w:fill="auto"/>
            <w:noWrap w:val="0"/>
            <w:vAlign w:val="center"/>
          </w:tcPr>
          <w:p w14:paraId="08B48712">
            <w:pPr>
              <w:keepNext w:val="0"/>
              <w:keepLines w:val="0"/>
              <w:widowControl w:val="0"/>
              <w:suppressLineNumbers w:val="0"/>
              <w:adjustRightInd w:val="0"/>
              <w:snapToGrid w:val="0"/>
              <w:spacing w:before="0" w:beforeAutospacing="0" w:after="0" w:afterAutospacing="0" w:line="300" w:lineRule="atLeast"/>
              <w:ind w:left="0" w:leftChars="0" w:right="0" w:rightChars="0"/>
              <w:jc w:val="center"/>
              <w:rPr>
                <w:rFonts w:hint="eastAsia" w:ascii="Times New Roman" w:hAnsi="Times New Roman" w:eastAsia="宋体" w:cs="Times New Roman"/>
                <w:kern w:val="2"/>
                <w:sz w:val="24"/>
                <w:szCs w:val="24"/>
                <w:lang w:val="en-US" w:eastAsia="zh-CN" w:bidi="ar-SA"/>
              </w:rPr>
            </w:pPr>
            <w:r>
              <w:rPr>
                <w:rFonts w:hint="eastAsia"/>
                <w:sz w:val="24"/>
                <w:szCs w:val="24"/>
                <w:highlight w:val="none"/>
              </w:rPr>
              <w:t>《恶臭污染物排放标准》（G</w:t>
            </w:r>
            <w:r>
              <w:rPr>
                <w:rFonts w:hint="default"/>
                <w:sz w:val="24"/>
                <w:szCs w:val="24"/>
                <w:highlight w:val="none"/>
              </w:rPr>
              <w:t>B14554-93</w:t>
            </w:r>
            <w:r>
              <w:rPr>
                <w:rFonts w:hint="eastAsia"/>
                <w:sz w:val="24"/>
                <w:szCs w:val="24"/>
                <w:highlight w:val="none"/>
              </w:rPr>
              <w:t>）表2中排放标准值要求</w:t>
            </w:r>
          </w:p>
        </w:tc>
      </w:tr>
      <w:tr w14:paraId="13A8B21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879" w:type="dxa"/>
            <w:vMerge w:val="continue"/>
            <w:noWrap w:val="0"/>
            <w:vAlign w:val="center"/>
          </w:tcPr>
          <w:p w14:paraId="1A6DBCB4">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rPr>
            </w:pPr>
          </w:p>
        </w:tc>
        <w:tc>
          <w:tcPr>
            <w:tcW w:w="1345" w:type="dxa"/>
            <w:vMerge w:val="restart"/>
            <w:noWrap w:val="0"/>
            <w:vAlign w:val="center"/>
          </w:tcPr>
          <w:p w14:paraId="70572F77">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DA003洁净车间印刷、复合、固化工序</w:t>
            </w:r>
            <w:r>
              <w:rPr>
                <w:rFonts w:hint="eastAsia" w:cs="Times New Roman"/>
                <w:sz w:val="24"/>
                <w:lang w:val="en-US" w:eastAsia="zh-CN"/>
              </w:rPr>
              <w:t>（新增）</w:t>
            </w:r>
          </w:p>
        </w:tc>
        <w:tc>
          <w:tcPr>
            <w:tcW w:w="1440" w:type="dxa"/>
            <w:noWrap w:val="0"/>
            <w:vAlign w:val="center"/>
          </w:tcPr>
          <w:p w14:paraId="404C82DB">
            <w:pPr>
              <w:keepNext w:val="0"/>
              <w:keepLines w:val="0"/>
              <w:suppressLineNumbers w:val="0"/>
              <w:spacing w:before="0" w:beforeAutospacing="0" w:after="0" w:afterAutospacing="0" w:line="300" w:lineRule="exact"/>
              <w:ind w:left="0" w:right="0"/>
              <w:jc w:val="center"/>
              <w:rPr>
                <w:rFonts w:hint="eastAsia" w:ascii="Times New Roman" w:hAnsi="Times New Roman" w:cs="Times New Roman"/>
                <w:snapToGrid w:val="0"/>
                <w:color w:val="auto"/>
                <w:kern w:val="2"/>
                <w:sz w:val="24"/>
                <w:szCs w:val="24"/>
                <w:lang w:val="en-US" w:eastAsia="zh-CN" w:bidi="ar-SA"/>
              </w:rPr>
            </w:pPr>
            <w:r>
              <w:rPr>
                <w:rFonts w:hint="eastAsia" w:ascii="Times New Roman" w:hAnsi="Times New Roman" w:cs="Times New Roman"/>
                <w:sz w:val="24"/>
                <w:szCs w:val="24"/>
                <w:lang w:val="en-US" w:eastAsia="zh-CN"/>
              </w:rPr>
              <w:t>非甲烷总烃</w:t>
            </w:r>
          </w:p>
        </w:tc>
        <w:tc>
          <w:tcPr>
            <w:tcW w:w="1349" w:type="dxa"/>
            <w:vMerge w:val="restart"/>
            <w:noWrap w:val="0"/>
            <w:vAlign w:val="center"/>
          </w:tcPr>
          <w:p w14:paraId="4BE8825F">
            <w:pPr>
              <w:keepNext w:val="0"/>
              <w:keepLines w:val="0"/>
              <w:suppressLineNumbers w:val="0"/>
              <w:adjustRightInd w:val="0"/>
              <w:snapToGrid w:val="0"/>
              <w:spacing w:before="0" w:beforeAutospacing="0" w:after="0" w:afterAutospacing="0" w:line="300" w:lineRule="exact"/>
              <w:ind w:left="0" w:right="0"/>
              <w:jc w:val="center"/>
              <w:rPr>
                <w:rFonts w:hint="eastAsia" w:ascii="Times New Roman" w:hAnsi="Times New Roman" w:cs="Times New Roman"/>
                <w:spacing w:val="-4"/>
                <w:kern w:val="2"/>
                <w:sz w:val="24"/>
                <w:szCs w:val="24"/>
                <w:lang w:val="en-US" w:eastAsia="zh-CN" w:bidi="ar-SA"/>
              </w:rPr>
            </w:pPr>
            <w:r>
              <w:rPr>
                <w:rFonts w:hint="eastAsia" w:ascii="Times New Roman" w:hAnsi="Times New Roman" w:cs="Times New Roman"/>
                <w:sz w:val="24"/>
                <w:szCs w:val="24"/>
                <w:lang w:val="en-US" w:eastAsia="zh-CN"/>
              </w:rPr>
              <w:t>集气装置+二级活性炭吸附装置+15m高排气筒（DA003）</w:t>
            </w:r>
          </w:p>
        </w:tc>
        <w:tc>
          <w:tcPr>
            <w:tcW w:w="1306" w:type="dxa"/>
            <w:noWrap w:val="0"/>
            <w:vAlign w:val="center"/>
          </w:tcPr>
          <w:p w14:paraId="12946D83">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kern w:val="2"/>
                <w:sz w:val="24"/>
                <w:szCs w:val="24"/>
                <w:u w:val="none" w:color="000000"/>
                <w:lang w:val="en-US" w:eastAsia="zh-CN" w:bidi="ar-SA"/>
              </w:rPr>
            </w:pPr>
            <w:r>
              <w:rPr>
                <w:rFonts w:hint="eastAsia" w:ascii="Times New Roman" w:hAnsi="Times New Roman" w:eastAsia="宋体" w:cs="Times New Roman"/>
                <w:color w:val="auto"/>
                <w:sz w:val="24"/>
                <w:szCs w:val="24"/>
                <w:highlight w:val="none"/>
                <w:lang w:val="en-US" w:eastAsia="zh-CN"/>
              </w:rPr>
              <w:t>排放浓度：</w:t>
            </w:r>
            <w:r>
              <w:rPr>
                <w:rFonts w:hint="eastAsia" w:ascii="Times New Roman"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lang w:val="en-US" w:eastAsia="zh-CN"/>
              </w:rPr>
              <w:t xml:space="preserve">0 </w:t>
            </w:r>
            <w:r>
              <w:rPr>
                <w:rFonts w:hint="default" w:ascii="Times New Roman" w:hAnsi="Times New Roman" w:eastAsia="宋体" w:cs="Times New Roman"/>
                <w:color w:val="auto"/>
                <w:sz w:val="24"/>
                <w:szCs w:val="24"/>
                <w:highlight w:val="none"/>
              </w:rPr>
              <w:t>mg/m</w:t>
            </w:r>
            <w:r>
              <w:rPr>
                <w:rFonts w:hint="default" w:ascii="Times New Roman" w:hAnsi="Times New Roman" w:eastAsia="宋体" w:cs="Times New Roman"/>
                <w:color w:val="auto"/>
                <w:sz w:val="24"/>
                <w:szCs w:val="24"/>
                <w:highlight w:val="none"/>
                <w:vertAlign w:val="superscript"/>
              </w:rPr>
              <w:t>3</w:t>
            </w:r>
          </w:p>
        </w:tc>
        <w:tc>
          <w:tcPr>
            <w:tcW w:w="2741" w:type="dxa"/>
            <w:noWrap w:val="0"/>
            <w:vAlign w:val="center"/>
          </w:tcPr>
          <w:p w14:paraId="036E39AC">
            <w:pPr>
              <w:keepNext w:val="0"/>
              <w:keepLines w:val="0"/>
              <w:suppressLineNumbers w:val="0"/>
              <w:adjustRightInd w:val="0"/>
              <w:snapToGrid w:val="0"/>
              <w:spacing w:before="0" w:beforeAutospacing="0" w:after="0" w:afterAutospacing="0" w:line="300" w:lineRule="exact"/>
              <w:ind w:left="0" w:right="0"/>
              <w:jc w:val="center"/>
              <w:rPr>
                <w:rFonts w:hint="eastAsia" w:ascii="Times New Roman" w:hAnsi="Times New Roman" w:eastAsia="宋体" w:cs="Times New Roman"/>
                <w:kern w:val="2"/>
                <w:sz w:val="24"/>
                <w:szCs w:val="24"/>
                <w:u w:val="none" w:color="000000"/>
                <w:lang w:val="en-US" w:eastAsia="zh-CN" w:bidi="ar-SA"/>
              </w:rPr>
            </w:pPr>
            <w:r>
              <w:rPr>
                <w:rFonts w:hint="default" w:ascii="Times New Roman" w:hAnsi="Times New Roman" w:eastAsia="宋体" w:cs="Times New Roman"/>
                <w:color w:val="auto"/>
                <w:kern w:val="0"/>
                <w:sz w:val="24"/>
                <w:szCs w:val="24"/>
                <w:highlight w:val="none"/>
                <w:lang w:val="en-US" w:eastAsia="zh-CN" w:bidi="ar-SA"/>
              </w:rPr>
              <w:t>《合成树脂工业污染物排放标准》（GB31572-2015，含2024修改单）表5大气污染物特别排放限值</w:t>
            </w:r>
            <w:r>
              <w:rPr>
                <w:rFonts w:hint="eastAsia" w:cs="Times New Roman"/>
                <w:color w:val="auto"/>
                <w:kern w:val="0"/>
                <w:sz w:val="24"/>
                <w:szCs w:val="24"/>
                <w:highlight w:val="none"/>
                <w:lang w:val="en-US" w:eastAsia="zh-CN" w:bidi="ar-SA"/>
              </w:rPr>
              <w:t>、</w:t>
            </w:r>
            <w:r>
              <w:rPr>
                <w:rFonts w:hint="default" w:ascii="Times New Roman" w:hAnsi="Times New Roman" w:eastAsia="宋体" w:cs="Times New Roman"/>
                <w:color w:val="auto"/>
                <w:kern w:val="0"/>
                <w:sz w:val="24"/>
                <w:szCs w:val="24"/>
                <w:highlight w:val="none"/>
                <w:lang w:val="en-US" w:eastAsia="zh-CN" w:bidi="ar-SA"/>
              </w:rPr>
              <w:t>《工业企业挥发性有机物排放控制标准》（DB13/2322-20</w:t>
            </w:r>
            <w:r>
              <w:rPr>
                <w:rFonts w:hint="eastAsia" w:cs="Times New Roman"/>
                <w:color w:val="auto"/>
                <w:kern w:val="0"/>
                <w:sz w:val="24"/>
                <w:szCs w:val="24"/>
                <w:highlight w:val="none"/>
                <w:lang w:val="en-US" w:eastAsia="zh-CN" w:bidi="ar-SA"/>
              </w:rPr>
              <w:t>25</w:t>
            </w:r>
            <w:r>
              <w:rPr>
                <w:rFonts w:hint="default" w:ascii="Times New Roman" w:hAnsi="Times New Roman" w:eastAsia="宋体" w:cs="Times New Roman"/>
                <w:color w:val="auto"/>
                <w:kern w:val="0"/>
                <w:sz w:val="24"/>
                <w:szCs w:val="24"/>
                <w:highlight w:val="none"/>
                <w:lang w:val="en-US" w:eastAsia="zh-CN" w:bidi="ar-SA"/>
              </w:rPr>
              <w:t>）表1中</w:t>
            </w:r>
            <w:r>
              <w:rPr>
                <w:rFonts w:hint="eastAsia" w:cs="Times New Roman"/>
                <w:color w:val="auto"/>
                <w:kern w:val="0"/>
                <w:sz w:val="24"/>
                <w:szCs w:val="24"/>
                <w:highlight w:val="none"/>
                <w:lang w:val="en-US" w:eastAsia="zh-CN" w:bidi="ar-SA"/>
              </w:rPr>
              <w:t>塑料制品制造行业</w:t>
            </w:r>
            <w:r>
              <w:rPr>
                <w:rFonts w:hint="default" w:ascii="Times New Roman" w:hAnsi="Times New Roman" w:eastAsia="宋体" w:cs="Times New Roman"/>
                <w:color w:val="auto"/>
                <w:kern w:val="0"/>
                <w:sz w:val="24"/>
                <w:szCs w:val="24"/>
                <w:highlight w:val="none"/>
                <w:lang w:val="en-US" w:eastAsia="zh-CN" w:bidi="ar-SA"/>
              </w:rPr>
              <w:t>排放限值要求</w:t>
            </w:r>
            <w:r>
              <w:rPr>
                <w:rFonts w:hint="eastAsia" w:cs="Times New Roman"/>
                <w:color w:val="auto"/>
                <w:kern w:val="0"/>
                <w:sz w:val="24"/>
                <w:szCs w:val="24"/>
                <w:highlight w:val="none"/>
                <w:lang w:val="en-US" w:eastAsia="zh-CN" w:bidi="ar-SA"/>
              </w:rPr>
              <w:t>、</w:t>
            </w:r>
            <w:r>
              <w:rPr>
                <w:rFonts w:hint="eastAsia" w:cs="Times New Roman"/>
                <w:color w:val="auto"/>
                <w:sz w:val="24"/>
                <w:szCs w:val="24"/>
                <w:lang w:eastAsia="zh-CN"/>
              </w:rPr>
              <w:t>《印刷工业挥发性有机物排放标准》（</w:t>
            </w:r>
            <w:r>
              <w:rPr>
                <w:rFonts w:hint="eastAsia" w:cs="Times New Roman"/>
                <w:color w:val="auto"/>
                <w:sz w:val="24"/>
                <w:szCs w:val="24"/>
                <w:lang w:val="en-US" w:eastAsia="zh-CN"/>
              </w:rPr>
              <w:t>DB13/6188-2025）表1中排放限值要求</w:t>
            </w:r>
          </w:p>
        </w:tc>
      </w:tr>
      <w:tr w14:paraId="4D5B969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879" w:type="dxa"/>
            <w:vMerge w:val="continue"/>
            <w:noWrap w:val="0"/>
            <w:vAlign w:val="center"/>
          </w:tcPr>
          <w:p w14:paraId="69B71425">
            <w:pPr>
              <w:keepNext w:val="0"/>
              <w:keepLines w:val="0"/>
              <w:widowControl w:val="0"/>
              <w:suppressLineNumbers w:val="0"/>
              <w:adjustRightInd w:val="0"/>
              <w:snapToGrid w:val="0"/>
              <w:spacing w:before="0" w:beforeAutospacing="0" w:after="0" w:afterAutospacing="0" w:line="300" w:lineRule="atLeast"/>
              <w:ind w:left="0" w:right="0"/>
              <w:jc w:val="center"/>
              <w:rPr>
                <w:rFonts w:hint="default" w:ascii="Times New Roman" w:hAnsi="Times New Roman" w:cs="Times New Roman"/>
              </w:rPr>
            </w:pPr>
          </w:p>
        </w:tc>
        <w:tc>
          <w:tcPr>
            <w:tcW w:w="1345" w:type="dxa"/>
            <w:vMerge w:val="continue"/>
            <w:noWrap w:val="0"/>
            <w:vAlign w:val="center"/>
          </w:tcPr>
          <w:p w14:paraId="7C655784">
            <w:pPr>
              <w:keepNext w:val="0"/>
              <w:keepLines w:val="0"/>
              <w:widowControl w:val="0"/>
              <w:suppressLineNumbers w:val="0"/>
              <w:adjustRightInd w:val="0"/>
              <w:snapToGrid w:val="0"/>
              <w:spacing w:before="0" w:beforeAutospacing="0" w:after="0" w:afterAutospacing="0" w:line="300" w:lineRule="atLeast"/>
              <w:ind w:left="0" w:right="0"/>
              <w:jc w:val="center"/>
              <w:rPr>
                <w:rFonts w:hint="default" w:ascii="Times New Roman" w:hAnsi="Times New Roman" w:cs="Times New Roman"/>
                <w:sz w:val="24"/>
              </w:rPr>
            </w:pPr>
          </w:p>
        </w:tc>
        <w:tc>
          <w:tcPr>
            <w:tcW w:w="1440" w:type="dxa"/>
            <w:noWrap w:val="0"/>
            <w:vAlign w:val="center"/>
          </w:tcPr>
          <w:p w14:paraId="6BFA2B5E">
            <w:pPr>
              <w:keepNext w:val="0"/>
              <w:keepLines w:val="0"/>
              <w:widowControl w:val="0"/>
              <w:suppressLineNumbers w:val="0"/>
              <w:adjustRightInd w:val="0"/>
              <w:snapToGrid w:val="0"/>
              <w:spacing w:before="0" w:beforeAutospacing="0" w:after="0" w:afterAutospacing="0" w:line="320" w:lineRule="atLeast"/>
              <w:ind w:left="0" w:right="0"/>
              <w:jc w:val="center"/>
              <w:rPr>
                <w:rFonts w:hint="eastAsia" w:ascii="Times New Roman" w:hAnsi="Times New Roman" w:cs="Times New Roman"/>
                <w:kern w:val="2"/>
                <w:sz w:val="24"/>
                <w:szCs w:val="24"/>
                <w:lang w:val="en-US" w:eastAsia="zh-CN" w:bidi="ar-SA"/>
              </w:rPr>
            </w:pPr>
            <w:r>
              <w:rPr>
                <w:rFonts w:hint="eastAsia" w:cs="Times New Roman"/>
                <w:sz w:val="24"/>
                <w:szCs w:val="24"/>
                <w:vertAlign w:val="superscript"/>
                <w:lang w:val="en-US" w:eastAsia="zh-CN"/>
              </w:rPr>
              <w:t>*</w:t>
            </w:r>
            <w:r>
              <w:rPr>
                <w:rFonts w:hint="eastAsia" w:ascii="Times New Roman" w:hAnsi="Times New Roman" w:cs="Times New Roman"/>
                <w:sz w:val="24"/>
                <w:szCs w:val="24"/>
                <w:lang w:val="en-US" w:eastAsia="zh-CN"/>
              </w:rPr>
              <w:t>二苯基甲烷二异氰酸酯（MDI）</w:t>
            </w:r>
          </w:p>
        </w:tc>
        <w:tc>
          <w:tcPr>
            <w:tcW w:w="1349" w:type="dxa"/>
            <w:vMerge w:val="continue"/>
            <w:noWrap w:val="0"/>
            <w:vAlign w:val="center"/>
          </w:tcPr>
          <w:p w14:paraId="24124E4B">
            <w:pPr>
              <w:keepNext w:val="0"/>
              <w:keepLines w:val="0"/>
              <w:widowControl w:val="0"/>
              <w:suppressLineNumbers w:val="0"/>
              <w:adjustRightInd w:val="0"/>
              <w:snapToGrid w:val="0"/>
              <w:spacing w:before="0" w:beforeAutospacing="0" w:after="0" w:afterAutospacing="0" w:line="300" w:lineRule="atLeast"/>
              <w:ind w:left="0" w:right="0"/>
              <w:jc w:val="center"/>
              <w:rPr>
                <w:rFonts w:hint="eastAsia" w:ascii="Times New Roman" w:hAnsi="Times New Roman" w:cs="Times New Roman"/>
                <w:snapToGrid w:val="0"/>
                <w:color w:val="auto"/>
                <w:sz w:val="24"/>
                <w:szCs w:val="24"/>
                <w:lang w:val="en-US" w:eastAsia="zh-CN"/>
              </w:rPr>
            </w:pPr>
          </w:p>
        </w:tc>
        <w:tc>
          <w:tcPr>
            <w:tcW w:w="1306" w:type="dxa"/>
            <w:noWrap w:val="0"/>
            <w:vAlign w:val="center"/>
          </w:tcPr>
          <w:p w14:paraId="373F5EE5">
            <w:pPr>
              <w:keepNext w:val="0"/>
              <w:keepLines w:val="0"/>
              <w:suppressLineNumbers w:val="0"/>
              <w:adjustRightInd w:val="0"/>
              <w:snapToGrid w:val="0"/>
              <w:spacing w:before="0" w:beforeAutospacing="0" w:after="0" w:afterAutospacing="0" w:line="300" w:lineRule="exact"/>
              <w:ind w:left="0" w:right="0"/>
              <w:jc w:val="center"/>
              <w:rPr>
                <w:rFonts w:hint="eastAsia" w:ascii="Times New Roman" w:hAnsi="Times New Roman" w:cs="Times New Roman"/>
                <w:kern w:val="2"/>
                <w:sz w:val="24"/>
                <w:szCs w:val="24"/>
                <w:lang w:val="en-US" w:eastAsia="zh-CN" w:bidi="ar-SA"/>
              </w:rPr>
            </w:pPr>
            <w:r>
              <w:rPr>
                <w:rFonts w:hint="default" w:ascii="Times New Roman" w:hAnsi="Times New Roman" w:eastAsia="宋体" w:cs="Times New Roman"/>
                <w:color w:val="auto"/>
                <w:sz w:val="24"/>
                <w:szCs w:val="24"/>
                <w:highlight w:val="none"/>
                <w:lang w:eastAsia="zh-CN"/>
              </w:rPr>
              <w:t>最高排放浓度：</w:t>
            </w:r>
            <w:r>
              <w:rPr>
                <w:rFonts w:hint="eastAsia" w:ascii="Times New Roman" w:hAnsi="Times New Roman" w:eastAsia="宋体" w:cs="Times New Roman"/>
                <w:color w:val="auto"/>
                <w:sz w:val="24"/>
                <w:szCs w:val="24"/>
                <w:highlight w:val="none"/>
                <w:lang w:val="en-US" w:eastAsia="zh-CN"/>
              </w:rPr>
              <w:t>1.0</w:t>
            </w:r>
            <w:r>
              <w:rPr>
                <w:rFonts w:hint="default" w:ascii="Times New Roman" w:hAnsi="Times New Roman" w:eastAsia="宋体" w:cs="Times New Roman"/>
                <w:color w:val="auto"/>
                <w:sz w:val="24"/>
                <w:szCs w:val="24"/>
                <w:highlight w:val="none"/>
                <w:lang w:eastAsia="zh-CN"/>
              </w:rPr>
              <w:t>mg/m</w:t>
            </w:r>
            <w:r>
              <w:rPr>
                <w:rFonts w:hint="default" w:ascii="Times New Roman" w:hAnsi="Times New Roman" w:eastAsia="宋体" w:cs="Times New Roman"/>
                <w:color w:val="auto"/>
                <w:sz w:val="24"/>
                <w:szCs w:val="24"/>
                <w:highlight w:val="none"/>
                <w:vertAlign w:val="superscript"/>
                <w:lang w:eastAsia="zh-CN"/>
              </w:rPr>
              <w:t>3</w:t>
            </w:r>
          </w:p>
        </w:tc>
        <w:tc>
          <w:tcPr>
            <w:tcW w:w="2741" w:type="dxa"/>
            <w:noWrap w:val="0"/>
            <w:vAlign w:val="center"/>
          </w:tcPr>
          <w:p w14:paraId="4FEAB77A">
            <w:pPr>
              <w:keepNext w:val="0"/>
              <w:keepLines w:val="0"/>
              <w:suppressLineNumbers w:val="0"/>
              <w:adjustRightInd w:val="0"/>
              <w:snapToGrid w:val="0"/>
              <w:spacing w:before="0" w:beforeAutospacing="0" w:after="0" w:afterAutospacing="0" w:line="300" w:lineRule="exact"/>
              <w:ind w:left="0" w:right="0"/>
              <w:jc w:val="center"/>
              <w:rPr>
                <w:rFonts w:hint="eastAsia" w:ascii="Times New Roman" w:hAnsi="Times New Roman" w:cs="Times New Roman"/>
                <w:kern w:val="2"/>
                <w:sz w:val="24"/>
                <w:szCs w:val="24"/>
                <w:lang w:val="en-US" w:eastAsia="zh-CN" w:bidi="ar-SA"/>
              </w:rPr>
            </w:pPr>
            <w:r>
              <w:rPr>
                <w:rFonts w:hint="eastAsia" w:ascii="Times New Roman" w:hAnsi="Times New Roman" w:cs="Times New Roman"/>
                <w:sz w:val="24"/>
                <w:szCs w:val="24"/>
                <w:lang w:val="en-US" w:eastAsia="zh-CN"/>
              </w:rPr>
              <w:t>《合成树脂工业污染物排放标准》（GB31572-2015）表5大气污染物特别排放限值</w:t>
            </w:r>
          </w:p>
        </w:tc>
      </w:tr>
      <w:tr w14:paraId="4FE984E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879" w:type="dxa"/>
            <w:vMerge w:val="continue"/>
            <w:noWrap w:val="0"/>
            <w:vAlign w:val="center"/>
          </w:tcPr>
          <w:p w14:paraId="1F06AEAF">
            <w:pPr>
              <w:keepNext w:val="0"/>
              <w:keepLines w:val="0"/>
              <w:widowControl w:val="0"/>
              <w:suppressLineNumbers w:val="0"/>
              <w:adjustRightInd w:val="0"/>
              <w:snapToGrid w:val="0"/>
              <w:spacing w:before="0" w:beforeAutospacing="0" w:after="0" w:afterAutospacing="0" w:line="300" w:lineRule="atLeast"/>
              <w:ind w:left="0" w:right="0"/>
              <w:jc w:val="center"/>
              <w:rPr>
                <w:rFonts w:hint="default" w:ascii="Times New Roman" w:hAnsi="Times New Roman" w:cs="Times New Roman"/>
              </w:rPr>
            </w:pPr>
          </w:p>
        </w:tc>
        <w:tc>
          <w:tcPr>
            <w:tcW w:w="1345" w:type="dxa"/>
            <w:vMerge w:val="continue"/>
            <w:noWrap w:val="0"/>
            <w:vAlign w:val="center"/>
          </w:tcPr>
          <w:p w14:paraId="63127373">
            <w:pPr>
              <w:keepNext w:val="0"/>
              <w:keepLines w:val="0"/>
              <w:widowControl w:val="0"/>
              <w:suppressLineNumbers w:val="0"/>
              <w:adjustRightInd w:val="0"/>
              <w:snapToGrid w:val="0"/>
              <w:spacing w:before="0" w:beforeAutospacing="0" w:after="0" w:afterAutospacing="0" w:line="300" w:lineRule="atLeast"/>
              <w:ind w:left="0" w:right="0"/>
              <w:jc w:val="center"/>
              <w:rPr>
                <w:rFonts w:hint="default" w:ascii="Times New Roman" w:hAnsi="Times New Roman" w:cs="Times New Roman"/>
                <w:sz w:val="24"/>
              </w:rPr>
            </w:pPr>
          </w:p>
        </w:tc>
        <w:tc>
          <w:tcPr>
            <w:tcW w:w="1440" w:type="dxa"/>
            <w:shd w:val="clear" w:color="auto" w:fill="auto"/>
            <w:noWrap w:val="0"/>
            <w:vAlign w:val="center"/>
          </w:tcPr>
          <w:p w14:paraId="4D07D56C">
            <w:pPr>
              <w:keepNext w:val="0"/>
              <w:keepLines w:val="0"/>
              <w:widowControl w:val="0"/>
              <w:suppressLineNumbers w:val="0"/>
              <w:adjustRightInd w:val="0"/>
              <w:snapToGrid w:val="0"/>
              <w:spacing w:before="0" w:beforeAutospacing="0" w:after="0" w:afterAutospacing="0" w:line="320" w:lineRule="atLeast"/>
              <w:ind w:left="0" w:leftChars="0" w:right="0" w:rightChars="0"/>
              <w:jc w:val="center"/>
              <w:rPr>
                <w:rFonts w:hint="eastAsia" w:ascii="Times New Roman" w:hAnsi="Times New Roman" w:eastAsia="宋体" w:cs="Times New Roman"/>
                <w:kern w:val="2"/>
                <w:sz w:val="24"/>
                <w:szCs w:val="24"/>
                <w:lang w:val="en-US" w:eastAsia="zh-CN" w:bidi="ar-SA"/>
              </w:rPr>
            </w:pPr>
            <w:r>
              <w:rPr>
                <w:rFonts w:hint="eastAsia"/>
                <w:snapToGrid w:val="0"/>
                <w:color w:val="auto"/>
                <w:sz w:val="24"/>
                <w:szCs w:val="24"/>
                <w:lang w:val="en-US" w:eastAsia="zh-CN"/>
              </w:rPr>
              <w:t>臭气浓度</w:t>
            </w:r>
          </w:p>
        </w:tc>
        <w:tc>
          <w:tcPr>
            <w:tcW w:w="1349" w:type="dxa"/>
            <w:vMerge w:val="continue"/>
            <w:shd w:val="clear" w:color="auto" w:fill="auto"/>
            <w:noWrap w:val="0"/>
            <w:vAlign w:val="center"/>
          </w:tcPr>
          <w:p w14:paraId="35597B1D">
            <w:pPr>
              <w:keepNext w:val="0"/>
              <w:keepLines w:val="0"/>
              <w:widowControl w:val="0"/>
              <w:suppressLineNumbers w:val="0"/>
              <w:adjustRightInd w:val="0"/>
              <w:snapToGrid w:val="0"/>
              <w:spacing w:before="0" w:beforeAutospacing="0" w:after="0" w:afterAutospacing="0" w:line="320" w:lineRule="atLeast"/>
              <w:ind w:left="0" w:leftChars="0" w:right="0" w:rightChars="0"/>
              <w:jc w:val="center"/>
              <w:rPr>
                <w:rFonts w:hint="eastAsia" w:ascii="Times New Roman" w:hAnsi="Times New Roman" w:eastAsia="宋体" w:cs="Times New Roman"/>
                <w:kern w:val="2"/>
                <w:sz w:val="24"/>
                <w:szCs w:val="24"/>
                <w:lang w:val="en-US" w:eastAsia="zh-CN" w:bidi="ar-SA"/>
              </w:rPr>
            </w:pPr>
          </w:p>
        </w:tc>
        <w:tc>
          <w:tcPr>
            <w:tcW w:w="1306" w:type="dxa"/>
            <w:shd w:val="clear" w:color="auto" w:fill="auto"/>
            <w:noWrap w:val="0"/>
            <w:vAlign w:val="center"/>
          </w:tcPr>
          <w:p w14:paraId="7B43D38E">
            <w:pPr>
              <w:keepNext w:val="0"/>
              <w:keepLines w:val="0"/>
              <w:suppressLineNumbers w:val="0"/>
              <w:spacing w:before="0" w:beforeAutospacing="0" w:after="0" w:afterAutospacing="0"/>
              <w:ind w:left="0" w:right="0"/>
              <w:jc w:val="center"/>
              <w:rPr>
                <w:rFonts w:hint="default"/>
                <w:sz w:val="24"/>
                <w:szCs w:val="24"/>
                <w:highlight w:val="none"/>
              </w:rPr>
            </w:pPr>
            <w:r>
              <w:rPr>
                <w:rFonts w:hint="eastAsia" w:ascii="Times New Roman" w:hAnsi="Times New Roman" w:cs="Times New Roman"/>
                <w:color w:val="auto"/>
                <w:sz w:val="24"/>
                <w:szCs w:val="24"/>
                <w:highlight w:val="none"/>
                <w:lang w:val="en-US" w:eastAsia="zh-CN"/>
              </w:rPr>
              <w:t>臭气浓度：</w:t>
            </w:r>
            <w:r>
              <w:rPr>
                <w:rFonts w:hint="eastAsia"/>
                <w:sz w:val="24"/>
                <w:szCs w:val="24"/>
                <w:highlight w:val="none"/>
                <w:lang w:val="en-US" w:eastAsia="zh-CN"/>
              </w:rPr>
              <w:t>6</w:t>
            </w:r>
            <w:r>
              <w:rPr>
                <w:rFonts w:hint="default"/>
                <w:sz w:val="24"/>
                <w:szCs w:val="24"/>
                <w:highlight w:val="none"/>
              </w:rPr>
              <w:t>000</w:t>
            </w:r>
            <w:r>
              <w:rPr>
                <w:rFonts w:hint="eastAsia"/>
                <w:sz w:val="24"/>
                <w:szCs w:val="24"/>
                <w:highlight w:val="none"/>
              </w:rPr>
              <w:t>（无量纲）</w:t>
            </w:r>
          </w:p>
          <w:p w14:paraId="051FEE8D">
            <w:pPr>
              <w:keepNext w:val="0"/>
              <w:keepLines w:val="0"/>
              <w:widowControl w:val="0"/>
              <w:suppressLineNumbers w:val="0"/>
              <w:adjustRightInd w:val="0"/>
              <w:snapToGrid w:val="0"/>
              <w:spacing w:before="0" w:beforeAutospacing="0" w:after="0" w:afterAutospacing="0" w:line="300" w:lineRule="atLeast"/>
              <w:ind w:left="0" w:leftChars="0" w:right="0" w:rightChars="0"/>
              <w:jc w:val="center"/>
              <w:rPr>
                <w:rFonts w:hint="default" w:ascii="Times New Roman" w:hAnsi="Times New Roman" w:eastAsia="宋体" w:cs="Times New Roman"/>
                <w:kern w:val="2"/>
                <w:sz w:val="24"/>
                <w:szCs w:val="24"/>
                <w:lang w:val="en-US" w:eastAsia="zh-CN" w:bidi="ar-SA"/>
              </w:rPr>
            </w:pPr>
            <w:r>
              <w:rPr>
                <w:rFonts w:hint="eastAsia"/>
                <w:sz w:val="24"/>
                <w:szCs w:val="24"/>
                <w:highlight w:val="none"/>
                <w:lang w:val="en-US" w:eastAsia="zh-CN"/>
              </w:rPr>
              <w:t>2</w:t>
            </w:r>
            <w:r>
              <w:rPr>
                <w:rFonts w:hint="default"/>
                <w:sz w:val="24"/>
                <w:szCs w:val="24"/>
                <w:highlight w:val="none"/>
              </w:rPr>
              <w:t>5m</w:t>
            </w:r>
            <w:r>
              <w:rPr>
                <w:rFonts w:hint="eastAsia"/>
                <w:sz w:val="24"/>
                <w:szCs w:val="24"/>
                <w:highlight w:val="none"/>
              </w:rPr>
              <w:t>高排气筒</w:t>
            </w:r>
          </w:p>
        </w:tc>
        <w:tc>
          <w:tcPr>
            <w:tcW w:w="2741" w:type="dxa"/>
            <w:shd w:val="clear" w:color="auto" w:fill="auto"/>
            <w:noWrap w:val="0"/>
            <w:vAlign w:val="center"/>
          </w:tcPr>
          <w:p w14:paraId="18293B28">
            <w:pPr>
              <w:keepNext w:val="0"/>
              <w:keepLines w:val="0"/>
              <w:widowControl w:val="0"/>
              <w:suppressLineNumbers w:val="0"/>
              <w:adjustRightInd w:val="0"/>
              <w:snapToGrid w:val="0"/>
              <w:spacing w:before="0" w:beforeAutospacing="0" w:after="0" w:afterAutospacing="0" w:line="300" w:lineRule="atLeast"/>
              <w:ind w:left="0" w:leftChars="0" w:right="0" w:rightChars="0"/>
              <w:jc w:val="center"/>
              <w:rPr>
                <w:rFonts w:hint="eastAsia" w:ascii="Times New Roman" w:hAnsi="Times New Roman" w:eastAsia="宋体" w:cs="Times New Roman"/>
                <w:kern w:val="2"/>
                <w:sz w:val="24"/>
                <w:szCs w:val="24"/>
                <w:lang w:val="en-US" w:eastAsia="zh-CN" w:bidi="ar-SA"/>
              </w:rPr>
            </w:pPr>
            <w:r>
              <w:rPr>
                <w:rFonts w:hint="eastAsia"/>
                <w:sz w:val="24"/>
                <w:szCs w:val="24"/>
                <w:highlight w:val="none"/>
              </w:rPr>
              <w:t>《恶臭污染物排放标准》（G</w:t>
            </w:r>
            <w:r>
              <w:rPr>
                <w:rFonts w:hint="default"/>
                <w:sz w:val="24"/>
                <w:szCs w:val="24"/>
                <w:highlight w:val="none"/>
              </w:rPr>
              <w:t>B14554-93</w:t>
            </w:r>
            <w:r>
              <w:rPr>
                <w:rFonts w:hint="eastAsia"/>
                <w:sz w:val="24"/>
                <w:szCs w:val="24"/>
                <w:highlight w:val="none"/>
              </w:rPr>
              <w:t>）表2中排放标准值要求</w:t>
            </w:r>
          </w:p>
        </w:tc>
      </w:tr>
      <w:tr w14:paraId="70B6FF7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879" w:type="dxa"/>
            <w:vMerge w:val="continue"/>
            <w:noWrap w:val="0"/>
            <w:vAlign w:val="center"/>
          </w:tcPr>
          <w:p w14:paraId="51DF862C">
            <w:pPr>
              <w:keepNext w:val="0"/>
              <w:keepLines w:val="0"/>
              <w:widowControl w:val="0"/>
              <w:suppressLineNumbers w:val="0"/>
              <w:adjustRightInd w:val="0"/>
              <w:snapToGrid w:val="0"/>
              <w:spacing w:before="0" w:beforeAutospacing="0" w:after="0" w:afterAutospacing="0" w:line="300" w:lineRule="atLeast"/>
              <w:ind w:left="0" w:right="0"/>
              <w:jc w:val="center"/>
              <w:rPr>
                <w:rFonts w:hint="default" w:ascii="Times New Roman" w:hAnsi="Times New Roman" w:cs="Times New Roman"/>
              </w:rPr>
            </w:pPr>
          </w:p>
        </w:tc>
        <w:tc>
          <w:tcPr>
            <w:tcW w:w="8181" w:type="dxa"/>
            <w:gridSpan w:val="5"/>
            <w:noWrap w:val="0"/>
            <w:vAlign w:val="center"/>
          </w:tcPr>
          <w:p w14:paraId="568D5237">
            <w:pPr>
              <w:keepNext w:val="0"/>
              <w:keepLines w:val="0"/>
              <w:suppressLineNumbers w:val="0"/>
              <w:adjustRightInd w:val="0"/>
              <w:snapToGrid w:val="0"/>
              <w:spacing w:before="0" w:beforeAutospacing="0" w:after="0" w:afterAutospacing="0" w:line="300" w:lineRule="exact"/>
              <w:ind w:left="0" w:right="0" w:firstLine="723" w:firstLineChars="300"/>
              <w:jc w:val="both"/>
              <w:rPr>
                <w:rFonts w:hint="eastAsia" w:ascii="Times New Roman" w:hAnsi="Times New Roman" w:cs="Times New Roman"/>
                <w:sz w:val="24"/>
                <w:szCs w:val="24"/>
                <w:lang w:val="en-US" w:eastAsia="zh-CN"/>
              </w:rPr>
            </w:pPr>
            <w:r>
              <w:rPr>
                <w:rFonts w:hint="eastAsia" w:ascii="Times New Roman" w:hAnsi="Times New Roman" w:eastAsia="宋体" w:cs="Times New Roman"/>
                <w:b/>
                <w:bCs/>
                <w:color w:val="auto"/>
                <w:kern w:val="0"/>
                <w:sz w:val="24"/>
                <w:szCs w:val="24"/>
                <w:lang w:eastAsia="zh-CN" w:bidi="en-US"/>
              </w:rPr>
              <w:t>备注：</w:t>
            </w:r>
            <w:r>
              <w:rPr>
                <w:rFonts w:hint="eastAsia" w:cs="Times New Roman"/>
                <w:b/>
                <w:bCs/>
                <w:color w:val="auto"/>
                <w:kern w:val="0"/>
                <w:sz w:val="24"/>
                <w:szCs w:val="24"/>
                <w:lang w:val="en-US" w:eastAsia="zh-CN" w:bidi="en-US"/>
              </w:rPr>
              <w:t>*</w:t>
            </w:r>
            <w:r>
              <w:rPr>
                <w:rFonts w:hint="eastAsia" w:ascii="宋体" w:hAnsi="宋体" w:eastAsia="宋体" w:cs="宋体"/>
                <w:b/>
                <w:bCs/>
                <w:color w:val="auto"/>
                <w:kern w:val="0"/>
                <w:sz w:val="24"/>
                <w:szCs w:val="24"/>
                <w:highlight w:val="none"/>
                <w:lang w:val="en-US" w:eastAsia="zh-CN" w:bidi="ar"/>
              </w:rPr>
              <w:t>待国家污染物监测方法标准发布后实施</w:t>
            </w:r>
          </w:p>
        </w:tc>
      </w:tr>
      <w:tr w14:paraId="5BA6C6A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794" w:hRule="atLeast"/>
          <w:jc w:val="center"/>
        </w:trPr>
        <w:tc>
          <w:tcPr>
            <w:tcW w:w="879" w:type="dxa"/>
            <w:vMerge w:val="continue"/>
            <w:noWrap w:val="0"/>
            <w:vAlign w:val="center"/>
          </w:tcPr>
          <w:p w14:paraId="20A7F148">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b/>
                <w:sz w:val="24"/>
              </w:rPr>
            </w:pPr>
          </w:p>
        </w:tc>
        <w:tc>
          <w:tcPr>
            <w:tcW w:w="1345" w:type="dxa"/>
            <w:vMerge w:val="restart"/>
            <w:noWrap w:val="0"/>
            <w:vAlign w:val="center"/>
          </w:tcPr>
          <w:p w14:paraId="0AFB15A3">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bCs/>
                <w:sz w:val="24"/>
                <w:szCs w:val="24"/>
              </w:rPr>
            </w:pPr>
            <w:r>
              <w:rPr>
                <w:rFonts w:hint="eastAsia" w:ascii="Times New Roman" w:hAnsi="Times New Roman" w:cs="Times New Roman"/>
                <w:bCs/>
                <w:sz w:val="24"/>
                <w:szCs w:val="24"/>
              </w:rPr>
              <w:t>无组织</w:t>
            </w:r>
          </w:p>
          <w:p w14:paraId="16CFEA90">
            <w:pPr>
              <w:keepNext w:val="0"/>
              <w:keepLines w:val="0"/>
              <w:suppressLineNumbers w:val="0"/>
              <w:spacing w:before="0" w:beforeAutospacing="0" w:after="0" w:afterAutospacing="0" w:line="300" w:lineRule="exact"/>
              <w:ind w:left="0" w:right="0"/>
              <w:jc w:val="center"/>
              <w:rPr>
                <w:rFonts w:hint="eastAsia" w:ascii="Times New Roman" w:hAnsi="Times New Roman" w:eastAsia="宋体" w:cs="Times New Roman"/>
                <w:sz w:val="24"/>
                <w:szCs w:val="24"/>
                <w:lang w:eastAsia="zh-CN"/>
              </w:rPr>
            </w:pPr>
            <w:r>
              <w:rPr>
                <w:rFonts w:hint="default" w:ascii="Times New Roman" w:hAnsi="Times New Roman" w:cs="Times New Roman"/>
                <w:sz w:val="24"/>
                <w:szCs w:val="24"/>
              </w:rPr>
              <w:t>废气</w:t>
            </w:r>
            <w:r>
              <w:rPr>
                <w:rFonts w:hint="eastAsia" w:ascii="Times New Roman" w:hAnsi="Times New Roman" w:cs="Times New Roman"/>
                <w:sz w:val="24"/>
                <w:szCs w:val="24"/>
                <w:lang w:eastAsia="zh-CN"/>
              </w:rPr>
              <w:t>（厂界）</w:t>
            </w:r>
          </w:p>
        </w:tc>
        <w:tc>
          <w:tcPr>
            <w:tcW w:w="1440" w:type="dxa"/>
            <w:noWrap w:val="0"/>
            <w:vAlign w:val="center"/>
          </w:tcPr>
          <w:p w14:paraId="49AA87AA">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kern w:val="2"/>
                <w:sz w:val="24"/>
                <w:szCs w:val="24"/>
                <w:lang w:val="en-US" w:eastAsia="zh-CN" w:bidi="ar-SA"/>
              </w:rPr>
            </w:pPr>
            <w:r>
              <w:rPr>
                <w:rFonts w:hint="eastAsia" w:ascii="Times New Roman" w:hAnsi="Times New Roman" w:cs="Times New Roman"/>
                <w:sz w:val="24"/>
                <w:szCs w:val="24"/>
                <w:lang w:val="en-US" w:eastAsia="zh-CN"/>
              </w:rPr>
              <w:t>非甲烷总烃</w:t>
            </w:r>
          </w:p>
        </w:tc>
        <w:tc>
          <w:tcPr>
            <w:tcW w:w="1349" w:type="dxa"/>
            <w:vMerge w:val="restart"/>
            <w:noWrap w:val="0"/>
            <w:vAlign w:val="center"/>
          </w:tcPr>
          <w:p w14:paraId="5AD3DC8E">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sz w:val="24"/>
                <w:szCs w:val="24"/>
              </w:rPr>
            </w:pPr>
            <w:r>
              <w:rPr>
                <w:rFonts w:hint="eastAsia" w:ascii="Times New Roman" w:hAnsi="Times New Roman" w:cs="Times New Roman"/>
                <w:sz w:val="24"/>
                <w:szCs w:val="24"/>
              </w:rPr>
              <w:t>车间密闭</w:t>
            </w:r>
          </w:p>
        </w:tc>
        <w:tc>
          <w:tcPr>
            <w:tcW w:w="1306" w:type="dxa"/>
            <w:noWrap w:val="0"/>
            <w:vAlign w:val="center"/>
          </w:tcPr>
          <w:p w14:paraId="5E19FAD5">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color w:val="000000"/>
                <w:kern w:val="0"/>
                <w:sz w:val="24"/>
                <w:szCs w:val="24"/>
                <w:lang w:eastAsia="zh-CN" w:bidi="en-US"/>
              </w:rPr>
              <w:t>企业边界限值：</w:t>
            </w:r>
            <w:r>
              <w:rPr>
                <w:rFonts w:hint="eastAsia" w:cs="Times New Roman"/>
                <w:color w:val="000000"/>
                <w:kern w:val="0"/>
                <w:sz w:val="24"/>
                <w:szCs w:val="24"/>
                <w:lang w:val="en-US" w:eastAsia="zh-CN" w:bidi="en-US"/>
              </w:rPr>
              <w:t>4</w:t>
            </w:r>
            <w:r>
              <w:rPr>
                <w:rFonts w:hint="default" w:ascii="Times New Roman" w:hAnsi="Times New Roman" w:eastAsia="宋体" w:cs="Times New Roman"/>
                <w:color w:val="000000"/>
                <w:kern w:val="0"/>
                <w:sz w:val="24"/>
                <w:szCs w:val="24"/>
                <w:lang w:eastAsia="zh-CN" w:bidi="en-US"/>
              </w:rPr>
              <w:t>.0 mg/m</w:t>
            </w:r>
            <w:r>
              <w:rPr>
                <w:rFonts w:hint="default" w:ascii="Times New Roman" w:hAnsi="Times New Roman" w:eastAsia="宋体" w:cs="Times New Roman"/>
                <w:color w:val="000000"/>
                <w:kern w:val="0"/>
                <w:sz w:val="24"/>
                <w:szCs w:val="24"/>
                <w:vertAlign w:val="superscript"/>
                <w:lang w:eastAsia="zh-CN" w:bidi="en-US"/>
              </w:rPr>
              <w:t>3</w:t>
            </w:r>
          </w:p>
        </w:tc>
        <w:tc>
          <w:tcPr>
            <w:tcW w:w="2741" w:type="dxa"/>
            <w:noWrap w:val="0"/>
            <w:vAlign w:val="center"/>
          </w:tcPr>
          <w:p w14:paraId="14BCB51C">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kern w:val="2"/>
                <w:sz w:val="24"/>
                <w:szCs w:val="24"/>
                <w:lang w:val="en-US" w:eastAsia="zh-CN" w:bidi="ar-SA"/>
              </w:rPr>
              <w:t>《合成树脂工业污染物排放标准》（GB31572-2015，含2024年修改单）表9中企业边界大气污染物浓度限值</w:t>
            </w:r>
          </w:p>
        </w:tc>
      </w:tr>
      <w:tr w14:paraId="77B5D6F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68" w:hRule="atLeast"/>
          <w:jc w:val="center"/>
        </w:trPr>
        <w:tc>
          <w:tcPr>
            <w:tcW w:w="879" w:type="dxa"/>
            <w:vMerge w:val="continue"/>
            <w:noWrap w:val="0"/>
            <w:vAlign w:val="center"/>
          </w:tcPr>
          <w:p w14:paraId="78B419D7">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b/>
                <w:sz w:val="24"/>
              </w:rPr>
            </w:pPr>
          </w:p>
        </w:tc>
        <w:tc>
          <w:tcPr>
            <w:tcW w:w="1345" w:type="dxa"/>
            <w:vMerge w:val="continue"/>
            <w:noWrap w:val="0"/>
            <w:vAlign w:val="center"/>
          </w:tcPr>
          <w:p w14:paraId="6CB29BAF">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sz w:val="24"/>
                <w:szCs w:val="24"/>
              </w:rPr>
            </w:pPr>
          </w:p>
        </w:tc>
        <w:tc>
          <w:tcPr>
            <w:tcW w:w="1440" w:type="dxa"/>
            <w:shd w:val="clear" w:color="auto" w:fill="auto"/>
            <w:noWrap w:val="0"/>
            <w:vAlign w:val="center"/>
          </w:tcPr>
          <w:p w14:paraId="60E994E5">
            <w:pPr>
              <w:keepNext w:val="0"/>
              <w:keepLines w:val="0"/>
              <w:widowControl w:val="0"/>
              <w:suppressLineNumbers w:val="0"/>
              <w:adjustRightInd w:val="0"/>
              <w:snapToGrid w:val="0"/>
              <w:spacing w:before="0" w:beforeAutospacing="0" w:after="0" w:afterAutospacing="0" w:line="320" w:lineRule="atLeast"/>
              <w:ind w:left="0" w:right="0"/>
              <w:jc w:val="center"/>
              <w:rPr>
                <w:rFonts w:hint="eastAsia" w:ascii="Times New Roman" w:hAnsi="Times New Roman" w:eastAsia="宋体" w:cs="Times New Roman"/>
                <w:kern w:val="2"/>
                <w:sz w:val="24"/>
                <w:szCs w:val="24"/>
                <w:lang w:val="en-US" w:eastAsia="zh-CN" w:bidi="ar-SA"/>
              </w:rPr>
            </w:pPr>
            <w:r>
              <w:rPr>
                <w:rFonts w:hint="eastAsia"/>
                <w:color w:val="auto"/>
                <w:sz w:val="24"/>
                <w:szCs w:val="24"/>
                <w:lang w:val="en-US" w:eastAsia="zh-CN"/>
              </w:rPr>
              <w:t>臭气浓度</w:t>
            </w:r>
          </w:p>
        </w:tc>
        <w:tc>
          <w:tcPr>
            <w:tcW w:w="1349" w:type="dxa"/>
            <w:vMerge w:val="continue"/>
            <w:shd w:val="clear" w:color="auto" w:fill="auto"/>
            <w:noWrap w:val="0"/>
            <w:vAlign w:val="center"/>
          </w:tcPr>
          <w:p w14:paraId="617735F8">
            <w:pPr>
              <w:keepNext w:val="0"/>
              <w:keepLines w:val="0"/>
              <w:suppressLineNumbers w:val="0"/>
              <w:snapToGrid w:val="0"/>
              <w:spacing w:before="0" w:beforeAutospacing="0" w:after="0" w:afterAutospacing="0" w:line="320" w:lineRule="atLeast"/>
              <w:ind w:left="0" w:right="0"/>
              <w:jc w:val="center"/>
              <w:rPr>
                <w:rFonts w:hint="eastAsia" w:ascii="Times New Roman" w:hAnsi="Times New Roman" w:eastAsia="宋体" w:cs="Times New Roman"/>
                <w:kern w:val="2"/>
                <w:sz w:val="24"/>
                <w:szCs w:val="24"/>
                <w:lang w:val="en-US" w:eastAsia="zh-CN" w:bidi="ar-SA"/>
              </w:rPr>
            </w:pPr>
          </w:p>
        </w:tc>
        <w:tc>
          <w:tcPr>
            <w:tcW w:w="1306" w:type="dxa"/>
            <w:shd w:val="clear" w:color="auto" w:fill="auto"/>
            <w:noWrap w:val="0"/>
            <w:vAlign w:val="center"/>
          </w:tcPr>
          <w:p w14:paraId="6E62A1A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kern w:val="0"/>
                <w:sz w:val="24"/>
                <w:szCs w:val="24"/>
                <w:lang w:val="en-US" w:eastAsia="zh-CN" w:bidi="en-US"/>
              </w:rPr>
            </w:pPr>
            <w:r>
              <w:rPr>
                <w:rFonts w:hint="eastAsia"/>
                <w:sz w:val="24"/>
                <w:szCs w:val="24"/>
                <w:highlight w:val="none"/>
              </w:rPr>
              <w:t>厂界标准值</w:t>
            </w:r>
            <w:r>
              <w:rPr>
                <w:rFonts w:hint="default"/>
                <w:sz w:val="24"/>
                <w:szCs w:val="24"/>
                <w:highlight w:val="none"/>
              </w:rPr>
              <w:t>：20</w:t>
            </w:r>
            <w:r>
              <w:rPr>
                <w:rFonts w:hint="eastAsia"/>
                <w:sz w:val="24"/>
                <w:szCs w:val="24"/>
                <w:highlight w:val="none"/>
              </w:rPr>
              <w:t>（无量纲）</w:t>
            </w:r>
          </w:p>
        </w:tc>
        <w:tc>
          <w:tcPr>
            <w:tcW w:w="2741" w:type="dxa"/>
            <w:shd w:val="clear" w:color="auto" w:fill="auto"/>
            <w:noWrap w:val="0"/>
            <w:vAlign w:val="center"/>
          </w:tcPr>
          <w:p w14:paraId="42375E0F">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4"/>
                <w:szCs w:val="24"/>
                <w:lang w:val="en-US" w:eastAsia="zh-CN" w:bidi="ar-SA"/>
              </w:rPr>
            </w:pPr>
            <w:r>
              <w:rPr>
                <w:rFonts w:hint="eastAsia"/>
                <w:sz w:val="24"/>
                <w:szCs w:val="24"/>
                <w:highlight w:val="none"/>
              </w:rPr>
              <w:t>《恶臭污染物排放标准》（GB14554-93）表</w:t>
            </w:r>
            <w:r>
              <w:rPr>
                <w:rFonts w:hint="default"/>
                <w:sz w:val="24"/>
                <w:szCs w:val="24"/>
                <w:highlight w:val="none"/>
              </w:rPr>
              <w:t>1</w:t>
            </w:r>
            <w:r>
              <w:rPr>
                <w:rFonts w:hint="eastAsia"/>
                <w:sz w:val="24"/>
                <w:szCs w:val="24"/>
                <w:highlight w:val="none"/>
              </w:rPr>
              <w:t>中二级新扩改建标准要求</w:t>
            </w:r>
          </w:p>
        </w:tc>
      </w:tr>
      <w:tr w14:paraId="0B640D4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10" w:hRule="atLeast"/>
          <w:jc w:val="center"/>
        </w:trPr>
        <w:tc>
          <w:tcPr>
            <w:tcW w:w="879" w:type="dxa"/>
            <w:vMerge w:val="continue"/>
            <w:noWrap w:val="0"/>
            <w:vAlign w:val="center"/>
          </w:tcPr>
          <w:p w14:paraId="13CE43DF">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b/>
                <w:sz w:val="24"/>
              </w:rPr>
            </w:pPr>
          </w:p>
        </w:tc>
        <w:tc>
          <w:tcPr>
            <w:tcW w:w="1345" w:type="dxa"/>
            <w:noWrap w:val="0"/>
            <w:vAlign w:val="center"/>
          </w:tcPr>
          <w:p w14:paraId="09F41B01">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bCs/>
                <w:sz w:val="24"/>
                <w:szCs w:val="24"/>
              </w:rPr>
            </w:pPr>
            <w:r>
              <w:rPr>
                <w:rFonts w:hint="eastAsia" w:ascii="Times New Roman" w:hAnsi="Times New Roman" w:cs="Times New Roman"/>
                <w:bCs/>
                <w:sz w:val="24"/>
                <w:szCs w:val="24"/>
              </w:rPr>
              <w:t>无组织</w:t>
            </w:r>
          </w:p>
          <w:p w14:paraId="0997DF06">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sz w:val="24"/>
                <w:szCs w:val="24"/>
              </w:rPr>
            </w:pPr>
            <w:r>
              <w:rPr>
                <w:rFonts w:hint="default" w:ascii="Times New Roman" w:hAnsi="Times New Roman" w:cs="Times New Roman"/>
                <w:sz w:val="24"/>
                <w:szCs w:val="24"/>
              </w:rPr>
              <w:t>废气</w:t>
            </w:r>
            <w:r>
              <w:rPr>
                <w:rFonts w:hint="eastAsia" w:ascii="Times New Roman" w:hAnsi="Times New Roman" w:cs="Times New Roman"/>
                <w:sz w:val="24"/>
                <w:szCs w:val="24"/>
                <w:lang w:eastAsia="zh-CN"/>
              </w:rPr>
              <w:t>（厂区内）</w:t>
            </w:r>
          </w:p>
        </w:tc>
        <w:tc>
          <w:tcPr>
            <w:tcW w:w="1440" w:type="dxa"/>
            <w:noWrap w:val="0"/>
            <w:vAlign w:val="center"/>
          </w:tcPr>
          <w:p w14:paraId="3B62DE5B">
            <w:pPr>
              <w:keepNext w:val="0"/>
              <w:keepLines w:val="0"/>
              <w:suppressLineNumbers w:val="0"/>
              <w:spacing w:before="0" w:beforeAutospacing="0" w:after="0" w:afterAutospacing="0" w:line="300" w:lineRule="exact"/>
              <w:ind w:left="0" w:right="0"/>
              <w:jc w:val="center"/>
              <w:rPr>
                <w:rFonts w:hint="eastAsia" w:ascii="Times New Roman" w:hAnsi="Times New Roman" w:cs="Times New Roman"/>
                <w:kern w:val="2"/>
                <w:sz w:val="24"/>
                <w:szCs w:val="24"/>
                <w:lang w:val="en-US" w:eastAsia="zh-CN" w:bidi="ar-SA"/>
              </w:rPr>
            </w:pPr>
            <w:r>
              <w:rPr>
                <w:rFonts w:hint="eastAsia" w:ascii="Times New Roman" w:hAnsi="Times New Roman" w:cs="Times New Roman"/>
                <w:sz w:val="24"/>
                <w:szCs w:val="24"/>
                <w:lang w:val="en-US" w:eastAsia="zh-CN"/>
              </w:rPr>
              <w:t>非甲烷总烃</w:t>
            </w:r>
          </w:p>
        </w:tc>
        <w:tc>
          <w:tcPr>
            <w:tcW w:w="1349" w:type="dxa"/>
            <w:vMerge w:val="continue"/>
            <w:noWrap w:val="0"/>
            <w:vAlign w:val="center"/>
          </w:tcPr>
          <w:p w14:paraId="63E715DE">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kern w:val="2"/>
                <w:sz w:val="24"/>
                <w:szCs w:val="24"/>
                <w:lang w:val="en-US" w:eastAsia="zh-CN" w:bidi="ar-SA"/>
              </w:rPr>
            </w:pPr>
          </w:p>
        </w:tc>
        <w:tc>
          <w:tcPr>
            <w:tcW w:w="1306" w:type="dxa"/>
            <w:noWrap w:val="0"/>
            <w:vAlign w:val="center"/>
          </w:tcPr>
          <w:p w14:paraId="6755A35F">
            <w:pPr>
              <w:keepNext w:val="0"/>
              <w:keepLines w:val="0"/>
              <w:widowControl/>
              <w:suppressLineNumbers w:val="0"/>
              <w:snapToGrid w:val="0"/>
              <w:spacing w:before="0" w:beforeAutospacing="0" w:after="0" w:afterAutospacing="0" w:line="300" w:lineRule="atLeast"/>
              <w:ind w:left="0" w:right="0"/>
              <w:jc w:val="center"/>
              <w:rPr>
                <w:rFonts w:hint="default" w:ascii="Times New Roman" w:hAnsi="Times New Roman" w:eastAsia="宋体" w:cs="Times New Roman"/>
                <w:color w:val="000000"/>
                <w:kern w:val="0"/>
                <w:sz w:val="24"/>
                <w:szCs w:val="24"/>
                <w:lang w:eastAsia="zh-CN" w:bidi="en-US"/>
              </w:rPr>
            </w:pPr>
            <w:r>
              <w:rPr>
                <w:rFonts w:hint="eastAsia" w:cs="Times New Roman"/>
                <w:color w:val="000000"/>
                <w:kern w:val="0"/>
                <w:sz w:val="24"/>
                <w:szCs w:val="24"/>
                <w:lang w:eastAsia="zh-CN" w:bidi="en-US"/>
              </w:rPr>
              <w:t>厂房外</w:t>
            </w:r>
            <w:r>
              <w:rPr>
                <w:rFonts w:hint="default" w:ascii="Times New Roman" w:hAnsi="Times New Roman" w:eastAsia="宋体" w:cs="Times New Roman"/>
                <w:color w:val="000000"/>
                <w:kern w:val="0"/>
                <w:sz w:val="24"/>
                <w:szCs w:val="24"/>
                <w:lang w:eastAsia="zh-CN" w:bidi="en-US"/>
              </w:rPr>
              <w:t>监控点处1h平均浓度值：</w:t>
            </w:r>
            <w:r>
              <w:rPr>
                <w:rFonts w:hint="eastAsia" w:cs="Times New Roman"/>
                <w:color w:val="000000"/>
                <w:kern w:val="0"/>
                <w:sz w:val="24"/>
                <w:szCs w:val="24"/>
                <w:lang w:val="en-US" w:eastAsia="zh-CN" w:bidi="en-US"/>
              </w:rPr>
              <w:t>2</w:t>
            </w:r>
            <w:r>
              <w:rPr>
                <w:rFonts w:hint="default" w:ascii="Times New Roman" w:hAnsi="Times New Roman" w:eastAsia="宋体" w:cs="Times New Roman"/>
                <w:color w:val="000000"/>
                <w:kern w:val="0"/>
                <w:sz w:val="24"/>
                <w:szCs w:val="24"/>
                <w:lang w:eastAsia="zh-CN" w:bidi="en-US"/>
              </w:rPr>
              <w:t>mg/m</w:t>
            </w:r>
            <w:r>
              <w:rPr>
                <w:rFonts w:hint="default" w:ascii="Times New Roman" w:hAnsi="Times New Roman" w:eastAsia="宋体" w:cs="Times New Roman"/>
                <w:color w:val="000000"/>
                <w:kern w:val="0"/>
                <w:sz w:val="24"/>
                <w:szCs w:val="24"/>
                <w:vertAlign w:val="superscript"/>
                <w:lang w:eastAsia="zh-CN" w:bidi="en-US"/>
              </w:rPr>
              <w:t>3</w:t>
            </w:r>
          </w:p>
          <w:p w14:paraId="09289FAE">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4"/>
                <w:szCs w:val="24"/>
                <w:lang w:val="en-US" w:eastAsia="zh-CN" w:bidi="ar-SA"/>
              </w:rPr>
            </w:pPr>
            <w:r>
              <w:rPr>
                <w:rFonts w:hint="default" w:ascii="Times New Roman" w:hAnsi="Times New Roman" w:eastAsia="宋体" w:cs="Times New Roman"/>
                <w:color w:val="000000"/>
                <w:kern w:val="0"/>
                <w:sz w:val="24"/>
                <w:szCs w:val="24"/>
                <w:lang w:eastAsia="zh-CN" w:bidi="en-US"/>
              </w:rPr>
              <w:t>监控点处任意一次浓度值：</w:t>
            </w:r>
            <w:r>
              <w:rPr>
                <w:rFonts w:hint="eastAsia" w:cs="Times New Roman"/>
                <w:color w:val="000000"/>
                <w:kern w:val="0"/>
                <w:sz w:val="24"/>
                <w:szCs w:val="24"/>
                <w:lang w:val="en-US" w:eastAsia="zh-CN" w:bidi="en-US"/>
              </w:rPr>
              <w:t>1</w:t>
            </w:r>
            <w:r>
              <w:rPr>
                <w:rFonts w:hint="default" w:ascii="Times New Roman" w:hAnsi="Times New Roman" w:eastAsia="宋体" w:cs="Times New Roman"/>
                <w:color w:val="000000"/>
                <w:kern w:val="0"/>
                <w:sz w:val="24"/>
                <w:szCs w:val="24"/>
                <w:lang w:eastAsia="zh-CN" w:bidi="en-US"/>
              </w:rPr>
              <w:t>0mg/m</w:t>
            </w:r>
            <w:r>
              <w:rPr>
                <w:rFonts w:hint="default" w:ascii="Times New Roman" w:hAnsi="Times New Roman" w:eastAsia="宋体" w:cs="Times New Roman"/>
                <w:color w:val="000000"/>
                <w:kern w:val="0"/>
                <w:sz w:val="24"/>
                <w:szCs w:val="24"/>
                <w:vertAlign w:val="superscript"/>
                <w:lang w:eastAsia="zh-CN" w:bidi="en-US"/>
              </w:rPr>
              <w:t>3</w:t>
            </w:r>
          </w:p>
        </w:tc>
        <w:tc>
          <w:tcPr>
            <w:tcW w:w="2741" w:type="dxa"/>
            <w:noWrap w:val="0"/>
            <w:vAlign w:val="center"/>
          </w:tcPr>
          <w:p w14:paraId="0D9B1F7B">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4"/>
                <w:szCs w:val="24"/>
                <w:lang w:val="en-US" w:eastAsia="zh-CN" w:bidi="ar-SA"/>
              </w:rPr>
            </w:pPr>
            <w:r>
              <w:rPr>
                <w:rFonts w:hint="default"/>
                <w:kern w:val="2"/>
                <w:sz w:val="24"/>
                <w:szCs w:val="24"/>
                <w:lang w:val="en-US" w:eastAsia="zh-CN" w:bidi="ar-SA"/>
              </w:rPr>
              <w:t>《工业企业挥发性有机物排放控制标准》（DB13/2322-2025）表2中厂房外设置监控点排放限值</w:t>
            </w:r>
            <w:r>
              <w:rPr>
                <w:rFonts w:hint="eastAsia"/>
                <w:kern w:val="2"/>
                <w:sz w:val="24"/>
                <w:szCs w:val="24"/>
                <w:lang w:val="en-US" w:eastAsia="zh-CN" w:bidi="ar-SA"/>
              </w:rPr>
              <w:t>、《印刷工业挥发性有机物排放标准》（DB13/6188-2025）表2厂区内挥发性有机物无组织排放限值</w:t>
            </w:r>
          </w:p>
        </w:tc>
      </w:tr>
      <w:tr w14:paraId="577313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879" w:type="dxa"/>
            <w:noWrap w:val="0"/>
            <w:vAlign w:val="center"/>
          </w:tcPr>
          <w:p w14:paraId="2EED3BF9">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b/>
                <w:sz w:val="24"/>
              </w:rPr>
            </w:pPr>
            <w:r>
              <w:rPr>
                <w:rFonts w:hint="default" w:ascii="Times New Roman" w:hAnsi="Times New Roman" w:cs="Times New Roman"/>
                <w:b/>
                <w:sz w:val="24"/>
              </w:rPr>
              <w:t>地表水环境</w:t>
            </w:r>
          </w:p>
        </w:tc>
        <w:tc>
          <w:tcPr>
            <w:tcW w:w="1345" w:type="dxa"/>
            <w:noWrap w:val="0"/>
            <w:vAlign w:val="center"/>
          </w:tcPr>
          <w:p w14:paraId="2172DA2E">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eastAsia="宋体" w:cs="Times New Roman"/>
                <w:kern w:val="2"/>
                <w:sz w:val="24"/>
                <w:szCs w:val="24"/>
                <w:lang w:val="en-US" w:eastAsia="zh-CN" w:bidi="ar-SA"/>
              </w:rPr>
            </w:pPr>
            <w:r>
              <w:rPr>
                <w:rFonts w:hint="default" w:ascii="Times New Roman" w:hAnsi="Times New Roman" w:cs="Times New Roman"/>
                <w:sz w:val="24"/>
                <w:szCs w:val="24"/>
              </w:rPr>
              <w:t>--</w:t>
            </w:r>
          </w:p>
        </w:tc>
        <w:tc>
          <w:tcPr>
            <w:tcW w:w="1440" w:type="dxa"/>
            <w:noWrap w:val="0"/>
            <w:vAlign w:val="center"/>
          </w:tcPr>
          <w:p w14:paraId="2A1C728D">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eastAsia="宋体" w:cs="Times New Roman"/>
                <w:kern w:val="2"/>
                <w:sz w:val="24"/>
                <w:szCs w:val="24"/>
                <w:lang w:val="en-US" w:eastAsia="zh-CN" w:bidi="ar-SA"/>
              </w:rPr>
            </w:pPr>
            <w:r>
              <w:rPr>
                <w:rFonts w:hint="default" w:ascii="Times New Roman" w:hAnsi="Times New Roman" w:cs="Times New Roman"/>
                <w:sz w:val="24"/>
                <w:szCs w:val="24"/>
              </w:rPr>
              <w:t>--</w:t>
            </w:r>
          </w:p>
        </w:tc>
        <w:tc>
          <w:tcPr>
            <w:tcW w:w="1349" w:type="dxa"/>
            <w:noWrap w:val="0"/>
            <w:vAlign w:val="center"/>
          </w:tcPr>
          <w:p w14:paraId="4DD5C80E">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4"/>
                <w:szCs w:val="24"/>
                <w:lang w:val="en-US" w:eastAsia="zh-CN" w:bidi="ar-SA"/>
              </w:rPr>
            </w:pPr>
            <w:r>
              <w:rPr>
                <w:rFonts w:hint="default" w:ascii="Times New Roman" w:hAnsi="Times New Roman" w:cs="Times New Roman"/>
                <w:sz w:val="24"/>
                <w:szCs w:val="24"/>
              </w:rPr>
              <w:t>--</w:t>
            </w:r>
          </w:p>
        </w:tc>
        <w:tc>
          <w:tcPr>
            <w:tcW w:w="4047" w:type="dxa"/>
            <w:gridSpan w:val="2"/>
            <w:noWrap w:val="0"/>
            <w:vAlign w:val="center"/>
          </w:tcPr>
          <w:p w14:paraId="1E9D6527">
            <w:pPr>
              <w:keepNext w:val="0"/>
              <w:keepLines w:val="0"/>
              <w:suppressLineNumbers w:val="0"/>
              <w:adjustRightInd w:val="0"/>
              <w:snapToGrid w:val="0"/>
              <w:spacing w:before="0" w:beforeAutospacing="0" w:after="0" w:afterAutospacing="0" w:line="300" w:lineRule="exact"/>
              <w:ind w:left="0" w:right="0"/>
              <w:jc w:val="center"/>
              <w:rPr>
                <w:rFonts w:hint="eastAsia" w:ascii="Times New Roman" w:hAnsi="Times New Roman" w:cs="Times New Roman"/>
                <w:bCs/>
                <w:kern w:val="2"/>
                <w:sz w:val="24"/>
                <w:szCs w:val="24"/>
                <w:lang w:val="en-US" w:eastAsia="zh-CN" w:bidi="ar-SA"/>
              </w:rPr>
            </w:pPr>
            <w:r>
              <w:rPr>
                <w:rFonts w:hint="default" w:ascii="Times New Roman" w:hAnsi="Times New Roman" w:cs="Times New Roman"/>
                <w:sz w:val="24"/>
                <w:szCs w:val="24"/>
              </w:rPr>
              <w:t>--</w:t>
            </w:r>
          </w:p>
        </w:tc>
      </w:tr>
      <w:tr w14:paraId="3D27AA9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9" w:type="dxa"/>
            <w:noWrap w:val="0"/>
            <w:vAlign w:val="center"/>
          </w:tcPr>
          <w:p w14:paraId="128FE7B9">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b/>
                <w:sz w:val="24"/>
              </w:rPr>
            </w:pPr>
            <w:r>
              <w:rPr>
                <w:rFonts w:hint="default" w:ascii="Times New Roman" w:hAnsi="Times New Roman" w:cs="Times New Roman"/>
                <w:b/>
                <w:sz w:val="24"/>
              </w:rPr>
              <w:t>声环境</w:t>
            </w:r>
          </w:p>
        </w:tc>
        <w:tc>
          <w:tcPr>
            <w:tcW w:w="1345" w:type="dxa"/>
            <w:noWrap w:val="0"/>
            <w:vAlign w:val="center"/>
          </w:tcPr>
          <w:p w14:paraId="10223704">
            <w:pPr>
              <w:keepNext w:val="0"/>
              <w:keepLines w:val="0"/>
              <w:suppressLineNumbers w:val="0"/>
              <w:adjustRightInd w:val="0"/>
              <w:snapToGrid w:val="0"/>
              <w:spacing w:before="0" w:beforeAutospacing="0" w:after="0" w:afterAutospacing="0" w:line="300" w:lineRule="exact"/>
              <w:ind w:left="0" w:right="0"/>
              <w:jc w:val="center"/>
              <w:rPr>
                <w:rFonts w:hint="eastAsia" w:ascii="Times New Roman" w:hAnsi="Times New Roman" w:eastAsia="宋体" w:cs="Times New Roman"/>
                <w:sz w:val="24"/>
                <w:szCs w:val="24"/>
                <w:lang w:eastAsia="zh-CN"/>
              </w:rPr>
            </w:pPr>
            <w:r>
              <w:rPr>
                <w:rFonts w:hint="eastAsia" w:ascii="Times New Roman" w:hAnsi="Times New Roman" w:cs="Times New Roman"/>
                <w:bCs/>
                <w:sz w:val="24"/>
                <w:szCs w:val="24"/>
                <w:lang w:eastAsia="zh-CN"/>
              </w:rPr>
              <w:t>设备运行</w:t>
            </w:r>
          </w:p>
        </w:tc>
        <w:tc>
          <w:tcPr>
            <w:tcW w:w="1440" w:type="dxa"/>
            <w:noWrap w:val="0"/>
            <w:vAlign w:val="center"/>
          </w:tcPr>
          <w:p w14:paraId="0D0B3E0D">
            <w:pPr>
              <w:keepNext w:val="0"/>
              <w:keepLines w:val="0"/>
              <w:suppressLineNumbers w:val="0"/>
              <w:adjustRightInd w:val="0"/>
              <w:snapToGrid w:val="0"/>
              <w:spacing w:before="0" w:beforeAutospacing="0" w:after="0" w:afterAutospacing="0" w:line="300" w:lineRule="exact"/>
              <w:ind w:left="0" w:right="0"/>
              <w:jc w:val="center"/>
              <w:rPr>
                <w:rFonts w:hint="eastAsia" w:ascii="Times New Roman" w:hAnsi="Times New Roman" w:eastAsia="宋体" w:cs="Times New Roman"/>
                <w:sz w:val="24"/>
                <w:szCs w:val="24"/>
                <w:lang w:eastAsia="zh-CN"/>
              </w:rPr>
            </w:pPr>
            <w:r>
              <w:rPr>
                <w:rFonts w:hint="eastAsia" w:ascii="Times New Roman" w:hAnsi="Times New Roman" w:eastAsia="宋体" w:cs="Times New Roman"/>
                <w:sz w:val="24"/>
                <w:szCs w:val="24"/>
                <w:lang w:val="en-US" w:eastAsia="zh-CN"/>
              </w:rPr>
              <w:t>连续等效A声级</w:t>
            </w:r>
            <w:r>
              <w:rPr>
                <w:rFonts w:hint="eastAsia"/>
                <w:sz w:val="24"/>
                <w:lang w:eastAsia="zh-CN"/>
              </w:rPr>
              <w:t>、夜间最大声级</w:t>
            </w:r>
          </w:p>
        </w:tc>
        <w:tc>
          <w:tcPr>
            <w:tcW w:w="1349" w:type="dxa"/>
            <w:noWrap w:val="0"/>
            <w:vAlign w:val="center"/>
          </w:tcPr>
          <w:p w14:paraId="5A1DF332">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sz w:val="24"/>
                <w:szCs w:val="24"/>
              </w:rPr>
            </w:pPr>
            <w:r>
              <w:rPr>
                <w:rFonts w:hint="default" w:ascii="Times New Roman" w:hAnsi="Times New Roman" w:cs="Times New Roman"/>
                <w:sz w:val="24"/>
                <w:szCs w:val="24"/>
              </w:rPr>
              <w:t>选用低噪声设备，采取基础减振，厂房隔声</w:t>
            </w:r>
            <w:r>
              <w:rPr>
                <w:rFonts w:hint="eastAsia" w:cs="Times New Roman"/>
                <w:sz w:val="24"/>
                <w:szCs w:val="24"/>
                <w:lang w:eastAsia="zh-CN"/>
              </w:rPr>
              <w:t>，风机</w:t>
            </w:r>
            <w:r>
              <w:rPr>
                <w:rFonts w:hint="default" w:ascii="Times New Roman" w:hAnsi="Times New Roman" w:cs="Times New Roman"/>
                <w:color w:val="auto"/>
                <w:sz w:val="24"/>
                <w:highlight w:val="none"/>
                <w:lang w:eastAsia="zh-CN"/>
              </w:rPr>
              <w:t>采取加装隔音罩，基础减震、</w:t>
            </w:r>
            <w:r>
              <w:rPr>
                <w:rFonts w:hint="default" w:ascii="Times New Roman" w:hAnsi="Times New Roman" w:cs="Times New Roman"/>
                <w:color w:val="auto"/>
                <w:sz w:val="24"/>
              </w:rPr>
              <w:t>厂房隔声</w:t>
            </w:r>
            <w:r>
              <w:rPr>
                <w:rFonts w:hint="default" w:ascii="Times New Roman" w:hAnsi="Times New Roman" w:cs="Times New Roman"/>
                <w:color w:val="auto"/>
                <w:sz w:val="24"/>
                <w:highlight w:val="none"/>
                <w:lang w:eastAsia="zh-CN"/>
              </w:rPr>
              <w:t>等措施</w:t>
            </w:r>
          </w:p>
        </w:tc>
        <w:tc>
          <w:tcPr>
            <w:tcW w:w="1306" w:type="dxa"/>
            <w:noWrap w:val="0"/>
            <w:vAlign w:val="center"/>
          </w:tcPr>
          <w:p w14:paraId="0B6F76FC">
            <w:pPr>
              <w:keepNext w:val="0"/>
              <w:keepLines w:val="0"/>
              <w:suppressLineNumbers w:val="0"/>
              <w:adjustRightInd/>
              <w:snapToGrid/>
              <w:spacing w:before="0" w:beforeAutospacing="0" w:after="0" w:afterAutospacing="0" w:line="240" w:lineRule="auto"/>
              <w:ind w:left="0" w:right="0"/>
              <w:jc w:val="center"/>
              <w:rPr>
                <w:rFonts w:hint="eastAsia" w:ascii="Times New Roman" w:hAnsi="Times New Roman" w:eastAsia="宋体" w:cs="Times New Roman"/>
                <w:color w:val="auto"/>
                <w:sz w:val="24"/>
                <w:szCs w:val="24"/>
                <w:highlight w:val="none"/>
                <w:lang w:eastAsia="zh-CN"/>
              </w:rPr>
            </w:pPr>
            <w:r>
              <w:rPr>
                <w:rFonts w:hint="eastAsia" w:ascii="Times New Roman" w:hAnsi="Times New Roman" w:eastAsia="宋体" w:cs="Times New Roman"/>
                <w:color w:val="auto"/>
                <w:sz w:val="24"/>
                <w:szCs w:val="24"/>
                <w:highlight w:val="none"/>
                <w:lang w:eastAsia="zh-CN"/>
              </w:rPr>
              <w:t>厂界：</w:t>
            </w:r>
          </w:p>
          <w:p w14:paraId="1D089641">
            <w:pPr>
              <w:keepNext w:val="0"/>
              <w:keepLines w:val="0"/>
              <w:suppressLineNumbers w:val="0"/>
              <w:adjustRightInd/>
              <w:snapToGrid/>
              <w:spacing w:before="0" w:beforeAutospacing="0" w:after="0" w:afterAutospacing="0" w:line="240" w:lineRule="auto"/>
              <w:ind w:left="0" w:right="0"/>
              <w:jc w:val="center"/>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昼间：6</w:t>
            </w:r>
            <w:r>
              <w:rPr>
                <w:rFonts w:hint="eastAsia" w:ascii="Times New Roman" w:hAnsi="Times New Roman"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lang w:eastAsia="zh-CN"/>
              </w:rPr>
              <w:t>dB（A）</w:t>
            </w:r>
          </w:p>
          <w:p w14:paraId="35ED8C76">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sz w:val="24"/>
                <w:szCs w:val="24"/>
              </w:rPr>
            </w:pPr>
            <w:r>
              <w:rPr>
                <w:rFonts w:hint="eastAsia" w:ascii="Times New Roman" w:hAnsi="Times New Roman" w:eastAsia="宋体" w:cs="Times New Roman"/>
                <w:color w:val="auto"/>
                <w:sz w:val="24"/>
                <w:szCs w:val="24"/>
                <w:highlight w:val="none"/>
                <w:lang w:val="en-US" w:eastAsia="zh-CN"/>
              </w:rPr>
              <w:t>夜间：5</w:t>
            </w:r>
            <w:r>
              <w:rPr>
                <w:rFonts w:hint="eastAsia" w:ascii="Times New Roman" w:hAnsi="Times New Roman"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lang w:eastAsia="zh-CN"/>
              </w:rPr>
              <w:t>dB（A）</w:t>
            </w:r>
          </w:p>
        </w:tc>
        <w:tc>
          <w:tcPr>
            <w:tcW w:w="2741" w:type="dxa"/>
            <w:noWrap w:val="0"/>
            <w:vAlign w:val="center"/>
          </w:tcPr>
          <w:p w14:paraId="7E9E8606">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sz w:val="24"/>
                <w:szCs w:val="24"/>
              </w:rPr>
            </w:pPr>
            <w:r>
              <w:rPr>
                <w:rFonts w:hint="default" w:ascii="Times New Roman" w:hAnsi="Times New Roman" w:cs="Times New Roman"/>
                <w:sz w:val="24"/>
                <w:szCs w:val="24"/>
              </w:rPr>
              <w:t>《工业企业厂界环境噪声排放标准》（GB12348-2008）</w:t>
            </w:r>
            <w:r>
              <w:rPr>
                <w:rFonts w:hint="eastAsia" w:cs="Times New Roman"/>
                <w:sz w:val="24"/>
                <w:szCs w:val="24"/>
                <w:lang w:val="en-US" w:eastAsia="zh-CN"/>
              </w:rPr>
              <w:t>3</w:t>
            </w:r>
            <w:r>
              <w:rPr>
                <w:rFonts w:hint="default" w:ascii="Times New Roman" w:hAnsi="Times New Roman" w:cs="Times New Roman"/>
                <w:sz w:val="24"/>
                <w:szCs w:val="24"/>
              </w:rPr>
              <w:t>类标准</w:t>
            </w:r>
          </w:p>
        </w:tc>
      </w:tr>
      <w:tr w14:paraId="2D931E1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79" w:type="dxa"/>
            <w:noWrap w:val="0"/>
            <w:vAlign w:val="center"/>
          </w:tcPr>
          <w:p w14:paraId="2DD9265C">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b/>
                <w:sz w:val="24"/>
              </w:rPr>
            </w:pPr>
            <w:r>
              <w:rPr>
                <w:rFonts w:hint="default" w:ascii="Times New Roman" w:hAnsi="Times New Roman" w:cs="Times New Roman"/>
                <w:b/>
                <w:sz w:val="24"/>
              </w:rPr>
              <w:t>电磁辐射</w:t>
            </w:r>
          </w:p>
        </w:tc>
        <w:tc>
          <w:tcPr>
            <w:tcW w:w="1345" w:type="dxa"/>
            <w:noWrap w:val="0"/>
            <w:vAlign w:val="center"/>
          </w:tcPr>
          <w:p w14:paraId="7B5D4E30">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sz w:val="24"/>
                <w:szCs w:val="24"/>
              </w:rPr>
            </w:pPr>
            <w:r>
              <w:rPr>
                <w:rFonts w:hint="default" w:ascii="Times New Roman" w:hAnsi="Times New Roman" w:cs="Times New Roman"/>
                <w:sz w:val="24"/>
                <w:szCs w:val="24"/>
              </w:rPr>
              <w:t>--</w:t>
            </w:r>
          </w:p>
        </w:tc>
        <w:tc>
          <w:tcPr>
            <w:tcW w:w="1440" w:type="dxa"/>
            <w:noWrap w:val="0"/>
            <w:vAlign w:val="center"/>
          </w:tcPr>
          <w:p w14:paraId="3046A68D">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sz w:val="24"/>
                <w:szCs w:val="24"/>
              </w:rPr>
            </w:pPr>
            <w:r>
              <w:rPr>
                <w:rFonts w:hint="default" w:ascii="Times New Roman" w:hAnsi="Times New Roman" w:cs="Times New Roman"/>
                <w:sz w:val="24"/>
                <w:szCs w:val="24"/>
              </w:rPr>
              <w:t>--</w:t>
            </w:r>
          </w:p>
        </w:tc>
        <w:tc>
          <w:tcPr>
            <w:tcW w:w="1349" w:type="dxa"/>
            <w:noWrap w:val="0"/>
            <w:vAlign w:val="center"/>
          </w:tcPr>
          <w:p w14:paraId="7E1B8C9F">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sz w:val="24"/>
                <w:szCs w:val="24"/>
              </w:rPr>
            </w:pPr>
            <w:r>
              <w:rPr>
                <w:rFonts w:hint="default" w:ascii="Times New Roman" w:hAnsi="Times New Roman" w:cs="Times New Roman"/>
                <w:sz w:val="24"/>
                <w:szCs w:val="24"/>
              </w:rPr>
              <w:t>--</w:t>
            </w:r>
          </w:p>
        </w:tc>
        <w:tc>
          <w:tcPr>
            <w:tcW w:w="4047" w:type="dxa"/>
            <w:gridSpan w:val="2"/>
            <w:noWrap w:val="0"/>
            <w:vAlign w:val="center"/>
          </w:tcPr>
          <w:p w14:paraId="579C7FF3">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sz w:val="24"/>
                <w:szCs w:val="24"/>
              </w:rPr>
            </w:pPr>
            <w:r>
              <w:rPr>
                <w:rFonts w:hint="default" w:ascii="Times New Roman" w:hAnsi="Times New Roman" w:cs="Times New Roman"/>
                <w:sz w:val="24"/>
                <w:szCs w:val="24"/>
              </w:rPr>
              <w:t>--</w:t>
            </w:r>
          </w:p>
        </w:tc>
      </w:tr>
      <w:tr w14:paraId="7803E9B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79" w:type="dxa"/>
            <w:vMerge w:val="restart"/>
            <w:noWrap w:val="0"/>
            <w:vAlign w:val="center"/>
          </w:tcPr>
          <w:p w14:paraId="16D5C1FF">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b/>
                <w:sz w:val="24"/>
              </w:rPr>
            </w:pPr>
            <w:r>
              <w:rPr>
                <w:rFonts w:hint="default" w:ascii="Times New Roman" w:hAnsi="Times New Roman" w:cs="Times New Roman"/>
                <w:b/>
                <w:sz w:val="24"/>
              </w:rPr>
              <w:t>固体废物</w:t>
            </w:r>
          </w:p>
        </w:tc>
        <w:tc>
          <w:tcPr>
            <w:tcW w:w="1345" w:type="dxa"/>
            <w:tcBorders>
              <w:bottom w:val="single" w:color="auto" w:sz="4" w:space="0"/>
            </w:tcBorders>
            <w:noWrap w:val="0"/>
            <w:vAlign w:val="center"/>
          </w:tcPr>
          <w:p w14:paraId="2AFD8D44">
            <w:pPr>
              <w:keepNext w:val="0"/>
              <w:keepLines w:val="0"/>
              <w:suppressLineNumbers w:val="0"/>
              <w:adjustRightInd w:val="0"/>
              <w:snapToGrid w:val="0"/>
              <w:spacing w:before="0" w:beforeAutospacing="0" w:after="0" w:afterAutospacing="0" w:line="300" w:lineRule="exact"/>
              <w:ind w:left="0" w:right="0"/>
              <w:jc w:val="center"/>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印刷</w:t>
            </w:r>
          </w:p>
        </w:tc>
        <w:tc>
          <w:tcPr>
            <w:tcW w:w="1440" w:type="dxa"/>
            <w:tcBorders>
              <w:bottom w:val="single" w:color="auto" w:sz="4" w:space="0"/>
            </w:tcBorders>
            <w:noWrap w:val="0"/>
            <w:vAlign w:val="center"/>
          </w:tcPr>
          <w:p w14:paraId="5E2E384B">
            <w:pPr>
              <w:keepNext w:val="0"/>
              <w:keepLines w:val="0"/>
              <w:suppressLineNumbers w:val="0"/>
              <w:adjustRightInd w:val="0"/>
              <w:snapToGrid w:val="0"/>
              <w:spacing w:before="0" w:beforeAutospacing="0" w:after="0" w:afterAutospacing="0" w:line="300" w:lineRule="exact"/>
              <w:ind w:left="0" w:right="0"/>
              <w:jc w:val="center"/>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废纯水桶</w:t>
            </w:r>
          </w:p>
        </w:tc>
        <w:tc>
          <w:tcPr>
            <w:tcW w:w="1349" w:type="dxa"/>
            <w:vMerge w:val="restart"/>
            <w:noWrap w:val="0"/>
            <w:vAlign w:val="center"/>
          </w:tcPr>
          <w:p w14:paraId="4375FBC2">
            <w:pPr>
              <w:keepNext w:val="0"/>
              <w:keepLines w:val="0"/>
              <w:suppressLineNumbers w:val="0"/>
              <w:adjustRightInd w:val="0"/>
              <w:snapToGrid w:val="0"/>
              <w:spacing w:before="0" w:beforeAutospacing="0" w:after="0" w:afterAutospacing="0" w:line="300" w:lineRule="exact"/>
              <w:ind w:left="0" w:right="0"/>
              <w:jc w:val="center"/>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收集后暂存于一般固废间，定期外售</w:t>
            </w:r>
          </w:p>
        </w:tc>
        <w:tc>
          <w:tcPr>
            <w:tcW w:w="4047" w:type="dxa"/>
            <w:gridSpan w:val="2"/>
            <w:vMerge w:val="restart"/>
            <w:noWrap w:val="0"/>
            <w:vAlign w:val="center"/>
          </w:tcPr>
          <w:p w14:paraId="770D076E">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sz w:val="24"/>
                <w:szCs w:val="24"/>
              </w:rPr>
            </w:pPr>
            <w:r>
              <w:rPr>
                <w:rFonts w:hint="eastAsia" w:ascii="Times New Roman" w:hAnsi="Times New Roman" w:cs="Times New Roman"/>
                <w:sz w:val="24"/>
                <w:szCs w:val="24"/>
              </w:rPr>
              <w:t>《</w:t>
            </w:r>
            <w:r>
              <w:rPr>
                <w:rFonts w:hint="default" w:ascii="Times New Roman" w:hAnsi="Times New Roman" w:cs="Times New Roman"/>
                <w:sz w:val="24"/>
                <w:szCs w:val="24"/>
              </w:rPr>
              <w:t>一般工业固体废物贮存和填埋污染控制标准</w:t>
            </w:r>
            <w:r>
              <w:rPr>
                <w:rFonts w:hint="eastAsia" w:ascii="Times New Roman" w:hAnsi="Times New Roman" w:cs="Times New Roman"/>
                <w:sz w:val="24"/>
                <w:szCs w:val="24"/>
              </w:rPr>
              <w:t>》</w:t>
            </w:r>
            <w:r>
              <w:rPr>
                <w:rFonts w:hint="default" w:ascii="Times New Roman" w:hAnsi="Times New Roman" w:cs="Times New Roman"/>
                <w:sz w:val="24"/>
                <w:szCs w:val="24"/>
              </w:rPr>
              <w:t>（GB18599</w:t>
            </w:r>
            <w:r>
              <w:rPr>
                <w:rFonts w:hint="eastAsia" w:ascii="Times New Roman" w:hAnsi="Times New Roman" w:cs="Times New Roman"/>
                <w:sz w:val="24"/>
                <w:szCs w:val="24"/>
              </w:rPr>
              <w:t>-</w:t>
            </w:r>
            <w:r>
              <w:rPr>
                <w:rFonts w:hint="default" w:ascii="Times New Roman" w:hAnsi="Times New Roman" w:cs="Times New Roman"/>
                <w:sz w:val="24"/>
                <w:szCs w:val="24"/>
              </w:rPr>
              <w:t>20</w:t>
            </w:r>
            <w:r>
              <w:rPr>
                <w:rFonts w:hint="eastAsia" w:ascii="Times New Roman" w:hAnsi="Times New Roman" w:cs="Times New Roman"/>
                <w:sz w:val="24"/>
                <w:szCs w:val="24"/>
              </w:rPr>
              <w:t>20</w:t>
            </w:r>
            <w:r>
              <w:rPr>
                <w:rFonts w:hint="default" w:ascii="Times New Roman" w:hAnsi="Times New Roman" w:cs="Times New Roman"/>
                <w:sz w:val="24"/>
                <w:szCs w:val="24"/>
              </w:rPr>
              <w:t>）规定</w:t>
            </w:r>
          </w:p>
        </w:tc>
      </w:tr>
      <w:tr w14:paraId="2F87BE0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79" w:type="dxa"/>
            <w:vMerge w:val="continue"/>
            <w:noWrap w:val="0"/>
            <w:vAlign w:val="center"/>
          </w:tcPr>
          <w:p w14:paraId="66B647D8">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rPr>
            </w:pPr>
          </w:p>
        </w:tc>
        <w:tc>
          <w:tcPr>
            <w:tcW w:w="1345" w:type="dxa"/>
            <w:tcBorders>
              <w:bottom w:val="single" w:color="auto" w:sz="4" w:space="0"/>
            </w:tcBorders>
            <w:noWrap w:val="0"/>
            <w:vAlign w:val="center"/>
          </w:tcPr>
          <w:p w14:paraId="443D7EED">
            <w:pPr>
              <w:keepNext w:val="0"/>
              <w:keepLines w:val="0"/>
              <w:suppressLineNumbers w:val="0"/>
              <w:adjustRightInd w:val="0"/>
              <w:snapToGrid w:val="0"/>
              <w:spacing w:before="0" w:beforeAutospacing="0" w:after="0" w:afterAutospacing="0" w:line="300" w:lineRule="exact"/>
              <w:ind w:left="0" w:right="0"/>
              <w:jc w:val="center"/>
              <w:rPr>
                <w:rFonts w:hint="eastAsia" w:ascii="Times New Roman" w:hAnsi="Times New Roman" w:cs="Times New Roman"/>
                <w:kern w:val="2"/>
                <w:sz w:val="24"/>
                <w:szCs w:val="24"/>
                <w:lang w:val="en-US" w:eastAsia="zh-CN" w:bidi="ar-SA"/>
              </w:rPr>
            </w:pPr>
            <w:r>
              <w:rPr>
                <w:rFonts w:hint="eastAsia" w:ascii="Times New Roman" w:hAnsi="Times New Roman" w:cs="Times New Roman"/>
                <w:sz w:val="24"/>
                <w:szCs w:val="24"/>
                <w:lang w:val="en-US" w:eastAsia="zh-CN"/>
              </w:rPr>
              <w:t>分切</w:t>
            </w:r>
          </w:p>
        </w:tc>
        <w:tc>
          <w:tcPr>
            <w:tcW w:w="1440" w:type="dxa"/>
            <w:tcBorders>
              <w:bottom w:val="single" w:color="auto" w:sz="4" w:space="0"/>
            </w:tcBorders>
            <w:noWrap w:val="0"/>
            <w:vAlign w:val="center"/>
          </w:tcPr>
          <w:p w14:paraId="020FD267">
            <w:pPr>
              <w:keepNext w:val="0"/>
              <w:keepLines w:val="0"/>
              <w:suppressLineNumbers w:val="0"/>
              <w:adjustRightInd w:val="0"/>
              <w:snapToGrid w:val="0"/>
              <w:spacing w:before="0" w:beforeAutospacing="0" w:after="0" w:afterAutospacing="0" w:line="300" w:lineRule="exact"/>
              <w:ind w:left="0" w:right="0"/>
              <w:jc w:val="center"/>
              <w:rPr>
                <w:rFonts w:hint="eastAsia" w:ascii="Times New Roman" w:hAnsi="Times New Roman" w:cs="Times New Roman"/>
                <w:kern w:val="2"/>
                <w:sz w:val="24"/>
                <w:szCs w:val="24"/>
                <w:lang w:val="en-US" w:eastAsia="zh-CN" w:bidi="ar-SA"/>
              </w:rPr>
            </w:pPr>
            <w:r>
              <w:rPr>
                <w:rFonts w:hint="eastAsia" w:ascii="Times New Roman" w:hAnsi="Times New Roman" w:cs="Times New Roman"/>
                <w:sz w:val="24"/>
                <w:szCs w:val="24"/>
                <w:lang w:val="en-US" w:eastAsia="zh-CN"/>
              </w:rPr>
              <w:t>废边角料</w:t>
            </w:r>
          </w:p>
        </w:tc>
        <w:tc>
          <w:tcPr>
            <w:tcW w:w="1349" w:type="dxa"/>
            <w:vMerge w:val="continue"/>
            <w:noWrap w:val="0"/>
            <w:vAlign w:val="center"/>
          </w:tcPr>
          <w:p w14:paraId="2016395D">
            <w:pPr>
              <w:keepNext w:val="0"/>
              <w:keepLines w:val="0"/>
              <w:suppressLineNumbers w:val="0"/>
              <w:adjustRightInd w:val="0"/>
              <w:snapToGrid w:val="0"/>
              <w:spacing w:before="0" w:beforeAutospacing="0" w:after="0" w:afterAutospacing="0" w:line="300" w:lineRule="exact"/>
              <w:ind w:left="0" w:right="0"/>
              <w:jc w:val="center"/>
              <w:rPr>
                <w:rFonts w:hint="eastAsia" w:ascii="Times New Roman" w:hAnsi="Times New Roman" w:cs="Times New Roman"/>
                <w:sz w:val="24"/>
                <w:szCs w:val="24"/>
                <w:lang w:val="en-US" w:eastAsia="zh-CN"/>
              </w:rPr>
            </w:pPr>
          </w:p>
        </w:tc>
        <w:tc>
          <w:tcPr>
            <w:tcW w:w="4047" w:type="dxa"/>
            <w:gridSpan w:val="2"/>
            <w:vMerge w:val="continue"/>
            <w:noWrap w:val="0"/>
            <w:vAlign w:val="center"/>
          </w:tcPr>
          <w:p w14:paraId="32E25B13">
            <w:pPr>
              <w:keepNext w:val="0"/>
              <w:keepLines w:val="0"/>
              <w:suppressLineNumbers w:val="0"/>
              <w:adjustRightInd w:val="0"/>
              <w:snapToGrid w:val="0"/>
              <w:spacing w:before="0" w:beforeAutospacing="0" w:after="0" w:afterAutospacing="0" w:line="300" w:lineRule="exact"/>
              <w:ind w:left="0" w:right="0"/>
              <w:jc w:val="center"/>
              <w:rPr>
                <w:rFonts w:hint="eastAsia" w:ascii="Times New Roman" w:hAnsi="Times New Roman" w:cs="Times New Roman"/>
                <w:sz w:val="24"/>
                <w:szCs w:val="24"/>
                <w:lang w:val="en-US" w:eastAsia="zh-CN"/>
              </w:rPr>
            </w:pPr>
          </w:p>
        </w:tc>
      </w:tr>
      <w:tr w14:paraId="383B48D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79" w:type="dxa"/>
            <w:vMerge w:val="continue"/>
            <w:noWrap w:val="0"/>
            <w:vAlign w:val="center"/>
          </w:tcPr>
          <w:p w14:paraId="14B0F52A">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b/>
                <w:sz w:val="24"/>
              </w:rPr>
            </w:pPr>
          </w:p>
        </w:tc>
        <w:tc>
          <w:tcPr>
            <w:tcW w:w="1345" w:type="dxa"/>
            <w:tcBorders>
              <w:bottom w:val="single" w:color="auto" w:sz="4" w:space="0"/>
            </w:tcBorders>
            <w:noWrap w:val="0"/>
            <w:vAlign w:val="center"/>
          </w:tcPr>
          <w:p w14:paraId="293F2A17">
            <w:pPr>
              <w:keepNext w:val="0"/>
              <w:keepLines w:val="0"/>
              <w:suppressLineNumbers w:val="0"/>
              <w:adjustRightInd w:val="0"/>
              <w:snapToGrid w:val="0"/>
              <w:spacing w:before="0" w:beforeAutospacing="0" w:after="0" w:afterAutospacing="0" w:line="300" w:lineRule="exact"/>
              <w:ind w:left="0" w:right="0"/>
              <w:jc w:val="center"/>
              <w:rPr>
                <w:rFonts w:hint="eastAsia"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检验</w:t>
            </w:r>
          </w:p>
        </w:tc>
        <w:tc>
          <w:tcPr>
            <w:tcW w:w="1440" w:type="dxa"/>
            <w:tcBorders>
              <w:bottom w:val="single" w:color="auto" w:sz="4" w:space="0"/>
            </w:tcBorders>
            <w:noWrap w:val="0"/>
            <w:vAlign w:val="center"/>
          </w:tcPr>
          <w:p w14:paraId="307D5162">
            <w:pPr>
              <w:keepNext w:val="0"/>
              <w:keepLines w:val="0"/>
              <w:suppressLineNumbers w:val="0"/>
              <w:adjustRightInd w:val="0"/>
              <w:snapToGrid w:val="0"/>
              <w:spacing w:before="0" w:beforeAutospacing="0" w:after="0" w:afterAutospacing="0" w:line="300" w:lineRule="exact"/>
              <w:ind w:left="0" w:right="0"/>
              <w:jc w:val="center"/>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不合格品</w:t>
            </w:r>
          </w:p>
        </w:tc>
        <w:tc>
          <w:tcPr>
            <w:tcW w:w="1349" w:type="dxa"/>
            <w:vMerge w:val="continue"/>
            <w:tcBorders>
              <w:bottom w:val="single" w:color="auto" w:sz="4" w:space="0"/>
            </w:tcBorders>
            <w:noWrap w:val="0"/>
            <w:vAlign w:val="center"/>
          </w:tcPr>
          <w:p w14:paraId="4169C8B2">
            <w:pPr>
              <w:keepNext w:val="0"/>
              <w:keepLines w:val="0"/>
              <w:suppressLineNumbers w:val="0"/>
              <w:adjustRightInd w:val="0"/>
              <w:snapToGrid w:val="0"/>
              <w:spacing w:before="0" w:beforeAutospacing="0" w:after="0" w:afterAutospacing="0" w:line="300" w:lineRule="exact"/>
              <w:ind w:left="0" w:right="0"/>
              <w:jc w:val="center"/>
              <w:rPr>
                <w:rFonts w:hint="eastAsia" w:ascii="Times New Roman" w:hAnsi="Times New Roman" w:cs="Times New Roman"/>
                <w:sz w:val="24"/>
                <w:szCs w:val="24"/>
                <w:lang w:val="en-US" w:eastAsia="zh-CN"/>
              </w:rPr>
            </w:pPr>
          </w:p>
        </w:tc>
        <w:tc>
          <w:tcPr>
            <w:tcW w:w="4047" w:type="dxa"/>
            <w:gridSpan w:val="2"/>
            <w:vMerge w:val="continue"/>
            <w:noWrap w:val="0"/>
            <w:vAlign w:val="center"/>
          </w:tcPr>
          <w:p w14:paraId="6BE8B2EE">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sz w:val="24"/>
                <w:szCs w:val="24"/>
              </w:rPr>
            </w:pPr>
          </w:p>
        </w:tc>
      </w:tr>
      <w:tr w14:paraId="2C13D45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879" w:type="dxa"/>
            <w:vMerge w:val="continue"/>
            <w:noWrap w:val="0"/>
            <w:vAlign w:val="center"/>
          </w:tcPr>
          <w:p w14:paraId="34209713">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b/>
                <w:sz w:val="24"/>
              </w:rPr>
            </w:pPr>
          </w:p>
        </w:tc>
        <w:tc>
          <w:tcPr>
            <w:tcW w:w="1345" w:type="dxa"/>
            <w:vMerge w:val="restart"/>
            <w:noWrap w:val="0"/>
            <w:vAlign w:val="center"/>
          </w:tcPr>
          <w:p w14:paraId="67875D09">
            <w:pPr>
              <w:keepNext w:val="0"/>
              <w:keepLines w:val="0"/>
              <w:suppressLineNumbers w:val="0"/>
              <w:adjustRightInd w:val="0"/>
              <w:snapToGrid w:val="0"/>
              <w:spacing w:before="0" w:beforeAutospacing="0" w:after="0" w:afterAutospacing="0" w:line="300" w:lineRule="exact"/>
              <w:ind w:left="0" w:right="0"/>
              <w:jc w:val="center"/>
              <w:rPr>
                <w:rFonts w:hint="eastAsia" w:ascii="Times New Roman" w:hAnsi="Times New Roman" w:cs="Times New Roman"/>
                <w:sz w:val="24"/>
                <w:szCs w:val="24"/>
                <w:highlight w:val="none"/>
                <w:lang w:val="en-US" w:eastAsia="zh-CN"/>
              </w:rPr>
            </w:pPr>
            <w:r>
              <w:rPr>
                <w:rFonts w:hint="eastAsia" w:ascii="Times New Roman" w:hAnsi="Times New Roman" w:cs="Times New Roman"/>
                <w:sz w:val="24"/>
                <w:szCs w:val="24"/>
                <w:highlight w:val="none"/>
                <w:lang w:val="en-US" w:eastAsia="zh-CN"/>
              </w:rPr>
              <w:t>印刷</w:t>
            </w:r>
          </w:p>
        </w:tc>
        <w:tc>
          <w:tcPr>
            <w:tcW w:w="1440" w:type="dxa"/>
            <w:tcBorders>
              <w:bottom w:val="single" w:color="auto" w:sz="4" w:space="0"/>
            </w:tcBorders>
            <w:noWrap w:val="0"/>
            <w:vAlign w:val="center"/>
          </w:tcPr>
          <w:p w14:paraId="0179383C">
            <w:pPr>
              <w:keepNext w:val="0"/>
              <w:keepLines w:val="0"/>
              <w:suppressLineNumbers w:val="0"/>
              <w:adjustRightInd w:val="0"/>
              <w:snapToGrid w:val="0"/>
              <w:spacing w:before="0" w:beforeAutospacing="0" w:after="0" w:afterAutospacing="0" w:line="300" w:lineRule="exact"/>
              <w:ind w:left="0" w:right="0"/>
              <w:jc w:val="center"/>
              <w:rPr>
                <w:rFonts w:hint="eastAsia" w:ascii="Times New Roman" w:hAnsi="Times New Roman" w:cs="Times New Roman"/>
                <w:sz w:val="24"/>
                <w:szCs w:val="24"/>
                <w:lang w:eastAsia="zh-CN"/>
              </w:rPr>
            </w:pPr>
            <w:r>
              <w:rPr>
                <w:rFonts w:hint="eastAsia" w:ascii="Times New Roman" w:hAnsi="Times New Roman" w:cs="Times New Roman"/>
                <w:sz w:val="24"/>
                <w:szCs w:val="24"/>
                <w:lang w:eastAsia="zh-CN"/>
              </w:rPr>
              <w:t>废水性油墨桶</w:t>
            </w:r>
          </w:p>
        </w:tc>
        <w:tc>
          <w:tcPr>
            <w:tcW w:w="1349" w:type="dxa"/>
            <w:vMerge w:val="restart"/>
            <w:noWrap w:val="0"/>
            <w:vAlign w:val="center"/>
          </w:tcPr>
          <w:p w14:paraId="66FDAE4A">
            <w:pPr>
              <w:keepNext w:val="0"/>
              <w:keepLines w:val="0"/>
              <w:suppressLineNumbers w:val="0"/>
              <w:adjustRightInd w:val="0"/>
              <w:snapToGrid w:val="0"/>
              <w:spacing w:before="0" w:beforeAutospacing="0" w:after="0" w:afterAutospacing="0" w:line="300" w:lineRule="exact"/>
              <w:ind w:left="0" w:right="0"/>
              <w:jc w:val="center"/>
              <w:rPr>
                <w:rFonts w:hint="eastAsia" w:ascii="Times New Roman" w:hAnsi="Times New Roman" w:eastAsia="宋体" w:cs="Times New Roman"/>
                <w:sz w:val="24"/>
                <w:szCs w:val="24"/>
                <w:lang w:eastAsia="zh-CN"/>
              </w:rPr>
            </w:pPr>
            <w:r>
              <w:rPr>
                <w:rFonts w:hint="eastAsia" w:ascii="Times New Roman" w:hAnsi="Times New Roman" w:cs="Times New Roman"/>
                <w:sz w:val="24"/>
                <w:szCs w:val="24"/>
                <w:lang w:eastAsia="zh-CN"/>
              </w:rPr>
              <w:t>暂存于危废间，定期交有资质单位处理</w:t>
            </w:r>
          </w:p>
        </w:tc>
        <w:tc>
          <w:tcPr>
            <w:tcW w:w="4047" w:type="dxa"/>
            <w:gridSpan w:val="2"/>
            <w:vMerge w:val="restart"/>
            <w:noWrap w:val="0"/>
            <w:vAlign w:val="center"/>
          </w:tcPr>
          <w:p w14:paraId="55B29DE3">
            <w:pPr>
              <w:keepNext w:val="0"/>
              <w:keepLines w:val="0"/>
              <w:suppressLineNumbers w:val="0"/>
              <w:adjustRightInd w:val="0"/>
              <w:snapToGrid w:val="0"/>
              <w:spacing w:before="0" w:beforeAutospacing="0" w:after="0" w:afterAutospacing="0" w:line="300" w:lineRule="exact"/>
              <w:ind w:left="0" w:right="0"/>
              <w:jc w:val="center"/>
              <w:rPr>
                <w:rFonts w:hint="eastAsia" w:ascii="Times New Roman" w:hAnsi="Times New Roman" w:cs="Times New Roman"/>
                <w:sz w:val="24"/>
                <w:szCs w:val="24"/>
              </w:rPr>
            </w:pPr>
            <w:r>
              <w:rPr>
                <w:rFonts w:hint="eastAsia" w:ascii="Times New Roman" w:hAnsi="Times New Roman" w:cs="Times New Roman"/>
                <w:sz w:val="24"/>
                <w:szCs w:val="24"/>
              </w:rPr>
              <w:t>《危</w:t>
            </w:r>
            <w:r>
              <w:rPr>
                <w:rFonts w:hint="eastAsia" w:ascii="Times New Roman" w:hAnsi="Times New Roman" w:cs="Times New Roman"/>
                <w:color w:val="auto"/>
                <w:sz w:val="24"/>
                <w:szCs w:val="24"/>
              </w:rPr>
              <w:t>险废物贮存污染控制标准》(GB18597-20</w:t>
            </w:r>
            <w:r>
              <w:rPr>
                <w:rFonts w:hint="eastAsia" w:ascii="Times New Roman" w:hAnsi="Times New Roman" w:cs="Times New Roman"/>
                <w:color w:val="auto"/>
                <w:sz w:val="24"/>
                <w:szCs w:val="24"/>
                <w:lang w:eastAsia="zh-CN"/>
              </w:rPr>
              <w:t>2</w:t>
            </w:r>
            <w:r>
              <w:rPr>
                <w:rFonts w:hint="eastAsia" w:ascii="Times New Roman" w:hAnsi="Times New Roman" w:cs="Times New Roman"/>
                <w:color w:val="auto"/>
                <w:sz w:val="24"/>
                <w:szCs w:val="24"/>
                <w:lang w:val="en-US" w:eastAsia="zh-CN"/>
              </w:rPr>
              <w:t>3</w:t>
            </w:r>
            <w:r>
              <w:rPr>
                <w:rFonts w:hint="eastAsia" w:ascii="Times New Roman" w:hAnsi="Times New Roman" w:cs="Times New Roman"/>
                <w:color w:val="auto"/>
                <w:sz w:val="24"/>
                <w:szCs w:val="24"/>
              </w:rPr>
              <w:t>)</w:t>
            </w:r>
          </w:p>
        </w:tc>
      </w:tr>
      <w:tr w14:paraId="506A8F4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79" w:type="dxa"/>
            <w:vMerge w:val="continue"/>
            <w:noWrap w:val="0"/>
            <w:vAlign w:val="center"/>
          </w:tcPr>
          <w:p w14:paraId="7AF14DF5">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rPr>
            </w:pPr>
          </w:p>
        </w:tc>
        <w:tc>
          <w:tcPr>
            <w:tcW w:w="1345" w:type="dxa"/>
            <w:vMerge w:val="continue"/>
            <w:noWrap w:val="0"/>
            <w:vAlign w:val="center"/>
          </w:tcPr>
          <w:p w14:paraId="049CE5C4">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sz w:val="24"/>
              </w:rPr>
            </w:pPr>
          </w:p>
        </w:tc>
        <w:tc>
          <w:tcPr>
            <w:tcW w:w="1440" w:type="dxa"/>
            <w:tcBorders>
              <w:bottom w:val="single" w:color="auto" w:sz="4" w:space="0"/>
            </w:tcBorders>
            <w:noWrap w:val="0"/>
            <w:vAlign w:val="center"/>
          </w:tcPr>
          <w:p w14:paraId="3927BCCF">
            <w:pPr>
              <w:keepNext w:val="0"/>
              <w:keepLines w:val="0"/>
              <w:suppressLineNumbers w:val="0"/>
              <w:adjustRightInd w:val="0"/>
              <w:snapToGrid w:val="0"/>
              <w:spacing w:before="0" w:beforeAutospacing="0" w:after="0" w:afterAutospacing="0" w:line="300" w:lineRule="exact"/>
              <w:ind w:left="0" w:right="0"/>
              <w:jc w:val="center"/>
              <w:rPr>
                <w:rFonts w:hint="eastAsia" w:ascii="Times New Roman" w:hAnsi="Times New Roman" w:cs="Times New Roman"/>
                <w:sz w:val="24"/>
                <w:szCs w:val="24"/>
                <w:lang w:eastAsia="zh-CN"/>
              </w:rPr>
            </w:pPr>
            <w:r>
              <w:rPr>
                <w:rFonts w:hint="eastAsia" w:ascii="Times New Roman" w:hAnsi="Times New Roman" w:cs="Times New Roman"/>
                <w:sz w:val="24"/>
                <w:szCs w:val="24"/>
                <w:lang w:eastAsia="zh-CN"/>
              </w:rPr>
              <w:t>废抹布</w:t>
            </w:r>
          </w:p>
        </w:tc>
        <w:tc>
          <w:tcPr>
            <w:tcW w:w="1349" w:type="dxa"/>
            <w:vMerge w:val="continue"/>
            <w:noWrap w:val="0"/>
            <w:vAlign w:val="center"/>
          </w:tcPr>
          <w:p w14:paraId="16075CFC">
            <w:pPr>
              <w:keepNext w:val="0"/>
              <w:keepLines w:val="0"/>
              <w:suppressLineNumbers w:val="0"/>
              <w:adjustRightInd w:val="0"/>
              <w:snapToGrid w:val="0"/>
              <w:spacing w:before="0" w:beforeAutospacing="0" w:after="0" w:afterAutospacing="0" w:line="300" w:lineRule="exact"/>
              <w:ind w:left="0" w:right="0"/>
              <w:jc w:val="center"/>
              <w:rPr>
                <w:rFonts w:hint="eastAsia" w:ascii="Times New Roman" w:hAnsi="Times New Roman" w:cs="Times New Roman"/>
                <w:sz w:val="24"/>
                <w:szCs w:val="24"/>
                <w:lang w:eastAsia="zh-CN"/>
              </w:rPr>
            </w:pPr>
          </w:p>
        </w:tc>
        <w:tc>
          <w:tcPr>
            <w:tcW w:w="4047" w:type="dxa"/>
            <w:gridSpan w:val="2"/>
            <w:vMerge w:val="continue"/>
            <w:noWrap w:val="0"/>
            <w:vAlign w:val="center"/>
          </w:tcPr>
          <w:p w14:paraId="75C1509A">
            <w:pPr>
              <w:keepNext w:val="0"/>
              <w:keepLines w:val="0"/>
              <w:suppressLineNumbers w:val="0"/>
              <w:adjustRightInd w:val="0"/>
              <w:snapToGrid w:val="0"/>
              <w:spacing w:before="0" w:beforeAutospacing="0" w:after="0" w:afterAutospacing="0" w:line="300" w:lineRule="exact"/>
              <w:ind w:left="0" w:right="0"/>
              <w:jc w:val="center"/>
              <w:rPr>
                <w:rFonts w:hint="eastAsia" w:ascii="Times New Roman" w:hAnsi="Times New Roman" w:cs="Times New Roman"/>
                <w:sz w:val="24"/>
                <w:szCs w:val="24"/>
                <w:lang w:eastAsia="zh-CN"/>
              </w:rPr>
            </w:pPr>
          </w:p>
        </w:tc>
      </w:tr>
      <w:tr w14:paraId="2A0AC9E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79" w:type="dxa"/>
            <w:vMerge w:val="continue"/>
            <w:noWrap w:val="0"/>
            <w:vAlign w:val="center"/>
          </w:tcPr>
          <w:p w14:paraId="105290CE">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b/>
                <w:sz w:val="24"/>
              </w:rPr>
            </w:pPr>
          </w:p>
        </w:tc>
        <w:tc>
          <w:tcPr>
            <w:tcW w:w="1345" w:type="dxa"/>
            <w:tcBorders>
              <w:bottom w:val="single" w:color="auto" w:sz="4" w:space="0"/>
            </w:tcBorders>
            <w:noWrap w:val="0"/>
            <w:vAlign w:val="center"/>
          </w:tcPr>
          <w:p w14:paraId="6958A0C3">
            <w:pPr>
              <w:keepNext w:val="0"/>
              <w:keepLines w:val="0"/>
              <w:suppressLineNumbers w:val="0"/>
              <w:adjustRightInd w:val="0"/>
              <w:snapToGrid w:val="0"/>
              <w:spacing w:before="0" w:beforeAutospacing="0" w:after="0" w:afterAutospacing="0" w:line="300" w:lineRule="exact"/>
              <w:ind w:left="0" w:right="0"/>
              <w:jc w:val="center"/>
              <w:rPr>
                <w:rFonts w:hint="eastAsia" w:ascii="Times New Roman" w:hAnsi="Times New Roman" w:cs="Times New Roman"/>
                <w:sz w:val="24"/>
                <w:szCs w:val="24"/>
                <w:highlight w:val="none"/>
                <w:lang w:val="en-US" w:eastAsia="zh-CN"/>
              </w:rPr>
            </w:pPr>
            <w:r>
              <w:rPr>
                <w:rFonts w:hint="eastAsia" w:ascii="Times New Roman" w:hAnsi="Times New Roman" w:cs="Times New Roman"/>
                <w:sz w:val="24"/>
                <w:szCs w:val="24"/>
                <w:highlight w:val="none"/>
                <w:lang w:val="en-US" w:eastAsia="zh-CN"/>
              </w:rPr>
              <w:t>复合</w:t>
            </w:r>
          </w:p>
        </w:tc>
        <w:tc>
          <w:tcPr>
            <w:tcW w:w="1440" w:type="dxa"/>
            <w:tcBorders>
              <w:bottom w:val="single" w:color="auto" w:sz="4" w:space="0"/>
            </w:tcBorders>
            <w:noWrap w:val="0"/>
            <w:vAlign w:val="center"/>
          </w:tcPr>
          <w:p w14:paraId="3C83F01C">
            <w:pPr>
              <w:keepNext w:val="0"/>
              <w:keepLines w:val="0"/>
              <w:suppressLineNumbers w:val="0"/>
              <w:adjustRightInd w:val="0"/>
              <w:snapToGrid w:val="0"/>
              <w:spacing w:before="0" w:beforeAutospacing="0" w:after="0" w:afterAutospacing="0" w:line="300" w:lineRule="exact"/>
              <w:ind w:left="0" w:right="0"/>
              <w:jc w:val="center"/>
              <w:rPr>
                <w:rFonts w:hint="eastAsia" w:ascii="Times New Roman" w:hAnsi="Times New Roman" w:cs="Times New Roman"/>
                <w:sz w:val="24"/>
                <w:szCs w:val="24"/>
                <w:lang w:eastAsia="zh-CN"/>
              </w:rPr>
            </w:pPr>
            <w:r>
              <w:rPr>
                <w:rFonts w:hint="eastAsia" w:ascii="Times New Roman" w:hAnsi="Times New Roman" w:cs="Times New Roman"/>
                <w:sz w:val="24"/>
                <w:szCs w:val="24"/>
                <w:lang w:eastAsia="zh-CN"/>
              </w:rPr>
              <w:t>废胶粘剂桶</w:t>
            </w:r>
          </w:p>
        </w:tc>
        <w:tc>
          <w:tcPr>
            <w:tcW w:w="1349" w:type="dxa"/>
            <w:vMerge w:val="continue"/>
            <w:noWrap w:val="0"/>
            <w:vAlign w:val="center"/>
          </w:tcPr>
          <w:p w14:paraId="6278B539">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sz w:val="24"/>
                <w:szCs w:val="24"/>
              </w:rPr>
            </w:pPr>
          </w:p>
        </w:tc>
        <w:tc>
          <w:tcPr>
            <w:tcW w:w="4047" w:type="dxa"/>
            <w:gridSpan w:val="2"/>
            <w:vMerge w:val="continue"/>
            <w:noWrap w:val="0"/>
            <w:vAlign w:val="center"/>
          </w:tcPr>
          <w:p w14:paraId="0B33C45E">
            <w:pPr>
              <w:keepNext w:val="0"/>
              <w:keepLines w:val="0"/>
              <w:suppressLineNumbers w:val="0"/>
              <w:adjustRightInd w:val="0"/>
              <w:snapToGrid w:val="0"/>
              <w:spacing w:before="0" w:beforeAutospacing="0" w:after="0" w:afterAutospacing="0" w:line="300" w:lineRule="exact"/>
              <w:ind w:left="0" w:right="0"/>
              <w:jc w:val="center"/>
              <w:rPr>
                <w:rFonts w:hint="eastAsia" w:ascii="Times New Roman" w:hAnsi="Times New Roman" w:cs="Times New Roman"/>
                <w:sz w:val="24"/>
                <w:szCs w:val="24"/>
              </w:rPr>
            </w:pPr>
          </w:p>
        </w:tc>
      </w:tr>
      <w:tr w14:paraId="5DCADFD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79" w:type="dxa"/>
            <w:vMerge w:val="continue"/>
            <w:noWrap w:val="0"/>
            <w:vAlign w:val="center"/>
          </w:tcPr>
          <w:p w14:paraId="046D1A67">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b/>
                <w:sz w:val="24"/>
              </w:rPr>
            </w:pPr>
          </w:p>
        </w:tc>
        <w:tc>
          <w:tcPr>
            <w:tcW w:w="1345" w:type="dxa"/>
            <w:noWrap w:val="0"/>
            <w:vAlign w:val="center"/>
          </w:tcPr>
          <w:p w14:paraId="4AA63907">
            <w:pPr>
              <w:keepNext w:val="0"/>
              <w:keepLines w:val="0"/>
              <w:suppressLineNumbers w:val="0"/>
              <w:adjustRightInd w:val="0"/>
              <w:snapToGrid w:val="0"/>
              <w:spacing w:before="0" w:beforeAutospacing="0" w:after="0" w:afterAutospacing="0" w:line="300" w:lineRule="exact"/>
              <w:ind w:left="0" w:right="0"/>
              <w:jc w:val="center"/>
              <w:rPr>
                <w:rFonts w:hint="eastAsia" w:ascii="Times New Roman" w:hAnsi="Times New Roman" w:cs="Times New Roman"/>
                <w:sz w:val="24"/>
                <w:szCs w:val="24"/>
                <w:highlight w:val="none"/>
                <w:lang w:val="en-US" w:eastAsia="zh-CN"/>
              </w:rPr>
            </w:pPr>
            <w:r>
              <w:rPr>
                <w:rFonts w:hint="eastAsia" w:ascii="Times New Roman" w:hAnsi="Times New Roman" w:cs="Times New Roman"/>
                <w:sz w:val="24"/>
                <w:szCs w:val="24"/>
                <w:highlight w:val="none"/>
                <w:lang w:val="en-US" w:eastAsia="zh-CN"/>
              </w:rPr>
              <w:t>废气治理</w:t>
            </w:r>
          </w:p>
        </w:tc>
        <w:tc>
          <w:tcPr>
            <w:tcW w:w="1440" w:type="dxa"/>
            <w:tcBorders>
              <w:bottom w:val="single" w:color="auto" w:sz="4" w:space="0"/>
            </w:tcBorders>
            <w:noWrap w:val="0"/>
            <w:vAlign w:val="center"/>
          </w:tcPr>
          <w:p w14:paraId="1393CA8C">
            <w:pPr>
              <w:keepNext w:val="0"/>
              <w:keepLines w:val="0"/>
              <w:suppressLineNumbers w:val="0"/>
              <w:adjustRightInd w:val="0"/>
              <w:snapToGrid w:val="0"/>
              <w:spacing w:before="0" w:beforeAutospacing="0" w:after="0" w:afterAutospacing="0" w:line="300" w:lineRule="exact"/>
              <w:ind w:left="0" w:right="0"/>
              <w:jc w:val="center"/>
              <w:rPr>
                <w:rFonts w:hint="eastAsia" w:ascii="Times New Roman" w:hAnsi="Times New Roman" w:eastAsia="宋体" w:cs="Times New Roman"/>
                <w:sz w:val="24"/>
                <w:szCs w:val="24"/>
                <w:lang w:eastAsia="zh-CN"/>
              </w:rPr>
            </w:pPr>
            <w:r>
              <w:rPr>
                <w:rFonts w:hint="eastAsia" w:ascii="Times New Roman" w:hAnsi="Times New Roman" w:cs="Times New Roman"/>
                <w:sz w:val="24"/>
                <w:szCs w:val="24"/>
                <w:lang w:eastAsia="zh-CN"/>
              </w:rPr>
              <w:t>废活性炭</w:t>
            </w:r>
          </w:p>
        </w:tc>
        <w:tc>
          <w:tcPr>
            <w:tcW w:w="1349" w:type="dxa"/>
            <w:vMerge w:val="continue"/>
            <w:noWrap w:val="0"/>
            <w:vAlign w:val="center"/>
          </w:tcPr>
          <w:p w14:paraId="4B0F0784">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sz w:val="24"/>
                <w:szCs w:val="24"/>
              </w:rPr>
            </w:pPr>
          </w:p>
        </w:tc>
        <w:tc>
          <w:tcPr>
            <w:tcW w:w="4047" w:type="dxa"/>
            <w:gridSpan w:val="2"/>
            <w:vMerge w:val="continue"/>
            <w:noWrap w:val="0"/>
            <w:vAlign w:val="center"/>
          </w:tcPr>
          <w:p w14:paraId="6C5049F1">
            <w:pPr>
              <w:keepNext w:val="0"/>
              <w:keepLines w:val="0"/>
              <w:suppressLineNumbers w:val="0"/>
              <w:adjustRightInd w:val="0"/>
              <w:snapToGrid w:val="0"/>
              <w:spacing w:before="0" w:beforeAutospacing="0" w:after="0" w:afterAutospacing="0" w:line="300" w:lineRule="exact"/>
              <w:ind w:left="0" w:right="0"/>
              <w:jc w:val="center"/>
              <w:rPr>
                <w:rFonts w:hint="eastAsia" w:ascii="Times New Roman" w:hAnsi="Times New Roman" w:cs="Times New Roman"/>
                <w:sz w:val="24"/>
                <w:szCs w:val="24"/>
              </w:rPr>
            </w:pPr>
          </w:p>
        </w:tc>
      </w:tr>
      <w:tr w14:paraId="1CA673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79" w:type="dxa"/>
            <w:vMerge w:val="continue"/>
            <w:noWrap w:val="0"/>
            <w:vAlign w:val="center"/>
          </w:tcPr>
          <w:p w14:paraId="2EF28997">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b/>
                <w:sz w:val="24"/>
              </w:rPr>
            </w:pPr>
          </w:p>
        </w:tc>
        <w:tc>
          <w:tcPr>
            <w:tcW w:w="1345" w:type="dxa"/>
            <w:shd w:val="clear" w:color="auto" w:fill="auto"/>
            <w:noWrap w:val="0"/>
            <w:vAlign w:val="center"/>
          </w:tcPr>
          <w:p w14:paraId="6C1C29FD">
            <w:pPr>
              <w:keepNext w:val="0"/>
              <w:keepLines w:val="0"/>
              <w:suppressLineNumbers w:val="0"/>
              <w:adjustRightInd w:val="0"/>
              <w:snapToGrid w:val="0"/>
              <w:spacing w:before="0" w:beforeAutospacing="0" w:after="0" w:afterAutospacing="0" w:line="300" w:lineRule="exact"/>
              <w:ind w:left="0" w:leftChars="0" w:right="0" w:rightChars="0"/>
              <w:jc w:val="center"/>
              <w:rPr>
                <w:rFonts w:hint="eastAsia" w:ascii="Times New Roman" w:hAnsi="Times New Roman" w:eastAsia="宋体" w:cs="Times New Roman"/>
                <w:kern w:val="2"/>
                <w:sz w:val="24"/>
                <w:szCs w:val="24"/>
                <w:highlight w:val="none"/>
                <w:lang w:val="en-US" w:eastAsia="zh-CN" w:bidi="ar-SA"/>
              </w:rPr>
            </w:pPr>
            <w:r>
              <w:rPr>
                <w:rFonts w:hint="eastAsia" w:cs="Times New Roman"/>
                <w:sz w:val="24"/>
                <w:szCs w:val="24"/>
                <w:highlight w:val="none"/>
                <w:lang w:val="en-US" w:eastAsia="zh-CN"/>
              </w:rPr>
              <w:t>洁净车间空气过滤器</w:t>
            </w:r>
          </w:p>
        </w:tc>
        <w:tc>
          <w:tcPr>
            <w:tcW w:w="1440" w:type="dxa"/>
            <w:tcBorders>
              <w:bottom w:val="single" w:color="auto" w:sz="4" w:space="0"/>
            </w:tcBorders>
            <w:shd w:val="clear" w:color="auto" w:fill="auto"/>
            <w:noWrap w:val="0"/>
            <w:vAlign w:val="center"/>
          </w:tcPr>
          <w:p w14:paraId="03FDC60E">
            <w:pPr>
              <w:keepNext w:val="0"/>
              <w:keepLines w:val="0"/>
              <w:suppressLineNumbers w:val="0"/>
              <w:adjustRightInd w:val="0"/>
              <w:snapToGrid w:val="0"/>
              <w:spacing w:before="0" w:beforeAutospacing="0" w:after="0" w:afterAutospacing="0" w:line="300" w:lineRule="exact"/>
              <w:ind w:left="0" w:leftChars="0" w:right="0" w:rightChars="0"/>
              <w:jc w:val="center"/>
              <w:rPr>
                <w:rFonts w:hint="eastAsia" w:ascii="Times New Roman" w:hAnsi="Times New Roman" w:eastAsia="宋体" w:cs="Times New Roman"/>
                <w:kern w:val="2"/>
                <w:sz w:val="24"/>
                <w:szCs w:val="24"/>
                <w:highlight w:val="none"/>
                <w:lang w:val="en-US" w:eastAsia="zh-CN" w:bidi="ar-SA"/>
              </w:rPr>
            </w:pPr>
            <w:r>
              <w:rPr>
                <w:rFonts w:hint="eastAsia" w:cs="Times New Roman"/>
                <w:sz w:val="24"/>
                <w:szCs w:val="24"/>
                <w:highlight w:val="none"/>
                <w:lang w:val="en-US" w:eastAsia="zh-CN"/>
              </w:rPr>
              <w:t>废过滤介质</w:t>
            </w:r>
          </w:p>
        </w:tc>
        <w:tc>
          <w:tcPr>
            <w:tcW w:w="1349" w:type="dxa"/>
            <w:vMerge w:val="continue"/>
            <w:noWrap w:val="0"/>
            <w:vAlign w:val="center"/>
          </w:tcPr>
          <w:p w14:paraId="290A7CA5">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sz w:val="24"/>
                <w:szCs w:val="24"/>
              </w:rPr>
            </w:pPr>
          </w:p>
        </w:tc>
        <w:tc>
          <w:tcPr>
            <w:tcW w:w="4047" w:type="dxa"/>
            <w:gridSpan w:val="2"/>
            <w:vMerge w:val="continue"/>
            <w:noWrap w:val="0"/>
            <w:vAlign w:val="center"/>
          </w:tcPr>
          <w:p w14:paraId="3FE32936">
            <w:pPr>
              <w:keepNext w:val="0"/>
              <w:keepLines w:val="0"/>
              <w:suppressLineNumbers w:val="0"/>
              <w:adjustRightInd w:val="0"/>
              <w:snapToGrid w:val="0"/>
              <w:spacing w:before="0" w:beforeAutospacing="0" w:after="0" w:afterAutospacing="0" w:line="300" w:lineRule="exact"/>
              <w:ind w:left="0" w:right="0"/>
              <w:jc w:val="center"/>
              <w:rPr>
                <w:rFonts w:hint="eastAsia" w:ascii="Times New Roman" w:hAnsi="Times New Roman" w:cs="Times New Roman"/>
                <w:sz w:val="24"/>
                <w:szCs w:val="24"/>
              </w:rPr>
            </w:pPr>
          </w:p>
        </w:tc>
      </w:tr>
      <w:tr w14:paraId="13EB25A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62" w:hRule="atLeast"/>
          <w:jc w:val="center"/>
        </w:trPr>
        <w:tc>
          <w:tcPr>
            <w:tcW w:w="879" w:type="dxa"/>
            <w:noWrap w:val="0"/>
            <w:vAlign w:val="center"/>
          </w:tcPr>
          <w:p w14:paraId="6867646F">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b/>
                <w:sz w:val="24"/>
              </w:rPr>
            </w:pPr>
            <w:r>
              <w:rPr>
                <w:rFonts w:hint="default" w:ascii="Times New Roman" w:hAnsi="Times New Roman" w:cs="Times New Roman"/>
                <w:b/>
                <w:sz w:val="24"/>
              </w:rPr>
              <w:t>土壤及地下水污染防治措施</w:t>
            </w:r>
          </w:p>
        </w:tc>
        <w:tc>
          <w:tcPr>
            <w:tcW w:w="8181" w:type="dxa"/>
            <w:gridSpan w:val="5"/>
            <w:noWrap w:val="0"/>
            <w:vAlign w:val="center"/>
          </w:tcPr>
          <w:p w14:paraId="3320587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00" w:lineRule="atLeast"/>
              <w:ind w:left="0" w:right="0"/>
              <w:jc w:val="left"/>
              <w:textAlignment w:val="auto"/>
              <w:rPr>
                <w:rFonts w:hint="eastAsia" w:ascii="Times New Roman" w:hAnsi="Times New Roman" w:eastAsia="宋体" w:cs="Times New Roman"/>
                <w:snapToGrid w:val="0"/>
                <w:color w:val="auto"/>
                <w:sz w:val="24"/>
                <w:szCs w:val="24"/>
                <w:lang w:val="en-US" w:eastAsia="zh-CN" w:bidi="ar-SA"/>
              </w:rPr>
            </w:pPr>
            <w:r>
              <w:rPr>
                <w:rFonts w:hint="eastAsia" w:ascii="Times New Roman" w:hAnsi="Times New Roman" w:eastAsia="宋体" w:cs="Times New Roman"/>
                <w:snapToGrid w:val="0"/>
                <w:color w:val="auto"/>
                <w:sz w:val="24"/>
                <w:szCs w:val="24"/>
                <w:lang w:val="en-US" w:eastAsia="zh-CN" w:bidi="ar-SA"/>
              </w:rPr>
              <w:t>重点</w:t>
            </w:r>
            <w:r>
              <w:rPr>
                <w:rFonts w:hint="default" w:ascii="Times New Roman" w:hAnsi="Times New Roman" w:eastAsia="宋体" w:cs="Times New Roman"/>
                <w:snapToGrid w:val="0"/>
                <w:color w:val="auto"/>
                <w:sz w:val="24"/>
                <w:szCs w:val="24"/>
                <w:lang w:val="en-US" w:eastAsia="zh-CN" w:bidi="ar-SA"/>
              </w:rPr>
              <w:t>防渗区：</w:t>
            </w:r>
            <w:r>
              <w:rPr>
                <w:rFonts w:hint="eastAsia" w:ascii="Times New Roman" w:hAnsi="Times New Roman" w:eastAsia="宋体" w:cs="Times New Roman"/>
                <w:snapToGrid w:val="0"/>
                <w:color w:val="auto"/>
                <w:sz w:val="24"/>
                <w:szCs w:val="24"/>
                <w:lang w:val="en-US" w:eastAsia="zh-CN" w:bidi="ar-SA"/>
              </w:rPr>
              <w:t>危废间、原料区、印刷间、配制间进行</w:t>
            </w:r>
            <w:r>
              <w:rPr>
                <w:rFonts w:hint="default" w:ascii="Times New Roman" w:hAnsi="Times New Roman" w:eastAsia="宋体" w:cs="Times New Roman"/>
                <w:snapToGrid w:val="0"/>
                <w:color w:val="auto"/>
                <w:sz w:val="24"/>
                <w:szCs w:val="24"/>
                <w:lang w:val="en-US" w:eastAsia="zh-CN" w:bidi="ar-SA"/>
              </w:rPr>
              <w:t>重点防渗，等效黏土防渗层Mb≥6.0m，K≤1×10</w:t>
            </w:r>
            <w:r>
              <w:rPr>
                <w:rFonts w:hint="default" w:ascii="Times New Roman" w:hAnsi="Times New Roman" w:eastAsia="宋体" w:cs="Times New Roman"/>
                <w:snapToGrid w:val="0"/>
                <w:color w:val="auto"/>
                <w:sz w:val="24"/>
                <w:szCs w:val="24"/>
                <w:vertAlign w:val="superscript"/>
                <w:lang w:val="en-US" w:eastAsia="zh-CN" w:bidi="ar-SA"/>
              </w:rPr>
              <w:t>-10</w:t>
            </w:r>
            <w:r>
              <w:rPr>
                <w:rFonts w:hint="default" w:ascii="Times New Roman" w:hAnsi="Times New Roman" w:eastAsia="宋体" w:cs="Times New Roman"/>
                <w:snapToGrid w:val="0"/>
                <w:color w:val="auto"/>
                <w:sz w:val="24"/>
                <w:szCs w:val="24"/>
                <w:lang w:val="en-US" w:eastAsia="zh-CN" w:bidi="ar-SA"/>
              </w:rPr>
              <w:t>cm/s</w:t>
            </w:r>
            <w:r>
              <w:rPr>
                <w:rFonts w:hint="eastAsia" w:ascii="Times New Roman" w:hAnsi="Times New Roman" w:eastAsia="宋体" w:cs="Times New Roman"/>
                <w:snapToGrid w:val="0"/>
                <w:color w:val="auto"/>
                <w:sz w:val="24"/>
                <w:szCs w:val="24"/>
                <w:lang w:val="en-US" w:eastAsia="zh-CN" w:bidi="ar-SA"/>
              </w:rPr>
              <w:t>；</w:t>
            </w:r>
          </w:p>
          <w:p w14:paraId="6511252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00" w:lineRule="atLeast"/>
              <w:ind w:left="0" w:right="0"/>
              <w:jc w:val="left"/>
              <w:textAlignment w:val="auto"/>
              <w:rPr>
                <w:rFonts w:hint="eastAsia" w:ascii="Times New Roman" w:hAnsi="Times New Roman" w:eastAsia="宋体" w:cs="Times New Roman"/>
                <w:snapToGrid w:val="0"/>
                <w:color w:val="auto"/>
                <w:sz w:val="24"/>
                <w:szCs w:val="24"/>
                <w:lang w:val="en-US" w:eastAsia="zh-CN" w:bidi="ar-SA"/>
              </w:rPr>
            </w:pPr>
            <w:r>
              <w:rPr>
                <w:rFonts w:hint="eastAsia" w:ascii="Times New Roman" w:hAnsi="Times New Roman" w:eastAsia="宋体" w:cs="Times New Roman"/>
                <w:snapToGrid w:val="0"/>
                <w:color w:val="auto"/>
                <w:sz w:val="24"/>
                <w:szCs w:val="24"/>
                <w:lang w:val="en-US" w:eastAsia="zh-CN" w:bidi="ar-SA"/>
              </w:rPr>
              <w:t>一般防渗区：生产车间、一般固废间进行</w:t>
            </w:r>
            <w:r>
              <w:rPr>
                <w:rFonts w:hint="default" w:ascii="Times New Roman" w:hAnsi="Times New Roman" w:eastAsia="宋体" w:cs="Times New Roman"/>
                <w:snapToGrid w:val="0"/>
                <w:color w:val="auto"/>
                <w:sz w:val="24"/>
                <w:szCs w:val="24"/>
                <w:lang w:val="en-US" w:eastAsia="zh-CN" w:bidi="ar-SA"/>
              </w:rPr>
              <w:t>防渗处理，等效黏土防渗层Mb≥</w:t>
            </w:r>
            <w:r>
              <w:rPr>
                <w:rFonts w:hint="eastAsia" w:ascii="Times New Roman" w:hAnsi="Times New Roman" w:eastAsia="宋体" w:cs="Times New Roman"/>
                <w:snapToGrid w:val="0"/>
                <w:color w:val="auto"/>
                <w:sz w:val="24"/>
                <w:szCs w:val="24"/>
                <w:lang w:val="en-US" w:eastAsia="zh-CN" w:bidi="ar-SA"/>
              </w:rPr>
              <w:t>1.5</w:t>
            </w:r>
            <w:r>
              <w:rPr>
                <w:rFonts w:hint="default" w:ascii="Times New Roman" w:hAnsi="Times New Roman" w:eastAsia="宋体" w:cs="Times New Roman"/>
                <w:snapToGrid w:val="0"/>
                <w:color w:val="auto"/>
                <w:sz w:val="24"/>
                <w:szCs w:val="24"/>
                <w:lang w:val="en-US" w:eastAsia="zh-CN" w:bidi="ar-SA"/>
              </w:rPr>
              <w:t>m，K≤1×10</w:t>
            </w:r>
            <w:r>
              <w:rPr>
                <w:rFonts w:hint="default" w:ascii="Times New Roman" w:hAnsi="Times New Roman" w:eastAsia="宋体" w:cs="Times New Roman"/>
                <w:snapToGrid w:val="0"/>
                <w:color w:val="auto"/>
                <w:sz w:val="24"/>
                <w:szCs w:val="24"/>
                <w:vertAlign w:val="superscript"/>
                <w:lang w:val="en-US" w:eastAsia="zh-CN" w:bidi="ar-SA"/>
              </w:rPr>
              <w:t>-7</w:t>
            </w:r>
            <w:r>
              <w:rPr>
                <w:rFonts w:hint="default" w:ascii="Times New Roman" w:hAnsi="Times New Roman" w:eastAsia="宋体" w:cs="Times New Roman"/>
                <w:snapToGrid w:val="0"/>
                <w:color w:val="auto"/>
                <w:sz w:val="24"/>
                <w:szCs w:val="24"/>
                <w:lang w:val="en-US" w:eastAsia="zh-CN" w:bidi="ar-SA"/>
              </w:rPr>
              <w:t>cm/s</w:t>
            </w:r>
            <w:r>
              <w:rPr>
                <w:rFonts w:hint="eastAsia" w:cs="Times New Roman"/>
                <w:snapToGrid w:val="0"/>
                <w:color w:val="auto"/>
                <w:sz w:val="24"/>
                <w:szCs w:val="24"/>
                <w:lang w:val="en-US" w:eastAsia="zh-CN" w:bidi="ar-SA"/>
              </w:rPr>
              <w:t>；</w:t>
            </w:r>
          </w:p>
          <w:p w14:paraId="1F5C54CD">
            <w:pPr>
              <w:keepNext w:val="0"/>
              <w:keepLines w:val="0"/>
              <w:suppressLineNumbers w:val="0"/>
              <w:adjustRightInd w:val="0"/>
              <w:snapToGrid w:val="0"/>
              <w:spacing w:before="0" w:beforeAutospacing="0" w:after="0" w:afterAutospacing="0" w:line="300" w:lineRule="atLeast"/>
              <w:ind w:left="0" w:right="0"/>
              <w:jc w:val="left"/>
              <w:rPr>
                <w:rFonts w:hint="default" w:ascii="Times New Roman" w:hAnsi="Times New Roman" w:eastAsia="宋体" w:cs="Times New Roman"/>
                <w:snapToGrid w:val="0"/>
                <w:color w:val="auto"/>
                <w:sz w:val="24"/>
                <w:szCs w:val="24"/>
                <w:lang w:val="en-US" w:eastAsia="zh-CN" w:bidi="ar-SA"/>
              </w:rPr>
            </w:pPr>
            <w:r>
              <w:rPr>
                <w:rFonts w:hint="eastAsia" w:ascii="Times New Roman" w:hAnsi="Times New Roman" w:eastAsia="宋体" w:cs="Times New Roman"/>
                <w:snapToGrid w:val="0"/>
                <w:color w:val="auto"/>
                <w:sz w:val="24"/>
                <w:szCs w:val="24"/>
                <w:lang w:val="en-US" w:eastAsia="zh-CN" w:bidi="ar-SA"/>
              </w:rPr>
              <w:t>简单防渗：倒班楼、门卫、厂区道路等进行</w:t>
            </w:r>
            <w:r>
              <w:rPr>
                <w:rFonts w:hint="eastAsia" w:cs="Times New Roman"/>
                <w:snapToGrid w:val="0"/>
                <w:color w:val="auto"/>
                <w:sz w:val="24"/>
                <w:szCs w:val="24"/>
                <w:lang w:val="en-US" w:eastAsia="zh-CN" w:bidi="ar-SA"/>
              </w:rPr>
              <w:t>简单防渗，进行</w:t>
            </w:r>
            <w:r>
              <w:rPr>
                <w:rFonts w:hint="eastAsia" w:ascii="Times New Roman" w:hAnsi="Times New Roman" w:eastAsia="宋体" w:cs="Times New Roman"/>
                <w:snapToGrid w:val="0"/>
                <w:color w:val="auto"/>
                <w:sz w:val="24"/>
                <w:szCs w:val="24"/>
                <w:lang w:val="en-US" w:eastAsia="zh-CN" w:bidi="ar-SA"/>
              </w:rPr>
              <w:t>水泥硬化。</w:t>
            </w:r>
          </w:p>
        </w:tc>
      </w:tr>
      <w:tr w14:paraId="704A54A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8" w:hRule="atLeast"/>
          <w:jc w:val="center"/>
        </w:trPr>
        <w:tc>
          <w:tcPr>
            <w:tcW w:w="879" w:type="dxa"/>
            <w:noWrap w:val="0"/>
            <w:vAlign w:val="center"/>
          </w:tcPr>
          <w:p w14:paraId="5B1CB654">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b/>
                <w:sz w:val="24"/>
              </w:rPr>
            </w:pPr>
            <w:r>
              <w:rPr>
                <w:rFonts w:hint="default" w:ascii="Times New Roman" w:hAnsi="Times New Roman" w:cs="Times New Roman"/>
                <w:b/>
                <w:sz w:val="24"/>
              </w:rPr>
              <w:t>生态保护措施</w:t>
            </w:r>
          </w:p>
        </w:tc>
        <w:tc>
          <w:tcPr>
            <w:tcW w:w="8181" w:type="dxa"/>
            <w:gridSpan w:val="5"/>
            <w:noWrap w:val="0"/>
            <w:vAlign w:val="center"/>
          </w:tcPr>
          <w:p w14:paraId="5FC66A23">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00" w:lineRule="atLeast"/>
              <w:ind w:left="0" w:right="0"/>
              <w:jc w:val="both"/>
              <w:textAlignment w:val="auto"/>
              <w:rPr>
                <w:rFonts w:hint="default" w:ascii="Times New Roman" w:hAnsi="Times New Roman" w:cs="Times New Roman"/>
                <w:sz w:val="24"/>
              </w:rPr>
            </w:pPr>
            <w:r>
              <w:rPr>
                <w:rFonts w:hint="default" w:ascii="Times New Roman" w:hAnsi="Times New Roman" w:eastAsia="宋体" w:cs="Times New Roman"/>
                <w:snapToGrid w:val="0"/>
                <w:color w:val="auto"/>
                <w:sz w:val="24"/>
                <w:szCs w:val="24"/>
                <w:lang w:val="en-US" w:eastAsia="zh-CN" w:bidi="ar-SA"/>
              </w:rPr>
              <w:t>项目不会引起水土流失和地表植被破坏，对现有生态、结构和功能不会引起变化，项目无生态环境影响问题</w:t>
            </w:r>
          </w:p>
        </w:tc>
      </w:tr>
      <w:tr w14:paraId="7B2DDC5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704" w:hRule="atLeast"/>
          <w:jc w:val="center"/>
        </w:trPr>
        <w:tc>
          <w:tcPr>
            <w:tcW w:w="879" w:type="dxa"/>
            <w:noWrap w:val="0"/>
            <w:vAlign w:val="center"/>
          </w:tcPr>
          <w:p w14:paraId="2B1E4F67">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b/>
                <w:spacing w:val="-8"/>
                <w:sz w:val="24"/>
                <w:highlight w:val="none"/>
              </w:rPr>
            </w:pPr>
            <w:r>
              <w:rPr>
                <w:rFonts w:hint="default" w:ascii="Times New Roman" w:hAnsi="Times New Roman" w:cs="Times New Roman"/>
                <w:b/>
                <w:spacing w:val="-8"/>
                <w:sz w:val="24"/>
                <w:highlight w:val="none"/>
              </w:rPr>
              <w:t>环境风险</w:t>
            </w:r>
          </w:p>
          <w:p w14:paraId="0DC89936">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b/>
                <w:sz w:val="24"/>
                <w:highlight w:val="none"/>
              </w:rPr>
            </w:pPr>
            <w:r>
              <w:rPr>
                <w:rFonts w:hint="default" w:ascii="Times New Roman" w:hAnsi="Times New Roman" w:cs="Times New Roman"/>
                <w:b/>
                <w:spacing w:val="-8"/>
                <w:sz w:val="24"/>
                <w:highlight w:val="none"/>
              </w:rPr>
              <w:t>防范措施</w:t>
            </w:r>
          </w:p>
        </w:tc>
        <w:tc>
          <w:tcPr>
            <w:tcW w:w="8181" w:type="dxa"/>
            <w:gridSpan w:val="5"/>
            <w:noWrap w:val="0"/>
            <w:vAlign w:val="center"/>
          </w:tcPr>
          <w:p w14:paraId="37624572">
            <w:pPr>
              <w:keepNext w:val="0"/>
              <w:keepLines w:val="0"/>
              <w:suppressLineNumbers w:val="0"/>
              <w:adjustRightInd w:val="0"/>
              <w:snapToGrid w:val="0"/>
              <w:spacing w:before="0" w:beforeAutospacing="0" w:after="0" w:afterAutospacing="0" w:line="360" w:lineRule="atLeast"/>
              <w:ind w:left="0" w:right="0"/>
              <w:jc w:val="left"/>
              <w:rPr>
                <w:rFonts w:hint="default"/>
                <w:kern w:val="0"/>
                <w:sz w:val="24"/>
                <w:szCs w:val="24"/>
                <w:highlight w:val="none"/>
                <w:lang w:bidi="en-US"/>
              </w:rPr>
            </w:pPr>
            <w:r>
              <w:rPr>
                <w:rFonts w:hint="default"/>
                <w:kern w:val="0"/>
                <w:sz w:val="24"/>
                <w:szCs w:val="24"/>
                <w:highlight w:val="none"/>
                <w:lang w:bidi="en-US"/>
              </w:rPr>
              <w:t>1）要求企业强化风险意识、加强安全管理，进行广泛系统的培训，使所有操作人员熟悉自己的岗位，树立严谨规范的操作作风，并且在任何紧急状况下都能随时对工艺装置进行控制，并及时、独立、正确地实施相关应急措施。</w:t>
            </w:r>
          </w:p>
          <w:p w14:paraId="735B8A4A">
            <w:pPr>
              <w:keepNext w:val="0"/>
              <w:keepLines w:val="0"/>
              <w:suppressLineNumbers w:val="0"/>
              <w:adjustRightInd w:val="0"/>
              <w:snapToGrid w:val="0"/>
              <w:spacing w:before="0" w:beforeAutospacing="0" w:after="0" w:afterAutospacing="0" w:line="360" w:lineRule="atLeast"/>
              <w:ind w:left="0" w:right="0"/>
              <w:jc w:val="left"/>
              <w:rPr>
                <w:rFonts w:hint="default"/>
                <w:kern w:val="0"/>
                <w:sz w:val="24"/>
                <w:szCs w:val="24"/>
                <w:highlight w:val="none"/>
                <w:lang w:bidi="en-US"/>
              </w:rPr>
            </w:pPr>
            <w:r>
              <w:rPr>
                <w:rFonts w:hint="default"/>
                <w:kern w:val="0"/>
                <w:sz w:val="24"/>
                <w:szCs w:val="24"/>
                <w:highlight w:val="none"/>
                <w:lang w:bidi="en-US"/>
              </w:rPr>
              <w:t>2）要求企业严格按照不同原辅料的性质分类贮存，防止原辅料泄漏液进入附近水体或土壤；对各类原料的包装须定期进行检查，一旦发现有老化、破损现象须及时更换包装，杜绝风险事故的发生。</w:t>
            </w:r>
          </w:p>
          <w:p w14:paraId="2D66C22A">
            <w:pPr>
              <w:keepNext w:val="0"/>
              <w:keepLines w:val="0"/>
              <w:suppressLineNumbers w:val="0"/>
              <w:adjustRightInd w:val="0"/>
              <w:snapToGrid w:val="0"/>
              <w:spacing w:before="0" w:beforeAutospacing="0" w:after="0" w:afterAutospacing="0" w:line="360" w:lineRule="atLeast"/>
              <w:ind w:left="0" w:right="0"/>
              <w:jc w:val="left"/>
              <w:rPr>
                <w:rFonts w:hint="default"/>
                <w:kern w:val="0"/>
                <w:sz w:val="24"/>
                <w:szCs w:val="24"/>
                <w:highlight w:val="none"/>
                <w:lang w:bidi="en-US"/>
              </w:rPr>
            </w:pPr>
            <w:r>
              <w:rPr>
                <w:rFonts w:hint="default"/>
                <w:kern w:val="0"/>
                <w:sz w:val="24"/>
                <w:szCs w:val="24"/>
                <w:highlight w:val="none"/>
                <w:lang w:bidi="en-US"/>
              </w:rPr>
              <w:t>3）要求厂区内设置危险废物贮存场所，并按照《危险废物贮存污染控制标准》（GB18597-2023）的规定做好防雨淋、防渗漏、防流失措施，各类危险废物暂存危废间，定期交由有危废资质的单位收集处理。同时，建设单位在危险废物转移过程中须严格执行转移联单制度，并做好记录台账，防止危险废物在转移过程中发生遗失事故。</w:t>
            </w:r>
          </w:p>
          <w:p w14:paraId="5523CF86">
            <w:pPr>
              <w:keepNext w:val="0"/>
              <w:keepLines w:val="0"/>
              <w:suppressLineNumbers w:val="0"/>
              <w:adjustRightInd w:val="0"/>
              <w:snapToGrid w:val="0"/>
              <w:spacing w:before="0" w:beforeAutospacing="0" w:after="0" w:afterAutospacing="0" w:line="360" w:lineRule="atLeast"/>
              <w:ind w:left="0" w:right="0"/>
              <w:jc w:val="left"/>
              <w:rPr>
                <w:rFonts w:hint="default"/>
                <w:kern w:val="0"/>
                <w:sz w:val="24"/>
                <w:szCs w:val="24"/>
                <w:highlight w:val="none"/>
                <w:lang w:bidi="en-US"/>
              </w:rPr>
            </w:pPr>
            <w:r>
              <w:rPr>
                <w:rFonts w:hint="default"/>
                <w:kern w:val="0"/>
                <w:sz w:val="24"/>
                <w:szCs w:val="24"/>
                <w:highlight w:val="none"/>
                <w:lang w:bidi="en-US"/>
              </w:rPr>
              <w:t>4）要求企业定期对废气收集、处理设施进行维护、修理，使其处于正常运转状态，杜绝事故性排放；一旦发现废气收集、处理设施出现故障，须立即停止生产，待故障排除完毕、治理设施正常运行后方可恢复生产。</w:t>
            </w:r>
          </w:p>
          <w:p w14:paraId="34903EB3">
            <w:pPr>
              <w:keepNext w:val="0"/>
              <w:keepLines w:val="0"/>
              <w:suppressLineNumbers w:val="0"/>
              <w:adjustRightInd w:val="0"/>
              <w:snapToGrid w:val="0"/>
              <w:spacing w:before="0" w:beforeAutospacing="0" w:after="0" w:afterAutospacing="0" w:line="360" w:lineRule="atLeast"/>
              <w:ind w:left="0" w:right="0"/>
              <w:jc w:val="left"/>
              <w:rPr>
                <w:rFonts w:hint="default"/>
                <w:kern w:val="0"/>
                <w:sz w:val="24"/>
                <w:szCs w:val="24"/>
                <w:highlight w:val="none"/>
                <w:lang w:bidi="en-US"/>
              </w:rPr>
            </w:pPr>
            <w:r>
              <w:rPr>
                <w:rFonts w:hint="default"/>
                <w:kern w:val="0"/>
                <w:sz w:val="24"/>
                <w:szCs w:val="24"/>
                <w:highlight w:val="none"/>
                <w:lang w:bidi="en-US"/>
              </w:rPr>
              <w:t>5）要求企业重视安全措施建设，除了配备必要的消防应急措施外，还应加强车间的通风设施建设，保证车间内良好通风。同时，车间内应杜绝明火，车间墙壁张贴相应警告标志，平时加强对生产设备的维护、检修，确保设备正常运行。</w:t>
            </w:r>
          </w:p>
          <w:p w14:paraId="60C84D7F">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jc w:val="both"/>
              <w:textAlignment w:val="auto"/>
              <w:rPr>
                <w:rFonts w:hint="eastAsia"/>
                <w:sz w:val="24"/>
                <w:szCs w:val="24"/>
                <w:highlight w:val="none"/>
                <w:lang w:val="en-US" w:eastAsia="zh-CN"/>
              </w:rPr>
            </w:pPr>
            <w:r>
              <w:rPr>
                <w:rFonts w:hint="eastAsia" w:cs="Times New Roman"/>
                <w:kern w:val="0"/>
                <w:sz w:val="24"/>
                <w:szCs w:val="24"/>
                <w:highlight w:val="none"/>
                <w:lang w:val="en-US" w:eastAsia="zh-CN" w:bidi="en-US"/>
              </w:rPr>
              <w:t>6）</w:t>
            </w:r>
            <w:r>
              <w:rPr>
                <w:rFonts w:hint="eastAsia"/>
                <w:sz w:val="24"/>
                <w:szCs w:val="24"/>
                <w:highlight w:val="none"/>
                <w:lang w:val="en-US" w:eastAsia="zh-CN"/>
              </w:rPr>
              <w:t>编写企业突发环境事件应急预案，建立健全安全、环境管理体系，一旦发生事故，要做到快速、高效、安全处置。根据国家相关规定的要求，项目方应制定环境风险应急预案，并且配备必要的设施。</w:t>
            </w:r>
          </w:p>
          <w:p w14:paraId="3C59945F">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jc w:val="both"/>
              <w:textAlignment w:val="auto"/>
              <w:rPr>
                <w:rFonts w:hint="default" w:ascii="Times New Roman" w:hAnsi="Times New Roman" w:eastAsia="宋体" w:cs="Times New Roman"/>
                <w:snapToGrid w:val="0"/>
                <w:color w:val="auto"/>
                <w:sz w:val="21"/>
                <w:szCs w:val="21"/>
                <w:highlight w:val="none"/>
                <w:lang w:val="en-US" w:eastAsia="zh-CN" w:bidi="ar-SA"/>
              </w:rPr>
            </w:pPr>
            <w:r>
              <w:rPr>
                <w:rFonts w:hint="eastAsia" w:ascii="Times New Roman" w:hAnsi="Times New Roman" w:eastAsia="宋体" w:cs="Times New Roman"/>
                <w:kern w:val="0"/>
                <w:sz w:val="24"/>
                <w:szCs w:val="24"/>
                <w:highlight w:val="none"/>
                <w:lang w:val="en-US" w:eastAsia="zh-CN" w:bidi="en-US"/>
              </w:rPr>
              <w:t>7）</w:t>
            </w:r>
            <w:r>
              <w:rPr>
                <w:rFonts w:hint="eastAsia" w:ascii="Times New Roman" w:hAnsi="Times New Roman" w:eastAsia="宋体" w:cs="Times New Roman"/>
                <w:kern w:val="0"/>
                <w:sz w:val="24"/>
                <w:szCs w:val="24"/>
                <w:highlight w:val="none"/>
                <w:lang w:eastAsia="zh-CN" w:bidi="en-US"/>
              </w:rPr>
              <w:t>应对工人进行消防、急救、事故处置等应急培训，购置消防和急救器材，并设置厂区救护班，一旦发生危险事故，在专业急救人员到达事故现场之前，救护班人员可临时进行现场救护。</w:t>
            </w:r>
          </w:p>
        </w:tc>
      </w:tr>
      <w:tr w14:paraId="163BB21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480" w:hRule="atLeast"/>
          <w:jc w:val="center"/>
        </w:trPr>
        <w:tc>
          <w:tcPr>
            <w:tcW w:w="879" w:type="dxa"/>
            <w:noWrap w:val="0"/>
            <w:vAlign w:val="center"/>
          </w:tcPr>
          <w:p w14:paraId="6D0DB7D0">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b/>
                <w:spacing w:val="-8"/>
                <w:sz w:val="24"/>
              </w:rPr>
            </w:pPr>
            <w:r>
              <w:rPr>
                <w:rFonts w:hint="default" w:ascii="Times New Roman" w:hAnsi="Times New Roman" w:cs="Times New Roman"/>
                <w:b/>
                <w:spacing w:val="-8"/>
                <w:sz w:val="24"/>
              </w:rPr>
              <w:t>其他环境</w:t>
            </w:r>
          </w:p>
          <w:p w14:paraId="7CA7AB9C">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b/>
                <w:spacing w:val="-8"/>
                <w:sz w:val="24"/>
              </w:rPr>
            </w:pPr>
            <w:r>
              <w:rPr>
                <w:rFonts w:hint="default" w:ascii="Times New Roman" w:hAnsi="Times New Roman" w:cs="Times New Roman"/>
                <w:b/>
                <w:spacing w:val="-8"/>
                <w:sz w:val="24"/>
              </w:rPr>
              <w:t>管理要求</w:t>
            </w:r>
          </w:p>
        </w:tc>
        <w:tc>
          <w:tcPr>
            <w:tcW w:w="8181" w:type="dxa"/>
            <w:gridSpan w:val="5"/>
            <w:noWrap w:val="0"/>
            <w:vAlign w:val="center"/>
          </w:tcPr>
          <w:p w14:paraId="09A2B37A">
            <w:pPr>
              <w:keepNext w:val="0"/>
              <w:keepLines w:val="0"/>
              <w:suppressLineNumbers w:val="0"/>
              <w:tabs>
                <w:tab w:val="left" w:pos="0"/>
              </w:tabs>
              <w:spacing w:before="0" w:beforeAutospacing="0" w:after="0" w:afterAutospacing="0" w:line="360" w:lineRule="exact"/>
              <w:ind w:left="0" w:right="0"/>
              <w:rPr>
                <w:rFonts w:hint="eastAsia"/>
                <w:sz w:val="24"/>
                <w:szCs w:val="24"/>
                <w:highlight w:val="none"/>
              </w:rPr>
            </w:pPr>
            <w:r>
              <w:rPr>
                <w:rFonts w:hint="eastAsia"/>
                <w:sz w:val="24"/>
                <w:szCs w:val="24"/>
                <w:highlight w:val="none"/>
              </w:rPr>
              <w:t>根据</w:t>
            </w:r>
            <w:r>
              <w:rPr>
                <w:rFonts w:hint="eastAsia"/>
                <w:sz w:val="24"/>
                <w:szCs w:val="24"/>
                <w:highlight w:val="none"/>
                <w:lang w:val="en-US" w:eastAsia="zh-CN"/>
              </w:rPr>
              <w:t>《排污单位自行监测技术指南 总则》（HJ 819-2017）、《排污单位自行监测技术指南 印刷工业》（HJ1246-2022）和《排污单位自行监测技术指南 橡胶和塑料制品》（HJ1207-2021）</w:t>
            </w:r>
            <w:r>
              <w:rPr>
                <w:rFonts w:hint="eastAsia"/>
                <w:sz w:val="24"/>
                <w:szCs w:val="24"/>
                <w:highlight w:val="none"/>
              </w:rPr>
              <w:t>及项目特点和主要污染源及污染物排放情况进行监测，按排污许可相关要求进行排污，遵守《排污许可管理条例》相关法律法规及生态环境保护管理要求。</w:t>
            </w:r>
          </w:p>
          <w:p w14:paraId="398428E8">
            <w:pPr>
              <w:keepNext w:val="0"/>
              <w:keepLines w:val="0"/>
              <w:suppressLineNumbers w:val="0"/>
              <w:tabs>
                <w:tab w:val="left" w:pos="0"/>
              </w:tabs>
              <w:spacing w:before="0" w:beforeAutospacing="0" w:after="0" w:afterAutospacing="0" w:line="360" w:lineRule="exact"/>
              <w:ind w:left="0" w:right="0"/>
              <w:rPr>
                <w:rFonts w:hint="eastAsia"/>
                <w:sz w:val="24"/>
                <w:szCs w:val="24"/>
                <w:highlight w:val="none"/>
              </w:rPr>
            </w:pPr>
            <w:r>
              <w:rPr>
                <w:rFonts w:hint="eastAsia"/>
                <w:sz w:val="24"/>
                <w:szCs w:val="24"/>
                <w:highlight w:val="none"/>
              </w:rPr>
              <w:t>（1）贯彻落实国家相关法律法规及政策，以国家相关法律法规为依据，落实防治环境污染和生态破坏的措施以及环境保护设施投资概算，及时当地环境保护部门汇报各阶段的情况。</w:t>
            </w:r>
          </w:p>
          <w:p w14:paraId="0AE1C458">
            <w:pPr>
              <w:keepNext w:val="0"/>
              <w:keepLines w:val="0"/>
              <w:suppressLineNumbers w:val="0"/>
              <w:tabs>
                <w:tab w:val="left" w:pos="0"/>
              </w:tabs>
              <w:spacing w:before="0" w:beforeAutospacing="0" w:after="0" w:afterAutospacing="0" w:line="360" w:lineRule="exact"/>
              <w:ind w:left="0" w:right="0"/>
              <w:rPr>
                <w:rFonts w:hint="eastAsia"/>
                <w:sz w:val="24"/>
                <w:szCs w:val="24"/>
                <w:highlight w:val="none"/>
              </w:rPr>
            </w:pPr>
            <w:r>
              <w:rPr>
                <w:rFonts w:hint="eastAsia"/>
                <w:sz w:val="24"/>
                <w:szCs w:val="24"/>
                <w:highlight w:val="none"/>
              </w:rPr>
              <w:t>（2）项目的建设遵循“三同时”制度，即项目环保措施与主体工程同时设计、同时施工、同时投产使用。</w:t>
            </w:r>
          </w:p>
          <w:p w14:paraId="0C2C1848">
            <w:pPr>
              <w:keepNext w:val="0"/>
              <w:keepLines w:val="0"/>
              <w:suppressLineNumbers w:val="0"/>
              <w:tabs>
                <w:tab w:val="left" w:pos="0"/>
              </w:tabs>
              <w:spacing w:before="0" w:beforeAutospacing="0" w:after="0" w:afterAutospacing="0" w:line="360" w:lineRule="exact"/>
              <w:ind w:left="0" w:right="0"/>
              <w:rPr>
                <w:rFonts w:hint="eastAsia"/>
                <w:sz w:val="24"/>
                <w:szCs w:val="24"/>
                <w:highlight w:val="none"/>
              </w:rPr>
            </w:pPr>
            <w:r>
              <w:rPr>
                <w:rFonts w:hint="eastAsia"/>
                <w:sz w:val="24"/>
                <w:szCs w:val="24"/>
                <w:highlight w:val="none"/>
              </w:rPr>
              <w:t>（3）排污许可制度衔接。根据《固定污染源排污许可分类管理名录（2019年版）》，本项目属于“</w:t>
            </w:r>
            <w:r>
              <w:rPr>
                <w:rFonts w:hint="eastAsia"/>
                <w:sz w:val="24"/>
                <w:szCs w:val="24"/>
                <w:highlight w:val="none"/>
                <w:lang w:eastAsia="zh-CN"/>
              </w:rPr>
              <w:t>十八</w:t>
            </w:r>
            <w:r>
              <w:rPr>
                <w:rFonts w:hint="eastAsia"/>
                <w:sz w:val="24"/>
                <w:szCs w:val="24"/>
                <w:highlight w:val="none"/>
              </w:rPr>
              <w:t>、</w:t>
            </w:r>
            <w:r>
              <w:rPr>
                <w:rFonts w:hint="eastAsia"/>
                <w:sz w:val="24"/>
                <w:szCs w:val="24"/>
                <w:highlight w:val="none"/>
                <w:lang w:eastAsia="zh-CN"/>
              </w:rPr>
              <w:t>印刷和记录媒介复制业</w:t>
            </w:r>
            <w:r>
              <w:rPr>
                <w:rFonts w:hint="eastAsia"/>
                <w:sz w:val="24"/>
                <w:szCs w:val="24"/>
                <w:highlight w:val="none"/>
              </w:rPr>
              <w:t xml:space="preserve"> </w:t>
            </w:r>
            <w:r>
              <w:rPr>
                <w:rFonts w:hint="eastAsia"/>
                <w:sz w:val="24"/>
                <w:szCs w:val="24"/>
                <w:highlight w:val="none"/>
                <w:lang w:val="en-US" w:eastAsia="zh-CN"/>
              </w:rPr>
              <w:t>23-</w:t>
            </w:r>
            <w:r>
              <w:rPr>
                <w:rFonts w:hint="eastAsia"/>
                <w:sz w:val="24"/>
                <w:szCs w:val="24"/>
                <w:highlight w:val="none"/>
                <w:lang w:eastAsia="zh-CN"/>
              </w:rPr>
              <w:t>印刷</w:t>
            </w:r>
            <w:r>
              <w:rPr>
                <w:rFonts w:hint="eastAsia"/>
                <w:sz w:val="24"/>
                <w:szCs w:val="24"/>
                <w:highlight w:val="none"/>
                <w:lang w:val="en-US" w:eastAsia="zh-CN"/>
              </w:rPr>
              <w:t>231</w:t>
            </w:r>
            <w:r>
              <w:rPr>
                <w:rFonts w:hint="eastAsia"/>
                <w:sz w:val="24"/>
                <w:szCs w:val="24"/>
                <w:highlight w:val="none"/>
              </w:rPr>
              <w:t>”</w:t>
            </w:r>
            <w:r>
              <w:rPr>
                <w:rFonts w:hint="eastAsia"/>
                <w:sz w:val="24"/>
                <w:szCs w:val="24"/>
                <w:highlight w:val="none"/>
                <w:lang w:eastAsia="zh-CN"/>
              </w:rPr>
              <w:t>、</w:t>
            </w:r>
            <w:r>
              <w:rPr>
                <w:rFonts w:hint="eastAsia"/>
                <w:sz w:val="24"/>
                <w:szCs w:val="24"/>
                <w:highlight w:val="none"/>
              </w:rPr>
              <w:t>“</w:t>
            </w:r>
            <w:r>
              <w:rPr>
                <w:rFonts w:hint="eastAsia"/>
                <w:sz w:val="24"/>
                <w:szCs w:val="24"/>
                <w:highlight w:val="none"/>
                <w:lang w:eastAsia="zh-CN"/>
              </w:rPr>
              <w:t>二十四</w:t>
            </w:r>
            <w:r>
              <w:rPr>
                <w:rFonts w:hint="eastAsia"/>
                <w:sz w:val="24"/>
                <w:szCs w:val="24"/>
                <w:highlight w:val="none"/>
              </w:rPr>
              <w:t>、</w:t>
            </w:r>
            <w:r>
              <w:rPr>
                <w:rFonts w:hint="eastAsia"/>
                <w:sz w:val="24"/>
                <w:szCs w:val="24"/>
                <w:highlight w:val="none"/>
                <w:lang w:eastAsia="zh-CN"/>
              </w:rPr>
              <w:t>橡胶和塑料制品业</w:t>
            </w:r>
            <w:r>
              <w:rPr>
                <w:rFonts w:hint="eastAsia"/>
                <w:sz w:val="24"/>
                <w:szCs w:val="24"/>
                <w:highlight w:val="none"/>
              </w:rPr>
              <w:t xml:space="preserve"> </w:t>
            </w:r>
            <w:r>
              <w:rPr>
                <w:rFonts w:hint="eastAsia"/>
                <w:sz w:val="24"/>
                <w:szCs w:val="24"/>
                <w:highlight w:val="none"/>
                <w:lang w:val="en-US" w:eastAsia="zh-CN"/>
              </w:rPr>
              <w:t>29-</w:t>
            </w:r>
            <w:r>
              <w:rPr>
                <w:rFonts w:hint="eastAsia"/>
                <w:sz w:val="24"/>
                <w:szCs w:val="24"/>
                <w:highlight w:val="none"/>
                <w:lang w:eastAsia="zh-CN"/>
              </w:rPr>
              <w:t>塑料制品业</w:t>
            </w:r>
            <w:r>
              <w:rPr>
                <w:rFonts w:hint="eastAsia"/>
                <w:sz w:val="24"/>
                <w:szCs w:val="24"/>
                <w:highlight w:val="none"/>
                <w:lang w:val="en-US" w:eastAsia="zh-CN"/>
              </w:rPr>
              <w:t>292</w:t>
            </w:r>
            <w:r>
              <w:rPr>
                <w:rFonts w:hint="eastAsia"/>
                <w:sz w:val="24"/>
                <w:szCs w:val="24"/>
                <w:highlight w:val="none"/>
              </w:rPr>
              <w:t>”，属于登记管理的行业项目。建设单位应按照《排污许可管理条例》、《固定污染源排污许可分类管理名录（2019年版）》等排污许可证相关管理要求，在规定时限内办理排污登记。</w:t>
            </w:r>
          </w:p>
          <w:p w14:paraId="21C1FB20">
            <w:pPr>
              <w:keepNext w:val="0"/>
              <w:keepLines w:val="0"/>
              <w:suppressLineNumbers w:val="0"/>
              <w:tabs>
                <w:tab w:val="left" w:pos="0"/>
              </w:tabs>
              <w:spacing w:before="0" w:beforeAutospacing="0" w:after="0" w:afterAutospacing="0" w:line="360" w:lineRule="exact"/>
              <w:ind w:left="0" w:right="0"/>
              <w:rPr>
                <w:rFonts w:hint="eastAsia"/>
                <w:sz w:val="24"/>
                <w:szCs w:val="24"/>
                <w:highlight w:val="none"/>
              </w:rPr>
            </w:pPr>
            <w:r>
              <w:rPr>
                <w:rFonts w:hint="eastAsia"/>
                <w:sz w:val="24"/>
                <w:szCs w:val="24"/>
                <w:highlight w:val="none"/>
              </w:rPr>
              <w:t>（4）建设项目竣工后，建设单位或者其委托的技术机构应当依照国家有关法律法规。建设</w:t>
            </w:r>
            <w:r>
              <w:rPr>
                <w:rFonts w:hint="eastAsia"/>
                <w:sz w:val="24"/>
                <w:szCs w:val="24"/>
                <w:highlight w:val="none"/>
                <w:lang w:eastAsia="zh-CN"/>
              </w:rPr>
              <w:t>项目</w:t>
            </w:r>
            <w:r>
              <w:rPr>
                <w:rFonts w:hint="eastAsia"/>
                <w:sz w:val="24"/>
                <w:szCs w:val="24"/>
                <w:highlight w:val="none"/>
              </w:rPr>
              <w:t>竣工环境保护验收技术规范。建设项目环境影响报告表和审批决定等要求，如实查验、监测、记载建设项目环境保护设施的建设和调试情况，同时还应如实记载其他环境保护对策措施“三同时”落实情况，编制竣工环境保护验收报告。</w:t>
            </w:r>
          </w:p>
          <w:p w14:paraId="1B7BF27E">
            <w:pPr>
              <w:keepNext w:val="0"/>
              <w:keepLines w:val="0"/>
              <w:suppressLineNumbers w:val="0"/>
              <w:tabs>
                <w:tab w:val="left" w:pos="0"/>
              </w:tabs>
              <w:spacing w:before="0" w:beforeAutospacing="0" w:after="0" w:afterAutospacing="0" w:line="360" w:lineRule="exact"/>
              <w:ind w:left="0" w:right="0"/>
              <w:rPr>
                <w:rFonts w:hint="eastAsia"/>
                <w:sz w:val="24"/>
                <w:szCs w:val="24"/>
                <w:highlight w:val="none"/>
              </w:rPr>
            </w:pPr>
            <w:r>
              <w:rPr>
                <w:rFonts w:hint="eastAsia"/>
                <w:sz w:val="24"/>
                <w:szCs w:val="24"/>
                <w:highlight w:val="none"/>
              </w:rPr>
              <w:t>（5）验收报告编制完成后，建设单位应组织成立验收工作组。验收工作组由建设单位、设计单位、施工单位、环境影响报告表编制机构、验收报告编制机构等单位代表和专业技术专家组成。建设单位应当对验收工作组提出的问题进行整改，合格后方可出具验收合格的意见。建设项目配套建设的环境保护设施经验收合格后，其主体工程才可以投入运营或者使用，并纳入环境保护管理部门的管理，对项目各阶段工作进行监督、检查。建设单位按照《</w:t>
            </w:r>
            <w:r>
              <w:rPr>
                <w:rFonts w:hint="eastAsia"/>
                <w:sz w:val="24"/>
                <w:szCs w:val="24"/>
                <w:highlight w:val="none"/>
                <w:lang w:eastAsia="zh-CN"/>
              </w:rPr>
              <w:t>企业环境信息依法披露管理办法</w:t>
            </w:r>
            <w:r>
              <w:rPr>
                <w:rFonts w:hint="eastAsia"/>
                <w:sz w:val="24"/>
                <w:szCs w:val="24"/>
                <w:highlight w:val="none"/>
              </w:rPr>
              <w:t>》进行相关信息的公开。</w:t>
            </w:r>
          </w:p>
          <w:p w14:paraId="67FC9CA6">
            <w:pPr>
              <w:keepNext w:val="0"/>
              <w:keepLines w:val="0"/>
              <w:suppressLineNumbers w:val="0"/>
              <w:tabs>
                <w:tab w:val="left" w:pos="0"/>
              </w:tabs>
              <w:spacing w:before="0" w:beforeAutospacing="0" w:after="0" w:afterAutospacing="0" w:line="360" w:lineRule="exact"/>
              <w:ind w:left="0" w:right="0" w:firstLine="420" w:firstLineChars="200"/>
              <w:rPr>
                <w:rFonts w:hint="eastAsia" w:ascii="Times New Roman" w:hAnsi="Times New Roman" w:eastAsia="宋体" w:cs="Times New Roman"/>
                <w:szCs w:val="21"/>
                <w:lang w:val="en-US" w:eastAsia="zh-CN"/>
              </w:rPr>
            </w:pPr>
          </w:p>
        </w:tc>
      </w:tr>
    </w:tbl>
    <w:p w14:paraId="344D1955">
      <w:pPr>
        <w:pStyle w:val="34"/>
        <w:spacing w:before="0" w:beforeAutospacing="0" w:after="0" w:afterAutospacing="0"/>
        <w:jc w:val="center"/>
        <w:outlineLvl w:val="0"/>
        <w:rPr>
          <w:rFonts w:ascii="Times New Roman" w:hAnsi="Times New Roman" w:eastAsia="黑体"/>
          <w:snapToGrid w:val="0"/>
          <w:sz w:val="30"/>
          <w:szCs w:val="30"/>
        </w:rPr>
      </w:pPr>
      <w:r>
        <w:rPr>
          <w:rFonts w:ascii="Times New Roman" w:hAnsi="Times New Roman"/>
          <w:snapToGrid w:val="0"/>
        </w:rPr>
        <w:br w:type="page"/>
      </w:r>
      <w:r>
        <w:rPr>
          <w:rFonts w:ascii="Times New Roman" w:hAnsi="Times New Roman" w:eastAsia="黑体"/>
          <w:snapToGrid w:val="0"/>
          <w:sz w:val="30"/>
          <w:szCs w:val="30"/>
        </w:rPr>
        <w:t>六、结论</w:t>
      </w:r>
    </w:p>
    <w:tbl>
      <w:tblPr>
        <w:tblStyle w:val="3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14:paraId="31B8F93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8865" w:type="dxa"/>
            <w:noWrap w:val="0"/>
            <w:vAlign w:val="top"/>
          </w:tcPr>
          <w:p w14:paraId="1FC83F05">
            <w:pPr>
              <w:keepNext w:val="0"/>
              <w:keepLines w:val="0"/>
              <w:suppressLineNumbers w:val="0"/>
              <w:spacing w:before="0" w:beforeAutospacing="0" w:after="0" w:afterAutospacing="0" w:line="420" w:lineRule="exact"/>
              <w:ind w:left="0" w:right="0" w:firstLine="480" w:firstLineChars="200"/>
              <w:rPr>
                <w:rFonts w:hint="default" w:ascii="Times New Roman" w:hAnsi="Times New Roman" w:cs="Times New Roman"/>
                <w:sz w:val="24"/>
                <w:szCs w:val="22"/>
              </w:rPr>
            </w:pPr>
            <w:r>
              <w:rPr>
                <w:rFonts w:hint="eastAsia" w:ascii="宋体" w:hAnsi="宋体" w:eastAsia="宋体" w:cs="宋体"/>
                <w:snapToGrid w:val="0"/>
                <w:color w:val="auto"/>
                <w:sz w:val="24"/>
                <w:szCs w:val="24"/>
                <w:lang w:val="en-US" w:eastAsia="zh-CN"/>
              </w:rPr>
              <w:t>综上所述，</w:t>
            </w:r>
            <w:r>
              <w:rPr>
                <w:rFonts w:hint="eastAsia" w:ascii="宋体" w:hAnsi="宋体" w:eastAsia="宋体" w:cs="宋体"/>
                <w:color w:val="auto"/>
                <w:sz w:val="24"/>
                <w:lang w:val="en-US" w:eastAsia="zh-CN"/>
              </w:rPr>
              <w:t>项目符合国家产业政策，符合“三线一单”管控要求，符合土地利用规划；项目采取相应</w:t>
            </w:r>
            <w:r>
              <w:rPr>
                <w:rFonts w:hint="eastAsia" w:ascii="宋体" w:hAnsi="宋体" w:eastAsia="宋体" w:cs="宋体"/>
                <w:color w:val="auto"/>
                <w:sz w:val="24"/>
              </w:rPr>
              <w:t>污染物治理措施</w:t>
            </w:r>
            <w:r>
              <w:rPr>
                <w:rFonts w:hint="eastAsia" w:ascii="宋体" w:hAnsi="宋体" w:eastAsia="宋体" w:cs="宋体"/>
                <w:color w:val="auto"/>
                <w:sz w:val="24"/>
                <w:lang w:val="en-US" w:eastAsia="zh-CN"/>
              </w:rPr>
              <w:t>后</w:t>
            </w:r>
            <w:r>
              <w:rPr>
                <w:rFonts w:hint="eastAsia" w:ascii="宋体" w:hAnsi="宋体" w:eastAsia="宋体" w:cs="宋体"/>
                <w:color w:val="auto"/>
                <w:sz w:val="24"/>
              </w:rPr>
              <w:t>，外排污染物均可达标排放，拟采取的措施能满足区域环境质量改善目标管理要求，符合总量控制要求，对周围环境的影响较小。从</w:t>
            </w:r>
            <w:r>
              <w:rPr>
                <w:rFonts w:hint="eastAsia" w:ascii="宋体" w:hAnsi="宋体" w:eastAsia="宋体" w:cs="宋体"/>
                <w:snapToGrid w:val="0"/>
                <w:color w:val="auto"/>
                <w:sz w:val="24"/>
                <w:szCs w:val="32"/>
              </w:rPr>
              <w:t>生态环境保护</w:t>
            </w:r>
            <w:r>
              <w:rPr>
                <w:rFonts w:hint="eastAsia" w:ascii="宋体" w:hAnsi="宋体" w:eastAsia="宋体" w:cs="宋体"/>
                <w:color w:val="auto"/>
                <w:sz w:val="24"/>
              </w:rPr>
              <w:t>角度分析，项目的建设可行。</w:t>
            </w:r>
          </w:p>
          <w:p w14:paraId="5796B1C8">
            <w:pPr>
              <w:keepNext w:val="0"/>
              <w:keepLines w:val="0"/>
              <w:suppressLineNumbers w:val="0"/>
              <w:spacing w:before="0" w:beforeAutospacing="0" w:after="0" w:afterAutospacing="0" w:line="440" w:lineRule="exact"/>
              <w:ind w:left="0" w:right="0" w:firstLine="480" w:firstLineChars="200"/>
              <w:rPr>
                <w:rFonts w:hint="eastAsia" w:ascii="Times New Roman" w:hAnsi="Times New Roman" w:cs="Times New Roman"/>
                <w:sz w:val="24"/>
                <w:lang w:val="en-US" w:eastAsia="zh-CN"/>
              </w:rPr>
            </w:pPr>
          </w:p>
          <w:p w14:paraId="3F80DA6A">
            <w:pPr>
              <w:keepNext w:val="0"/>
              <w:keepLines w:val="0"/>
              <w:suppressLineNumbers w:val="0"/>
              <w:spacing w:before="0" w:beforeAutospacing="0" w:after="0" w:afterAutospacing="0" w:line="440" w:lineRule="exact"/>
              <w:ind w:left="0" w:right="0" w:firstLine="480" w:firstLineChars="200"/>
              <w:rPr>
                <w:rFonts w:hint="eastAsia" w:ascii="Times New Roman" w:hAnsi="Times New Roman" w:cs="Times New Roman"/>
                <w:sz w:val="24"/>
                <w:lang w:val="en-US" w:eastAsia="zh-CN"/>
              </w:rPr>
            </w:pPr>
          </w:p>
          <w:p w14:paraId="282E37B4">
            <w:pPr>
              <w:keepNext w:val="0"/>
              <w:keepLines w:val="0"/>
              <w:suppressLineNumbers w:val="0"/>
              <w:spacing w:before="0" w:beforeAutospacing="0" w:after="0" w:afterAutospacing="0" w:line="440" w:lineRule="exact"/>
              <w:ind w:left="0" w:right="0" w:firstLine="480" w:firstLineChars="200"/>
              <w:rPr>
                <w:rFonts w:hint="eastAsia" w:ascii="Times New Roman" w:hAnsi="Times New Roman" w:cs="Times New Roman"/>
                <w:sz w:val="24"/>
                <w:lang w:val="en-US" w:eastAsia="zh-CN"/>
              </w:rPr>
            </w:pPr>
          </w:p>
          <w:p w14:paraId="3A562636">
            <w:pPr>
              <w:keepNext w:val="0"/>
              <w:keepLines w:val="0"/>
              <w:suppressLineNumbers w:val="0"/>
              <w:spacing w:before="0" w:beforeAutospacing="0" w:after="0" w:afterAutospacing="0" w:line="440" w:lineRule="exact"/>
              <w:ind w:left="0" w:right="0" w:firstLine="480" w:firstLineChars="200"/>
              <w:rPr>
                <w:rFonts w:hint="eastAsia" w:ascii="Times New Roman" w:hAnsi="Times New Roman" w:cs="Times New Roman"/>
                <w:sz w:val="24"/>
                <w:lang w:val="en-US" w:eastAsia="zh-CN"/>
              </w:rPr>
            </w:pPr>
          </w:p>
          <w:p w14:paraId="20A0CA5C">
            <w:pPr>
              <w:keepNext w:val="0"/>
              <w:keepLines w:val="0"/>
              <w:suppressLineNumbers w:val="0"/>
              <w:spacing w:before="0" w:beforeAutospacing="0" w:after="0" w:afterAutospacing="0" w:line="440" w:lineRule="exact"/>
              <w:ind w:left="0" w:right="0" w:firstLine="480" w:firstLineChars="200"/>
              <w:rPr>
                <w:rFonts w:hint="eastAsia" w:ascii="Times New Roman" w:hAnsi="Times New Roman" w:cs="Times New Roman"/>
                <w:sz w:val="24"/>
                <w:lang w:val="en-US" w:eastAsia="zh-CN"/>
              </w:rPr>
            </w:pPr>
          </w:p>
          <w:p w14:paraId="5E19787F">
            <w:pPr>
              <w:keepNext w:val="0"/>
              <w:keepLines w:val="0"/>
              <w:suppressLineNumbers w:val="0"/>
              <w:spacing w:before="0" w:beforeAutospacing="0" w:after="0" w:afterAutospacing="0" w:line="440" w:lineRule="exact"/>
              <w:ind w:left="0" w:right="0" w:firstLine="480" w:firstLineChars="200"/>
              <w:rPr>
                <w:rFonts w:hint="eastAsia" w:ascii="Times New Roman" w:hAnsi="Times New Roman" w:cs="Times New Roman"/>
                <w:sz w:val="24"/>
                <w:lang w:val="en-US" w:eastAsia="zh-CN"/>
              </w:rPr>
            </w:pPr>
          </w:p>
          <w:p w14:paraId="51FA1D5D">
            <w:pPr>
              <w:keepNext w:val="0"/>
              <w:keepLines w:val="0"/>
              <w:suppressLineNumbers w:val="0"/>
              <w:spacing w:before="0" w:beforeAutospacing="0" w:after="0" w:afterAutospacing="0" w:line="440" w:lineRule="exact"/>
              <w:ind w:left="0" w:right="0" w:firstLine="480" w:firstLineChars="200"/>
              <w:rPr>
                <w:rFonts w:hint="eastAsia" w:ascii="Times New Roman" w:hAnsi="Times New Roman" w:cs="Times New Roman"/>
                <w:sz w:val="24"/>
                <w:lang w:val="en-US" w:eastAsia="zh-CN"/>
              </w:rPr>
            </w:pPr>
          </w:p>
          <w:p w14:paraId="1130137B">
            <w:pPr>
              <w:keepNext w:val="0"/>
              <w:keepLines w:val="0"/>
              <w:suppressLineNumbers w:val="0"/>
              <w:spacing w:before="0" w:beforeAutospacing="0" w:after="0" w:afterAutospacing="0" w:line="440" w:lineRule="exact"/>
              <w:ind w:left="0" w:right="0" w:firstLine="480" w:firstLineChars="200"/>
              <w:rPr>
                <w:rFonts w:hint="eastAsia" w:ascii="Times New Roman" w:hAnsi="Times New Roman" w:cs="Times New Roman"/>
                <w:sz w:val="24"/>
                <w:lang w:val="en-US" w:eastAsia="zh-CN"/>
              </w:rPr>
            </w:pPr>
          </w:p>
          <w:p w14:paraId="48E6348F">
            <w:pPr>
              <w:keepNext w:val="0"/>
              <w:keepLines w:val="0"/>
              <w:suppressLineNumbers w:val="0"/>
              <w:spacing w:before="0" w:beforeAutospacing="0" w:after="0" w:afterAutospacing="0" w:line="440" w:lineRule="exact"/>
              <w:ind w:left="0" w:right="0" w:firstLine="480" w:firstLineChars="200"/>
              <w:rPr>
                <w:rFonts w:hint="eastAsia" w:ascii="Times New Roman" w:hAnsi="Times New Roman" w:cs="Times New Roman"/>
                <w:sz w:val="24"/>
                <w:lang w:val="en-US" w:eastAsia="zh-CN"/>
              </w:rPr>
            </w:pPr>
          </w:p>
          <w:p w14:paraId="04B7DD5D">
            <w:pPr>
              <w:keepNext w:val="0"/>
              <w:keepLines w:val="0"/>
              <w:suppressLineNumbers w:val="0"/>
              <w:spacing w:before="0" w:beforeAutospacing="0" w:after="0" w:afterAutospacing="0" w:line="440" w:lineRule="exact"/>
              <w:ind w:left="0" w:right="0" w:firstLine="480" w:firstLineChars="200"/>
              <w:rPr>
                <w:rFonts w:hint="eastAsia" w:ascii="Times New Roman" w:hAnsi="Times New Roman" w:cs="Times New Roman"/>
                <w:sz w:val="24"/>
                <w:lang w:val="en-US" w:eastAsia="zh-CN"/>
              </w:rPr>
            </w:pPr>
          </w:p>
          <w:p w14:paraId="6286240A">
            <w:pPr>
              <w:keepNext w:val="0"/>
              <w:keepLines w:val="0"/>
              <w:suppressLineNumbers w:val="0"/>
              <w:spacing w:before="0" w:beforeAutospacing="0" w:after="0" w:afterAutospacing="0" w:line="440" w:lineRule="exact"/>
              <w:ind w:left="0" w:right="0" w:firstLine="480" w:firstLineChars="200"/>
              <w:rPr>
                <w:rFonts w:hint="eastAsia" w:ascii="Times New Roman" w:hAnsi="Times New Roman" w:cs="Times New Roman"/>
                <w:sz w:val="24"/>
                <w:lang w:val="en-US" w:eastAsia="zh-CN"/>
              </w:rPr>
            </w:pPr>
          </w:p>
          <w:p w14:paraId="08D14980">
            <w:pPr>
              <w:keepNext w:val="0"/>
              <w:keepLines w:val="0"/>
              <w:suppressLineNumbers w:val="0"/>
              <w:spacing w:before="0" w:beforeAutospacing="0" w:after="0" w:afterAutospacing="0" w:line="440" w:lineRule="exact"/>
              <w:ind w:left="0" w:right="0" w:firstLine="480" w:firstLineChars="200"/>
              <w:rPr>
                <w:rFonts w:hint="eastAsia" w:ascii="Times New Roman" w:hAnsi="Times New Roman" w:cs="Times New Roman"/>
                <w:sz w:val="24"/>
                <w:lang w:val="en-US" w:eastAsia="zh-CN"/>
              </w:rPr>
            </w:pPr>
          </w:p>
          <w:p w14:paraId="7C27DA48">
            <w:pPr>
              <w:keepNext w:val="0"/>
              <w:keepLines w:val="0"/>
              <w:suppressLineNumbers w:val="0"/>
              <w:spacing w:before="0" w:beforeAutospacing="0" w:after="0" w:afterAutospacing="0" w:line="440" w:lineRule="exact"/>
              <w:ind w:left="0" w:right="0" w:firstLine="480" w:firstLineChars="200"/>
              <w:rPr>
                <w:rFonts w:hint="eastAsia" w:ascii="Times New Roman" w:hAnsi="Times New Roman" w:cs="Times New Roman"/>
                <w:sz w:val="24"/>
                <w:lang w:val="en-US" w:eastAsia="zh-CN"/>
              </w:rPr>
            </w:pPr>
          </w:p>
          <w:p w14:paraId="1A6451A6">
            <w:pPr>
              <w:keepNext w:val="0"/>
              <w:keepLines w:val="0"/>
              <w:suppressLineNumbers w:val="0"/>
              <w:spacing w:before="0" w:beforeAutospacing="0" w:after="0" w:afterAutospacing="0" w:line="440" w:lineRule="exact"/>
              <w:ind w:left="0" w:right="0" w:firstLine="480" w:firstLineChars="200"/>
              <w:rPr>
                <w:rFonts w:hint="eastAsia" w:ascii="Times New Roman" w:hAnsi="Times New Roman" w:cs="Times New Roman"/>
                <w:sz w:val="24"/>
                <w:lang w:val="en-US" w:eastAsia="zh-CN"/>
              </w:rPr>
            </w:pPr>
          </w:p>
          <w:p w14:paraId="7398BBFE">
            <w:pPr>
              <w:keepNext w:val="0"/>
              <w:keepLines w:val="0"/>
              <w:suppressLineNumbers w:val="0"/>
              <w:spacing w:before="0" w:beforeAutospacing="0" w:after="0" w:afterAutospacing="0" w:line="440" w:lineRule="exact"/>
              <w:ind w:left="0" w:right="0" w:firstLine="480" w:firstLineChars="200"/>
              <w:rPr>
                <w:rFonts w:hint="eastAsia" w:ascii="Times New Roman" w:hAnsi="Times New Roman" w:cs="Times New Roman"/>
                <w:sz w:val="24"/>
                <w:lang w:val="en-US" w:eastAsia="zh-CN"/>
              </w:rPr>
            </w:pPr>
          </w:p>
          <w:p w14:paraId="2D81D7CF">
            <w:pPr>
              <w:keepNext w:val="0"/>
              <w:keepLines w:val="0"/>
              <w:suppressLineNumbers w:val="0"/>
              <w:spacing w:before="0" w:beforeAutospacing="0" w:after="0" w:afterAutospacing="0" w:line="440" w:lineRule="exact"/>
              <w:ind w:left="0" w:right="0" w:firstLine="480" w:firstLineChars="200"/>
              <w:rPr>
                <w:rFonts w:hint="eastAsia" w:ascii="Times New Roman" w:hAnsi="Times New Roman" w:cs="Times New Roman"/>
                <w:sz w:val="24"/>
                <w:lang w:val="en-US" w:eastAsia="zh-CN"/>
              </w:rPr>
            </w:pPr>
          </w:p>
          <w:p w14:paraId="5DB0AED6">
            <w:pPr>
              <w:keepNext w:val="0"/>
              <w:keepLines w:val="0"/>
              <w:suppressLineNumbers w:val="0"/>
              <w:spacing w:before="0" w:beforeAutospacing="0" w:after="0" w:afterAutospacing="0" w:line="440" w:lineRule="exact"/>
              <w:ind w:left="0" w:right="0" w:firstLine="480" w:firstLineChars="200"/>
              <w:rPr>
                <w:rFonts w:hint="eastAsia" w:ascii="Times New Roman" w:hAnsi="Times New Roman" w:cs="Times New Roman"/>
                <w:sz w:val="24"/>
                <w:lang w:val="en-US" w:eastAsia="zh-CN"/>
              </w:rPr>
            </w:pPr>
          </w:p>
          <w:p w14:paraId="72AA9AC2">
            <w:pPr>
              <w:keepNext w:val="0"/>
              <w:keepLines w:val="0"/>
              <w:suppressLineNumbers w:val="0"/>
              <w:spacing w:before="0" w:beforeAutospacing="0" w:after="0" w:afterAutospacing="0" w:line="440" w:lineRule="exact"/>
              <w:ind w:left="0" w:right="0" w:firstLine="480" w:firstLineChars="200"/>
              <w:rPr>
                <w:rFonts w:hint="eastAsia" w:ascii="Times New Roman" w:hAnsi="Times New Roman" w:cs="Times New Roman"/>
                <w:sz w:val="24"/>
                <w:lang w:val="en-US" w:eastAsia="zh-CN"/>
              </w:rPr>
            </w:pPr>
          </w:p>
          <w:p w14:paraId="4BECBD4B">
            <w:pPr>
              <w:keepNext w:val="0"/>
              <w:keepLines w:val="0"/>
              <w:suppressLineNumbers w:val="0"/>
              <w:spacing w:before="0" w:beforeAutospacing="0" w:after="0" w:afterAutospacing="0" w:line="440" w:lineRule="exact"/>
              <w:ind w:left="0" w:right="0" w:firstLine="480" w:firstLineChars="200"/>
              <w:rPr>
                <w:rFonts w:hint="eastAsia" w:ascii="Times New Roman" w:hAnsi="Times New Roman" w:cs="Times New Roman"/>
                <w:sz w:val="24"/>
                <w:lang w:val="en-US" w:eastAsia="zh-CN"/>
              </w:rPr>
            </w:pPr>
          </w:p>
          <w:p w14:paraId="1D37BEB0">
            <w:pPr>
              <w:keepNext w:val="0"/>
              <w:keepLines w:val="0"/>
              <w:suppressLineNumbers w:val="0"/>
              <w:spacing w:before="0" w:beforeAutospacing="0" w:after="0" w:afterAutospacing="0" w:line="440" w:lineRule="exact"/>
              <w:ind w:left="0" w:right="0" w:firstLine="480" w:firstLineChars="200"/>
              <w:rPr>
                <w:rFonts w:hint="eastAsia" w:ascii="Times New Roman" w:hAnsi="Times New Roman" w:cs="Times New Roman"/>
                <w:sz w:val="24"/>
                <w:lang w:val="en-US" w:eastAsia="zh-CN"/>
              </w:rPr>
            </w:pPr>
          </w:p>
          <w:p w14:paraId="026D4FE3">
            <w:pPr>
              <w:keepNext w:val="0"/>
              <w:keepLines w:val="0"/>
              <w:suppressLineNumbers w:val="0"/>
              <w:spacing w:before="0" w:beforeAutospacing="0" w:after="0" w:afterAutospacing="0" w:line="440" w:lineRule="exact"/>
              <w:ind w:left="0" w:right="0" w:firstLine="480" w:firstLineChars="200"/>
              <w:rPr>
                <w:rFonts w:hint="eastAsia" w:ascii="Times New Roman" w:hAnsi="Times New Roman" w:cs="Times New Roman"/>
                <w:sz w:val="24"/>
                <w:lang w:val="en-US" w:eastAsia="zh-CN"/>
              </w:rPr>
            </w:pPr>
          </w:p>
          <w:p w14:paraId="6E96EA50">
            <w:pPr>
              <w:keepNext w:val="0"/>
              <w:keepLines w:val="0"/>
              <w:suppressLineNumbers w:val="0"/>
              <w:spacing w:before="0" w:beforeAutospacing="0" w:after="0" w:afterAutospacing="0" w:line="440" w:lineRule="exact"/>
              <w:ind w:left="0" w:right="0" w:firstLine="480" w:firstLineChars="200"/>
              <w:rPr>
                <w:rFonts w:hint="eastAsia" w:ascii="Times New Roman" w:hAnsi="Times New Roman" w:cs="Times New Roman"/>
                <w:sz w:val="24"/>
                <w:lang w:val="en-US" w:eastAsia="zh-CN"/>
              </w:rPr>
            </w:pPr>
          </w:p>
          <w:p w14:paraId="6CB1D324">
            <w:pPr>
              <w:keepNext w:val="0"/>
              <w:keepLines w:val="0"/>
              <w:suppressLineNumbers w:val="0"/>
              <w:spacing w:before="0" w:beforeAutospacing="0" w:after="0" w:afterAutospacing="0" w:line="440" w:lineRule="exact"/>
              <w:ind w:left="0" w:right="0" w:firstLine="480" w:firstLineChars="200"/>
              <w:rPr>
                <w:rFonts w:hint="eastAsia" w:ascii="Times New Roman" w:hAnsi="Times New Roman" w:cs="Times New Roman"/>
                <w:sz w:val="24"/>
                <w:lang w:val="en-US" w:eastAsia="zh-CN"/>
              </w:rPr>
            </w:pPr>
          </w:p>
          <w:p w14:paraId="38DBD40C">
            <w:pPr>
              <w:keepNext w:val="0"/>
              <w:keepLines w:val="0"/>
              <w:suppressLineNumbers w:val="0"/>
              <w:spacing w:before="0" w:beforeAutospacing="0" w:after="0" w:afterAutospacing="0" w:line="440" w:lineRule="exact"/>
              <w:ind w:left="0" w:right="0" w:firstLine="480" w:firstLineChars="200"/>
              <w:rPr>
                <w:rFonts w:hint="eastAsia" w:ascii="Times New Roman" w:hAnsi="Times New Roman" w:cs="Times New Roman"/>
                <w:sz w:val="24"/>
                <w:lang w:val="en-US" w:eastAsia="zh-CN"/>
              </w:rPr>
            </w:pPr>
          </w:p>
          <w:p w14:paraId="76335F51">
            <w:pPr>
              <w:keepNext w:val="0"/>
              <w:keepLines w:val="0"/>
              <w:suppressLineNumbers w:val="0"/>
              <w:spacing w:before="0" w:beforeAutospacing="0" w:after="0" w:afterAutospacing="0" w:line="440" w:lineRule="exact"/>
              <w:ind w:left="0" w:right="0" w:firstLine="480" w:firstLineChars="200"/>
              <w:rPr>
                <w:rFonts w:hint="eastAsia" w:ascii="Times New Roman" w:hAnsi="Times New Roman" w:eastAsia="宋体" w:cs="Times New Roman"/>
                <w:sz w:val="24"/>
                <w:lang w:val="en-US" w:eastAsia="zh-CN"/>
              </w:rPr>
            </w:pPr>
          </w:p>
        </w:tc>
      </w:tr>
    </w:tbl>
    <w:p w14:paraId="43AFEBC8"/>
    <w:p w14:paraId="7DF428C8">
      <w:pPr>
        <w:sectPr>
          <w:pgSz w:w="11906" w:h="16838"/>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p>
    <w:p w14:paraId="78A7E750">
      <w:pPr>
        <w:ind w:left="-619" w:leftChars="-295"/>
        <w:rPr>
          <w:rFonts w:eastAsia="黑体"/>
          <w:snapToGrid w:val="0"/>
          <w:szCs w:val="21"/>
        </w:rPr>
      </w:pPr>
      <w:r>
        <w:rPr>
          <w:rFonts w:eastAsia="黑体"/>
          <w:snapToGrid w:val="0"/>
          <w:sz w:val="32"/>
          <w:szCs w:val="32"/>
        </w:rPr>
        <w:t>附表</w:t>
      </w:r>
    </w:p>
    <w:p w14:paraId="06472DEF">
      <w:pPr>
        <w:pStyle w:val="34"/>
        <w:adjustRightInd w:val="0"/>
        <w:snapToGrid w:val="0"/>
        <w:spacing w:before="0" w:beforeAutospacing="0" w:after="0" w:afterAutospacing="0"/>
        <w:jc w:val="center"/>
        <w:outlineLvl w:val="0"/>
        <w:rPr>
          <w:rFonts w:ascii="Times New Roman" w:hAnsi="Times New Roman" w:eastAsia="方正小标宋_GBK"/>
          <w:snapToGrid w:val="0"/>
          <w:sz w:val="38"/>
          <w:szCs w:val="38"/>
        </w:rPr>
      </w:pPr>
      <w:r>
        <w:rPr>
          <w:rFonts w:ascii="Times New Roman" w:hAnsi="Times New Roman" w:eastAsia="方正小标宋_GBK"/>
          <w:snapToGrid w:val="0"/>
          <w:sz w:val="38"/>
          <w:szCs w:val="38"/>
        </w:rPr>
        <w:t>建设项目污染物排放量汇总表</w:t>
      </w:r>
    </w:p>
    <w:tbl>
      <w:tblPr>
        <w:tblStyle w:val="38"/>
        <w:tblW w:w="13788" w:type="dxa"/>
        <w:tblInd w:w="-666"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304"/>
        <w:gridCol w:w="1940"/>
        <w:gridCol w:w="1462"/>
        <w:gridCol w:w="1276"/>
        <w:gridCol w:w="1701"/>
        <w:gridCol w:w="1559"/>
        <w:gridCol w:w="1761"/>
        <w:gridCol w:w="1564"/>
        <w:gridCol w:w="1221"/>
      </w:tblGrid>
      <w:tr w14:paraId="37A768F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304" w:type="dxa"/>
            <w:tcBorders>
              <w:tl2br w:val="single" w:color="auto" w:sz="4" w:space="0"/>
            </w:tcBorders>
            <w:noWrap w:val="0"/>
            <w:tcMar>
              <w:left w:w="28" w:type="dxa"/>
              <w:right w:w="28" w:type="dxa"/>
            </w:tcMar>
            <w:vAlign w:val="center"/>
          </w:tcPr>
          <w:p w14:paraId="20AC1CE5">
            <w:pPr>
              <w:pStyle w:val="93"/>
              <w:keepNext w:val="0"/>
              <w:keepLines w:val="0"/>
              <w:suppressLineNumbers w:val="0"/>
              <w:spacing w:before="0" w:beforeLines="0" w:beforeAutospacing="0" w:after="0" w:afterLines="0" w:afterAutospacing="0" w:line="240" w:lineRule="auto"/>
              <w:ind w:left="0" w:right="0"/>
              <w:jc w:val="right"/>
              <w:rPr>
                <w:rFonts w:hint="default" w:ascii="Times New Roman" w:hAnsi="Times New Roman" w:eastAsia="黑体" w:cs="Times New Roman"/>
                <w:snapToGrid w:val="0"/>
                <w:spacing w:val="-6"/>
                <w:kern w:val="21"/>
                <w:sz w:val="21"/>
                <w:szCs w:val="21"/>
                <w:lang w:val="en-US" w:eastAsia="zh-CN"/>
              </w:rPr>
            </w:pPr>
            <w:r>
              <w:rPr>
                <w:rFonts w:hint="default" w:ascii="Times New Roman" w:hAnsi="Times New Roman" w:eastAsia="黑体" w:cs="Times New Roman"/>
                <w:snapToGrid w:val="0"/>
                <w:spacing w:val="-6"/>
                <w:kern w:val="21"/>
                <w:sz w:val="21"/>
                <w:szCs w:val="21"/>
                <w:lang w:val="en-US" w:eastAsia="zh-CN"/>
              </w:rPr>
              <w:t>项目</w:t>
            </w:r>
          </w:p>
          <w:p w14:paraId="019829DF">
            <w:pPr>
              <w:pStyle w:val="93"/>
              <w:keepNext w:val="0"/>
              <w:keepLines w:val="0"/>
              <w:suppressLineNumbers w:val="0"/>
              <w:spacing w:before="0" w:beforeLines="0" w:beforeAutospacing="0" w:after="0" w:afterLines="0" w:afterAutospacing="0" w:line="240" w:lineRule="auto"/>
              <w:ind w:left="0" w:right="0"/>
              <w:jc w:val="left"/>
              <w:rPr>
                <w:rFonts w:hint="default" w:ascii="Times New Roman" w:hAnsi="Times New Roman" w:eastAsia="黑体" w:cs="Times New Roman"/>
                <w:snapToGrid w:val="0"/>
                <w:spacing w:val="-6"/>
                <w:kern w:val="21"/>
                <w:sz w:val="21"/>
                <w:szCs w:val="21"/>
                <w:lang w:val="en-US" w:eastAsia="zh-CN"/>
              </w:rPr>
            </w:pPr>
            <w:r>
              <w:rPr>
                <w:rFonts w:hint="default" w:ascii="Times New Roman" w:hAnsi="Times New Roman" w:eastAsia="黑体" w:cs="Times New Roman"/>
                <w:snapToGrid w:val="0"/>
                <w:spacing w:val="-6"/>
                <w:kern w:val="21"/>
                <w:sz w:val="21"/>
                <w:szCs w:val="21"/>
                <w:lang w:val="en-US" w:eastAsia="zh-CN"/>
              </w:rPr>
              <w:t>分类</w:t>
            </w:r>
          </w:p>
        </w:tc>
        <w:tc>
          <w:tcPr>
            <w:tcW w:w="1940" w:type="dxa"/>
            <w:noWrap w:val="0"/>
            <w:tcMar>
              <w:left w:w="28" w:type="dxa"/>
              <w:right w:w="28" w:type="dxa"/>
            </w:tcMar>
            <w:vAlign w:val="center"/>
          </w:tcPr>
          <w:p w14:paraId="734EBCFF">
            <w:pPr>
              <w:pStyle w:val="93"/>
              <w:keepNext w:val="0"/>
              <w:keepLines w:val="0"/>
              <w:suppressLineNumbers w:val="0"/>
              <w:spacing w:before="0" w:beforeLines="0" w:beforeAutospacing="0" w:after="0" w:afterLines="0" w:afterAutospacing="0" w:line="240" w:lineRule="auto"/>
              <w:ind w:left="0" w:right="0"/>
              <w:rPr>
                <w:rFonts w:hint="default" w:ascii="Times New Roman" w:hAnsi="Times New Roman" w:eastAsia="黑体" w:cs="Times New Roman"/>
                <w:snapToGrid w:val="0"/>
                <w:spacing w:val="-6"/>
                <w:kern w:val="21"/>
                <w:sz w:val="21"/>
                <w:szCs w:val="21"/>
                <w:lang w:val="en-US" w:eastAsia="zh-CN"/>
              </w:rPr>
            </w:pPr>
            <w:r>
              <w:rPr>
                <w:rFonts w:hint="default" w:ascii="Times New Roman" w:hAnsi="Times New Roman" w:eastAsia="黑体" w:cs="Times New Roman"/>
                <w:snapToGrid w:val="0"/>
                <w:spacing w:val="-6"/>
                <w:kern w:val="21"/>
                <w:sz w:val="21"/>
                <w:szCs w:val="21"/>
                <w:lang w:val="en-US" w:eastAsia="zh-CN"/>
              </w:rPr>
              <w:t>污染物名称</w:t>
            </w:r>
          </w:p>
        </w:tc>
        <w:tc>
          <w:tcPr>
            <w:tcW w:w="1462" w:type="dxa"/>
            <w:noWrap w:val="0"/>
            <w:tcMar>
              <w:left w:w="28" w:type="dxa"/>
              <w:right w:w="28" w:type="dxa"/>
            </w:tcMar>
            <w:vAlign w:val="center"/>
          </w:tcPr>
          <w:p w14:paraId="144C2FEA">
            <w:pPr>
              <w:pStyle w:val="93"/>
              <w:keepNext w:val="0"/>
              <w:keepLines w:val="0"/>
              <w:suppressLineNumbers w:val="0"/>
              <w:spacing w:before="0" w:beforeLines="0" w:beforeAutospacing="0" w:after="0" w:afterLines="0" w:afterAutospacing="0" w:line="240" w:lineRule="auto"/>
              <w:ind w:left="0" w:right="0"/>
              <w:rPr>
                <w:rFonts w:hint="default" w:ascii="Times New Roman" w:hAnsi="Times New Roman" w:eastAsia="黑体" w:cs="Times New Roman"/>
                <w:snapToGrid w:val="0"/>
                <w:spacing w:val="-6"/>
                <w:kern w:val="21"/>
                <w:sz w:val="21"/>
                <w:szCs w:val="21"/>
                <w:lang w:val="en-US" w:eastAsia="zh-CN"/>
              </w:rPr>
            </w:pPr>
            <w:r>
              <w:rPr>
                <w:rFonts w:hint="default" w:ascii="Times New Roman" w:hAnsi="Times New Roman" w:eastAsia="黑体" w:cs="Times New Roman"/>
                <w:snapToGrid w:val="0"/>
                <w:spacing w:val="-6"/>
                <w:kern w:val="21"/>
                <w:sz w:val="21"/>
                <w:szCs w:val="21"/>
                <w:lang w:val="en-US" w:eastAsia="zh-CN"/>
              </w:rPr>
              <w:t>现有工程</w:t>
            </w:r>
          </w:p>
          <w:p w14:paraId="09CBBC4F">
            <w:pPr>
              <w:pStyle w:val="93"/>
              <w:keepNext w:val="0"/>
              <w:keepLines w:val="0"/>
              <w:suppressLineNumbers w:val="0"/>
              <w:spacing w:before="0" w:beforeLines="0" w:beforeAutospacing="0" w:after="0" w:afterLines="0" w:afterAutospacing="0" w:line="240" w:lineRule="auto"/>
              <w:ind w:left="0" w:right="0"/>
              <w:rPr>
                <w:rFonts w:hint="default" w:ascii="Times New Roman" w:hAnsi="Times New Roman" w:eastAsia="黑体" w:cs="Times New Roman"/>
                <w:snapToGrid w:val="0"/>
                <w:spacing w:val="-6"/>
                <w:kern w:val="21"/>
                <w:sz w:val="21"/>
                <w:szCs w:val="21"/>
                <w:lang w:val="en-US" w:eastAsia="zh-CN"/>
              </w:rPr>
            </w:pPr>
            <w:r>
              <w:rPr>
                <w:rFonts w:hint="default" w:ascii="Times New Roman" w:hAnsi="Times New Roman" w:eastAsia="黑体" w:cs="Times New Roman"/>
                <w:snapToGrid w:val="0"/>
                <w:spacing w:val="-6"/>
                <w:kern w:val="21"/>
                <w:sz w:val="21"/>
                <w:szCs w:val="21"/>
                <w:lang w:val="en-US" w:eastAsia="zh-CN"/>
              </w:rPr>
              <w:t>排放量（固体废物产生量）</w:t>
            </w:r>
            <w:r>
              <w:rPr>
                <w:rFonts w:hint="default" w:ascii="Times New Roman" w:hAnsi="Times New Roman" w:eastAsia="黑体" w:cs="Times New Roman"/>
                <w:snapToGrid w:val="0"/>
                <w:spacing w:val="-6"/>
                <w:kern w:val="21"/>
                <w:sz w:val="21"/>
                <w:szCs w:val="21"/>
                <w:lang w:val="en-US" w:eastAsia="zh-CN"/>
              </w:rPr>
              <w:fldChar w:fldCharType="begin"/>
            </w:r>
            <w:r>
              <w:rPr>
                <w:rFonts w:hint="default" w:ascii="Times New Roman" w:hAnsi="Times New Roman" w:eastAsia="黑体" w:cs="Times New Roman"/>
                <w:snapToGrid w:val="0"/>
                <w:spacing w:val="-6"/>
                <w:kern w:val="21"/>
                <w:sz w:val="21"/>
                <w:szCs w:val="21"/>
                <w:lang w:val="en-US" w:eastAsia="zh-CN"/>
              </w:rPr>
              <w:instrText xml:space="preserve"> = 1 \* GB3 \* MERGEFORMAT </w:instrText>
            </w:r>
            <w:r>
              <w:rPr>
                <w:rFonts w:hint="default" w:ascii="Times New Roman" w:hAnsi="Times New Roman" w:eastAsia="黑体" w:cs="Times New Roman"/>
                <w:snapToGrid w:val="0"/>
                <w:spacing w:val="-6"/>
                <w:kern w:val="21"/>
                <w:sz w:val="21"/>
                <w:szCs w:val="21"/>
                <w:lang w:val="en-US" w:eastAsia="zh-CN"/>
              </w:rPr>
              <w:fldChar w:fldCharType="separate"/>
            </w:r>
            <w:r>
              <w:rPr>
                <w:rFonts w:hint="eastAsia" w:hAnsi="宋体" w:cs="宋体"/>
                <w:kern w:val="2"/>
                <w:sz w:val="21"/>
                <w:szCs w:val="21"/>
                <w:lang w:val="en-US" w:eastAsia="zh-CN"/>
              </w:rPr>
              <w:t>①</w:t>
            </w:r>
            <w:r>
              <w:rPr>
                <w:rFonts w:hint="default" w:ascii="Times New Roman" w:hAnsi="Times New Roman" w:eastAsia="黑体" w:cs="Times New Roman"/>
                <w:snapToGrid w:val="0"/>
                <w:spacing w:val="-6"/>
                <w:kern w:val="21"/>
                <w:sz w:val="21"/>
                <w:szCs w:val="21"/>
                <w:lang w:val="en-US" w:eastAsia="zh-CN"/>
              </w:rPr>
              <w:fldChar w:fldCharType="end"/>
            </w:r>
          </w:p>
        </w:tc>
        <w:tc>
          <w:tcPr>
            <w:tcW w:w="1276" w:type="dxa"/>
            <w:noWrap w:val="0"/>
            <w:tcMar>
              <w:left w:w="28" w:type="dxa"/>
              <w:right w:w="28" w:type="dxa"/>
            </w:tcMar>
            <w:vAlign w:val="center"/>
          </w:tcPr>
          <w:p w14:paraId="0D8B8CF8">
            <w:pPr>
              <w:pStyle w:val="93"/>
              <w:keepNext w:val="0"/>
              <w:keepLines w:val="0"/>
              <w:suppressLineNumbers w:val="0"/>
              <w:spacing w:before="0" w:beforeLines="0" w:beforeAutospacing="0" w:after="0" w:afterLines="0" w:afterAutospacing="0" w:line="240" w:lineRule="auto"/>
              <w:ind w:left="0" w:right="0"/>
              <w:rPr>
                <w:rFonts w:hint="default" w:ascii="Times New Roman" w:hAnsi="Times New Roman" w:eastAsia="黑体" w:cs="Times New Roman"/>
                <w:snapToGrid w:val="0"/>
                <w:spacing w:val="-6"/>
                <w:kern w:val="21"/>
                <w:sz w:val="21"/>
                <w:szCs w:val="21"/>
                <w:lang w:val="en-US" w:eastAsia="zh-CN"/>
              </w:rPr>
            </w:pPr>
            <w:r>
              <w:rPr>
                <w:rFonts w:hint="default" w:ascii="Times New Roman" w:hAnsi="Times New Roman" w:eastAsia="黑体" w:cs="Times New Roman"/>
                <w:snapToGrid w:val="0"/>
                <w:spacing w:val="-6"/>
                <w:kern w:val="21"/>
                <w:sz w:val="21"/>
                <w:szCs w:val="21"/>
                <w:lang w:val="en-US" w:eastAsia="zh-CN"/>
              </w:rPr>
              <w:t>现有工程</w:t>
            </w:r>
          </w:p>
          <w:p w14:paraId="4BC5DC19">
            <w:pPr>
              <w:pStyle w:val="93"/>
              <w:keepNext w:val="0"/>
              <w:keepLines w:val="0"/>
              <w:suppressLineNumbers w:val="0"/>
              <w:spacing w:before="0" w:beforeLines="0" w:beforeAutospacing="0" w:after="0" w:afterLines="0" w:afterAutospacing="0" w:line="240" w:lineRule="auto"/>
              <w:ind w:left="0" w:right="0"/>
              <w:rPr>
                <w:rFonts w:hint="default" w:ascii="Times New Roman" w:hAnsi="Times New Roman" w:eastAsia="黑体" w:cs="Times New Roman"/>
                <w:snapToGrid w:val="0"/>
                <w:spacing w:val="-6"/>
                <w:kern w:val="21"/>
                <w:sz w:val="21"/>
                <w:szCs w:val="21"/>
                <w:lang w:val="en-US" w:eastAsia="zh-CN"/>
              </w:rPr>
            </w:pPr>
            <w:r>
              <w:rPr>
                <w:rFonts w:hint="default" w:ascii="Times New Roman" w:hAnsi="Times New Roman" w:eastAsia="黑体" w:cs="Times New Roman"/>
                <w:snapToGrid w:val="0"/>
                <w:spacing w:val="-6"/>
                <w:kern w:val="21"/>
                <w:sz w:val="21"/>
                <w:szCs w:val="21"/>
                <w:lang w:val="en-US" w:eastAsia="zh-CN"/>
              </w:rPr>
              <w:t>许可排放量</w:t>
            </w:r>
          </w:p>
          <w:p w14:paraId="6C26A333">
            <w:pPr>
              <w:pStyle w:val="93"/>
              <w:keepNext w:val="0"/>
              <w:keepLines w:val="0"/>
              <w:suppressLineNumbers w:val="0"/>
              <w:spacing w:before="0" w:beforeLines="0" w:beforeAutospacing="0" w:after="0" w:afterLines="0" w:afterAutospacing="0"/>
              <w:ind w:left="0" w:right="0"/>
              <w:rPr>
                <w:rFonts w:hint="default" w:ascii="Times New Roman" w:hAnsi="Times New Roman" w:eastAsia="黑体" w:cs="Times New Roman"/>
                <w:snapToGrid w:val="0"/>
                <w:spacing w:val="-6"/>
                <w:kern w:val="21"/>
                <w:sz w:val="21"/>
                <w:szCs w:val="21"/>
                <w:lang w:val="en-US" w:eastAsia="zh-CN"/>
              </w:rPr>
            </w:pPr>
            <w:r>
              <w:rPr>
                <w:rFonts w:hint="default" w:ascii="Times New Roman" w:hAnsi="Times New Roman" w:eastAsia="黑体" w:cs="Times New Roman"/>
                <w:snapToGrid w:val="0"/>
                <w:spacing w:val="-6"/>
                <w:kern w:val="21"/>
                <w:sz w:val="21"/>
                <w:szCs w:val="21"/>
                <w:lang w:val="en-US" w:eastAsia="zh-CN"/>
              </w:rPr>
              <w:fldChar w:fldCharType="begin"/>
            </w:r>
            <w:r>
              <w:rPr>
                <w:rFonts w:hint="default" w:ascii="Times New Roman" w:hAnsi="Times New Roman" w:eastAsia="黑体" w:cs="Times New Roman"/>
                <w:snapToGrid w:val="0"/>
                <w:spacing w:val="-6"/>
                <w:kern w:val="21"/>
                <w:sz w:val="21"/>
                <w:szCs w:val="21"/>
                <w:lang w:val="en-US" w:eastAsia="zh-CN"/>
              </w:rPr>
              <w:instrText xml:space="preserve"> = 2 \* GB3 \* MERGEFORMAT </w:instrText>
            </w:r>
            <w:r>
              <w:rPr>
                <w:rFonts w:hint="default" w:ascii="Times New Roman" w:hAnsi="Times New Roman" w:eastAsia="黑体" w:cs="Times New Roman"/>
                <w:snapToGrid w:val="0"/>
                <w:spacing w:val="-6"/>
                <w:kern w:val="21"/>
                <w:sz w:val="21"/>
                <w:szCs w:val="21"/>
                <w:lang w:val="en-US" w:eastAsia="zh-CN"/>
              </w:rPr>
              <w:fldChar w:fldCharType="separate"/>
            </w:r>
            <w:r>
              <w:rPr>
                <w:rFonts w:hint="eastAsia" w:hAnsi="宋体" w:cs="宋体"/>
                <w:snapToGrid w:val="0"/>
                <w:spacing w:val="-6"/>
                <w:kern w:val="21"/>
                <w:sz w:val="21"/>
                <w:szCs w:val="21"/>
                <w:lang w:val="en-US" w:eastAsia="zh-CN"/>
              </w:rPr>
              <w:t>②</w:t>
            </w:r>
            <w:r>
              <w:rPr>
                <w:rFonts w:hint="default" w:ascii="Times New Roman" w:hAnsi="Times New Roman" w:eastAsia="黑体" w:cs="Times New Roman"/>
                <w:snapToGrid w:val="0"/>
                <w:spacing w:val="-6"/>
                <w:kern w:val="21"/>
                <w:sz w:val="21"/>
                <w:szCs w:val="21"/>
                <w:lang w:val="en-US" w:eastAsia="zh-CN"/>
              </w:rPr>
              <w:fldChar w:fldCharType="end"/>
            </w:r>
          </w:p>
        </w:tc>
        <w:tc>
          <w:tcPr>
            <w:tcW w:w="1701" w:type="dxa"/>
            <w:noWrap w:val="0"/>
            <w:tcMar>
              <w:left w:w="28" w:type="dxa"/>
              <w:right w:w="28" w:type="dxa"/>
            </w:tcMar>
            <w:vAlign w:val="center"/>
          </w:tcPr>
          <w:p w14:paraId="0C3E6206">
            <w:pPr>
              <w:pStyle w:val="93"/>
              <w:keepNext w:val="0"/>
              <w:keepLines w:val="0"/>
              <w:suppressLineNumbers w:val="0"/>
              <w:spacing w:before="0" w:beforeLines="0" w:beforeAutospacing="0" w:after="0" w:afterLines="0" w:afterAutospacing="0" w:line="240" w:lineRule="auto"/>
              <w:ind w:left="0" w:right="0"/>
              <w:rPr>
                <w:rFonts w:hint="default" w:ascii="Times New Roman" w:hAnsi="Times New Roman" w:eastAsia="黑体" w:cs="Times New Roman"/>
                <w:snapToGrid w:val="0"/>
                <w:spacing w:val="-6"/>
                <w:kern w:val="21"/>
                <w:sz w:val="21"/>
                <w:szCs w:val="21"/>
                <w:lang w:val="en-US" w:eastAsia="zh-CN"/>
              </w:rPr>
            </w:pPr>
            <w:r>
              <w:rPr>
                <w:rFonts w:hint="default" w:ascii="Times New Roman" w:hAnsi="Times New Roman" w:eastAsia="黑体" w:cs="Times New Roman"/>
                <w:snapToGrid w:val="0"/>
                <w:spacing w:val="-6"/>
                <w:kern w:val="21"/>
                <w:sz w:val="21"/>
                <w:szCs w:val="21"/>
                <w:lang w:val="en-US" w:eastAsia="zh-CN"/>
              </w:rPr>
              <w:t>在建工程</w:t>
            </w:r>
          </w:p>
          <w:p w14:paraId="17021051">
            <w:pPr>
              <w:pStyle w:val="93"/>
              <w:keepNext w:val="0"/>
              <w:keepLines w:val="0"/>
              <w:suppressLineNumbers w:val="0"/>
              <w:spacing w:before="0" w:beforeLines="0" w:beforeAutospacing="0" w:after="0" w:afterLines="0" w:afterAutospacing="0" w:line="240" w:lineRule="auto"/>
              <w:ind w:left="0" w:right="0"/>
              <w:rPr>
                <w:rFonts w:hint="default" w:ascii="Times New Roman" w:hAnsi="Times New Roman" w:eastAsia="黑体" w:cs="Times New Roman"/>
                <w:snapToGrid w:val="0"/>
                <w:spacing w:val="-6"/>
                <w:kern w:val="21"/>
                <w:sz w:val="21"/>
                <w:szCs w:val="21"/>
                <w:lang w:val="en-US" w:eastAsia="zh-CN"/>
              </w:rPr>
            </w:pPr>
            <w:r>
              <w:rPr>
                <w:rFonts w:hint="default" w:ascii="Times New Roman" w:hAnsi="Times New Roman" w:eastAsia="黑体" w:cs="Times New Roman"/>
                <w:snapToGrid w:val="0"/>
                <w:spacing w:val="-6"/>
                <w:kern w:val="21"/>
                <w:sz w:val="21"/>
                <w:szCs w:val="21"/>
                <w:lang w:val="en-US" w:eastAsia="zh-CN"/>
              </w:rPr>
              <w:t>排放量（固体废物产生量）</w:t>
            </w:r>
            <w:r>
              <w:rPr>
                <w:rFonts w:hint="default" w:ascii="Times New Roman" w:hAnsi="Times New Roman" w:eastAsia="黑体" w:cs="Times New Roman"/>
                <w:snapToGrid w:val="0"/>
                <w:spacing w:val="-6"/>
                <w:kern w:val="21"/>
                <w:sz w:val="21"/>
                <w:szCs w:val="21"/>
                <w:lang w:val="en-US" w:eastAsia="zh-CN"/>
              </w:rPr>
              <w:fldChar w:fldCharType="begin"/>
            </w:r>
            <w:r>
              <w:rPr>
                <w:rFonts w:hint="default" w:ascii="Times New Roman" w:hAnsi="Times New Roman" w:eastAsia="黑体" w:cs="Times New Roman"/>
                <w:snapToGrid w:val="0"/>
                <w:spacing w:val="-6"/>
                <w:kern w:val="21"/>
                <w:sz w:val="21"/>
                <w:szCs w:val="21"/>
                <w:lang w:val="en-US" w:eastAsia="zh-CN"/>
              </w:rPr>
              <w:instrText xml:space="preserve"> = 3 \* GB3 \* MERGEFORMAT </w:instrText>
            </w:r>
            <w:r>
              <w:rPr>
                <w:rFonts w:hint="default" w:ascii="Times New Roman" w:hAnsi="Times New Roman" w:eastAsia="黑体" w:cs="Times New Roman"/>
                <w:snapToGrid w:val="0"/>
                <w:spacing w:val="-6"/>
                <w:kern w:val="21"/>
                <w:sz w:val="21"/>
                <w:szCs w:val="21"/>
                <w:lang w:val="en-US" w:eastAsia="zh-CN"/>
              </w:rPr>
              <w:fldChar w:fldCharType="separate"/>
            </w:r>
            <w:r>
              <w:rPr>
                <w:rFonts w:hint="eastAsia" w:hAnsi="宋体" w:cs="宋体"/>
                <w:kern w:val="2"/>
                <w:sz w:val="21"/>
                <w:szCs w:val="21"/>
                <w:lang w:val="en-US" w:eastAsia="zh-CN"/>
              </w:rPr>
              <w:t>③</w:t>
            </w:r>
            <w:r>
              <w:rPr>
                <w:rFonts w:hint="default" w:ascii="Times New Roman" w:hAnsi="Times New Roman" w:eastAsia="黑体" w:cs="Times New Roman"/>
                <w:snapToGrid w:val="0"/>
                <w:spacing w:val="-6"/>
                <w:kern w:val="21"/>
                <w:sz w:val="21"/>
                <w:szCs w:val="21"/>
                <w:lang w:val="en-US" w:eastAsia="zh-CN"/>
              </w:rPr>
              <w:fldChar w:fldCharType="end"/>
            </w:r>
          </w:p>
        </w:tc>
        <w:tc>
          <w:tcPr>
            <w:tcW w:w="1559" w:type="dxa"/>
            <w:noWrap w:val="0"/>
            <w:tcMar>
              <w:left w:w="28" w:type="dxa"/>
              <w:right w:w="28" w:type="dxa"/>
            </w:tcMar>
            <w:vAlign w:val="center"/>
          </w:tcPr>
          <w:p w14:paraId="266CE7A0">
            <w:pPr>
              <w:pStyle w:val="93"/>
              <w:keepNext w:val="0"/>
              <w:keepLines w:val="0"/>
              <w:suppressLineNumbers w:val="0"/>
              <w:spacing w:before="0" w:beforeLines="0" w:beforeAutospacing="0" w:after="0" w:afterLines="0" w:afterAutospacing="0" w:line="240" w:lineRule="auto"/>
              <w:ind w:left="0" w:right="0"/>
              <w:rPr>
                <w:rFonts w:hint="default" w:ascii="Times New Roman" w:hAnsi="Times New Roman" w:eastAsia="黑体" w:cs="Times New Roman"/>
                <w:snapToGrid w:val="0"/>
                <w:spacing w:val="-6"/>
                <w:kern w:val="21"/>
                <w:sz w:val="21"/>
                <w:szCs w:val="21"/>
                <w:lang w:val="en-US" w:eastAsia="zh-CN"/>
              </w:rPr>
            </w:pPr>
            <w:r>
              <w:rPr>
                <w:rFonts w:hint="default" w:ascii="Times New Roman" w:hAnsi="Times New Roman" w:eastAsia="黑体" w:cs="Times New Roman"/>
                <w:snapToGrid w:val="0"/>
                <w:spacing w:val="-6"/>
                <w:kern w:val="21"/>
                <w:sz w:val="21"/>
                <w:szCs w:val="21"/>
                <w:lang w:val="en-US" w:eastAsia="zh-CN"/>
              </w:rPr>
              <w:t>本项目</w:t>
            </w:r>
          </w:p>
          <w:p w14:paraId="5EFBC1F4">
            <w:pPr>
              <w:pStyle w:val="93"/>
              <w:keepNext w:val="0"/>
              <w:keepLines w:val="0"/>
              <w:suppressLineNumbers w:val="0"/>
              <w:spacing w:before="0" w:beforeLines="0" w:beforeAutospacing="0" w:after="0" w:afterLines="0" w:afterAutospacing="0" w:line="240" w:lineRule="auto"/>
              <w:ind w:left="0" w:right="0"/>
              <w:rPr>
                <w:rFonts w:hint="default" w:ascii="Times New Roman" w:hAnsi="Times New Roman" w:eastAsia="黑体" w:cs="Times New Roman"/>
                <w:snapToGrid w:val="0"/>
                <w:spacing w:val="-6"/>
                <w:kern w:val="21"/>
                <w:sz w:val="21"/>
                <w:szCs w:val="21"/>
                <w:lang w:val="en-US" w:eastAsia="zh-CN"/>
              </w:rPr>
            </w:pPr>
            <w:r>
              <w:rPr>
                <w:rFonts w:hint="default" w:ascii="Times New Roman" w:hAnsi="Times New Roman" w:eastAsia="黑体" w:cs="Times New Roman"/>
                <w:snapToGrid w:val="0"/>
                <w:spacing w:val="-6"/>
                <w:kern w:val="21"/>
                <w:sz w:val="21"/>
                <w:szCs w:val="21"/>
                <w:lang w:val="en-US" w:eastAsia="zh-CN"/>
              </w:rPr>
              <w:t>排放量（固体废物产生量）</w:t>
            </w:r>
            <w:r>
              <w:rPr>
                <w:rFonts w:hint="default" w:ascii="Times New Roman" w:hAnsi="Times New Roman" w:eastAsia="黑体" w:cs="Times New Roman"/>
                <w:snapToGrid w:val="0"/>
                <w:spacing w:val="-6"/>
                <w:kern w:val="21"/>
                <w:sz w:val="21"/>
                <w:szCs w:val="21"/>
                <w:lang w:val="en-US" w:eastAsia="zh-CN"/>
              </w:rPr>
              <w:fldChar w:fldCharType="begin"/>
            </w:r>
            <w:r>
              <w:rPr>
                <w:rFonts w:hint="default" w:ascii="Times New Roman" w:hAnsi="Times New Roman" w:eastAsia="黑体" w:cs="Times New Roman"/>
                <w:snapToGrid w:val="0"/>
                <w:spacing w:val="-6"/>
                <w:kern w:val="21"/>
                <w:sz w:val="21"/>
                <w:szCs w:val="21"/>
                <w:lang w:val="en-US" w:eastAsia="zh-CN"/>
              </w:rPr>
              <w:instrText xml:space="preserve"> = 4 \* GB3 \* MERGEFORMAT </w:instrText>
            </w:r>
            <w:r>
              <w:rPr>
                <w:rFonts w:hint="default" w:ascii="Times New Roman" w:hAnsi="Times New Roman" w:eastAsia="黑体" w:cs="Times New Roman"/>
                <w:snapToGrid w:val="0"/>
                <w:spacing w:val="-6"/>
                <w:kern w:val="21"/>
                <w:sz w:val="21"/>
                <w:szCs w:val="21"/>
                <w:lang w:val="en-US" w:eastAsia="zh-CN"/>
              </w:rPr>
              <w:fldChar w:fldCharType="separate"/>
            </w:r>
            <w:r>
              <w:rPr>
                <w:rFonts w:hint="eastAsia" w:hAnsi="宋体" w:cs="宋体"/>
                <w:kern w:val="2"/>
                <w:sz w:val="21"/>
                <w:szCs w:val="21"/>
                <w:lang w:val="en-US" w:eastAsia="zh-CN"/>
              </w:rPr>
              <w:t>④</w:t>
            </w:r>
            <w:r>
              <w:rPr>
                <w:rFonts w:hint="default" w:ascii="Times New Roman" w:hAnsi="Times New Roman" w:eastAsia="黑体" w:cs="Times New Roman"/>
                <w:snapToGrid w:val="0"/>
                <w:spacing w:val="-6"/>
                <w:kern w:val="21"/>
                <w:sz w:val="21"/>
                <w:szCs w:val="21"/>
                <w:lang w:val="en-US" w:eastAsia="zh-CN"/>
              </w:rPr>
              <w:fldChar w:fldCharType="end"/>
            </w:r>
          </w:p>
        </w:tc>
        <w:tc>
          <w:tcPr>
            <w:tcW w:w="1761" w:type="dxa"/>
            <w:noWrap w:val="0"/>
            <w:tcMar>
              <w:left w:w="28" w:type="dxa"/>
              <w:right w:w="28" w:type="dxa"/>
            </w:tcMar>
            <w:vAlign w:val="center"/>
          </w:tcPr>
          <w:p w14:paraId="7A310B1F">
            <w:pPr>
              <w:pStyle w:val="93"/>
              <w:keepNext w:val="0"/>
              <w:keepLines w:val="0"/>
              <w:suppressLineNumbers w:val="0"/>
              <w:spacing w:before="0" w:beforeLines="0" w:beforeAutospacing="0" w:after="0" w:afterLines="0" w:afterAutospacing="0" w:line="240" w:lineRule="auto"/>
              <w:ind w:left="0" w:right="0"/>
              <w:rPr>
                <w:rFonts w:hint="default" w:ascii="Times New Roman" w:hAnsi="Times New Roman" w:eastAsia="黑体" w:cs="Times New Roman"/>
                <w:snapToGrid w:val="0"/>
                <w:spacing w:val="-16"/>
                <w:kern w:val="21"/>
                <w:sz w:val="21"/>
                <w:szCs w:val="21"/>
                <w:lang w:val="en-US" w:eastAsia="zh-CN"/>
              </w:rPr>
            </w:pPr>
            <w:r>
              <w:rPr>
                <w:rFonts w:hint="default" w:ascii="Times New Roman" w:hAnsi="Times New Roman" w:eastAsia="黑体" w:cs="Times New Roman"/>
                <w:snapToGrid w:val="0"/>
                <w:spacing w:val="-16"/>
                <w:kern w:val="21"/>
                <w:sz w:val="21"/>
                <w:szCs w:val="21"/>
                <w:lang w:val="en-US" w:eastAsia="zh-CN"/>
              </w:rPr>
              <w:t>以新带老削减量</w:t>
            </w:r>
          </w:p>
          <w:p w14:paraId="72E6A8D2">
            <w:pPr>
              <w:pStyle w:val="93"/>
              <w:keepNext w:val="0"/>
              <w:keepLines w:val="0"/>
              <w:suppressLineNumbers w:val="0"/>
              <w:spacing w:before="0" w:beforeLines="0" w:beforeAutospacing="0" w:after="0" w:afterLines="0" w:afterAutospacing="0" w:line="240" w:lineRule="auto"/>
              <w:ind w:left="0" w:right="0"/>
              <w:rPr>
                <w:rFonts w:hint="default" w:ascii="Times New Roman" w:hAnsi="Times New Roman" w:eastAsia="黑体" w:cs="Times New Roman"/>
                <w:snapToGrid w:val="0"/>
                <w:spacing w:val="-16"/>
                <w:kern w:val="21"/>
                <w:sz w:val="21"/>
                <w:szCs w:val="21"/>
                <w:lang w:val="en-US" w:eastAsia="zh-CN"/>
              </w:rPr>
            </w:pPr>
            <w:r>
              <w:rPr>
                <w:rFonts w:hint="default" w:ascii="Times New Roman" w:hAnsi="Times New Roman" w:eastAsia="黑体" w:cs="Times New Roman"/>
                <w:snapToGrid w:val="0"/>
                <w:spacing w:val="-16"/>
                <w:kern w:val="21"/>
                <w:sz w:val="21"/>
                <w:szCs w:val="21"/>
                <w:lang w:val="en-US" w:eastAsia="zh-CN"/>
              </w:rPr>
              <w:t>（新建项目不填）</w:t>
            </w:r>
            <w:r>
              <w:rPr>
                <w:rFonts w:hint="default" w:ascii="Times New Roman" w:hAnsi="Times New Roman" w:eastAsia="黑体" w:cs="Times New Roman"/>
                <w:snapToGrid w:val="0"/>
                <w:spacing w:val="-16"/>
                <w:kern w:val="21"/>
                <w:sz w:val="21"/>
                <w:szCs w:val="21"/>
                <w:lang w:val="en-US" w:eastAsia="zh-CN"/>
              </w:rPr>
              <w:fldChar w:fldCharType="begin"/>
            </w:r>
            <w:r>
              <w:rPr>
                <w:rFonts w:hint="default" w:ascii="Times New Roman" w:hAnsi="Times New Roman" w:eastAsia="黑体" w:cs="Times New Roman"/>
                <w:snapToGrid w:val="0"/>
                <w:spacing w:val="-16"/>
                <w:kern w:val="21"/>
                <w:sz w:val="21"/>
                <w:szCs w:val="21"/>
                <w:lang w:val="en-US" w:eastAsia="zh-CN"/>
              </w:rPr>
              <w:instrText xml:space="preserve"> = 5 \* GB3 \* MERGEFORMAT </w:instrText>
            </w:r>
            <w:r>
              <w:rPr>
                <w:rFonts w:hint="default" w:ascii="Times New Roman" w:hAnsi="Times New Roman" w:eastAsia="黑体" w:cs="Times New Roman"/>
                <w:snapToGrid w:val="0"/>
                <w:spacing w:val="-16"/>
                <w:kern w:val="21"/>
                <w:sz w:val="21"/>
                <w:szCs w:val="21"/>
                <w:lang w:val="en-US" w:eastAsia="zh-CN"/>
              </w:rPr>
              <w:fldChar w:fldCharType="separate"/>
            </w:r>
            <w:r>
              <w:rPr>
                <w:rFonts w:hint="eastAsia" w:hAnsi="宋体" w:cs="宋体"/>
                <w:kern w:val="2"/>
                <w:sz w:val="21"/>
                <w:szCs w:val="21"/>
                <w:lang w:val="en-US" w:eastAsia="zh-CN"/>
              </w:rPr>
              <w:t>⑤</w:t>
            </w:r>
            <w:r>
              <w:rPr>
                <w:rFonts w:hint="default" w:ascii="Times New Roman" w:hAnsi="Times New Roman" w:eastAsia="黑体" w:cs="Times New Roman"/>
                <w:snapToGrid w:val="0"/>
                <w:spacing w:val="-16"/>
                <w:kern w:val="21"/>
                <w:sz w:val="21"/>
                <w:szCs w:val="21"/>
                <w:lang w:val="en-US" w:eastAsia="zh-CN"/>
              </w:rPr>
              <w:fldChar w:fldCharType="end"/>
            </w:r>
          </w:p>
        </w:tc>
        <w:tc>
          <w:tcPr>
            <w:tcW w:w="1564" w:type="dxa"/>
            <w:noWrap w:val="0"/>
            <w:tcMar>
              <w:left w:w="28" w:type="dxa"/>
              <w:right w:w="28" w:type="dxa"/>
            </w:tcMar>
            <w:vAlign w:val="center"/>
          </w:tcPr>
          <w:p w14:paraId="2BE3BD9F">
            <w:pPr>
              <w:pStyle w:val="93"/>
              <w:keepNext w:val="0"/>
              <w:keepLines w:val="0"/>
              <w:suppressLineNumbers w:val="0"/>
              <w:spacing w:before="0" w:beforeLines="0" w:beforeAutospacing="0" w:after="0" w:afterLines="0" w:afterAutospacing="0" w:line="240" w:lineRule="auto"/>
              <w:ind w:left="0" w:right="0"/>
              <w:rPr>
                <w:rFonts w:hint="default" w:ascii="Times New Roman" w:hAnsi="Times New Roman" w:eastAsia="黑体" w:cs="Times New Roman"/>
                <w:snapToGrid w:val="0"/>
                <w:spacing w:val="-16"/>
                <w:kern w:val="21"/>
                <w:sz w:val="21"/>
                <w:szCs w:val="21"/>
                <w:lang w:val="en-US" w:eastAsia="zh-CN"/>
              </w:rPr>
            </w:pPr>
            <w:r>
              <w:rPr>
                <w:rFonts w:hint="default" w:ascii="Times New Roman" w:hAnsi="Times New Roman" w:eastAsia="黑体" w:cs="Times New Roman"/>
                <w:snapToGrid w:val="0"/>
                <w:spacing w:val="-16"/>
                <w:kern w:val="21"/>
                <w:sz w:val="21"/>
                <w:szCs w:val="21"/>
                <w:lang w:val="en-US" w:eastAsia="zh-CN"/>
              </w:rPr>
              <w:t>本项目建成后</w:t>
            </w:r>
          </w:p>
          <w:p w14:paraId="23C4A7D4">
            <w:pPr>
              <w:pStyle w:val="93"/>
              <w:keepNext w:val="0"/>
              <w:keepLines w:val="0"/>
              <w:suppressLineNumbers w:val="0"/>
              <w:spacing w:before="0" w:beforeLines="0" w:beforeAutospacing="0" w:after="0" w:afterLines="0" w:afterAutospacing="0" w:line="240" w:lineRule="auto"/>
              <w:ind w:left="0" w:right="0"/>
              <w:rPr>
                <w:rFonts w:hint="default" w:ascii="Times New Roman" w:hAnsi="Times New Roman" w:eastAsia="黑体" w:cs="Times New Roman"/>
                <w:snapToGrid w:val="0"/>
                <w:spacing w:val="-16"/>
                <w:kern w:val="21"/>
                <w:sz w:val="21"/>
                <w:szCs w:val="21"/>
                <w:lang w:val="en-US" w:eastAsia="zh-CN"/>
              </w:rPr>
            </w:pPr>
            <w:r>
              <w:rPr>
                <w:rFonts w:hint="default" w:ascii="Times New Roman" w:hAnsi="Times New Roman" w:eastAsia="黑体" w:cs="Times New Roman"/>
                <w:snapToGrid w:val="0"/>
                <w:spacing w:val="-16"/>
                <w:kern w:val="21"/>
                <w:sz w:val="21"/>
                <w:szCs w:val="21"/>
                <w:lang w:val="en-US" w:eastAsia="zh-CN"/>
              </w:rPr>
              <w:t>全厂排放量（固体废物产生量）</w:t>
            </w:r>
            <w:r>
              <w:rPr>
                <w:rFonts w:hint="default" w:ascii="Times New Roman" w:hAnsi="Times New Roman" w:eastAsia="黑体" w:cs="Times New Roman"/>
                <w:snapToGrid w:val="0"/>
                <w:spacing w:val="-16"/>
                <w:kern w:val="21"/>
                <w:sz w:val="21"/>
                <w:szCs w:val="21"/>
                <w:lang w:val="en-US" w:eastAsia="zh-CN"/>
              </w:rPr>
              <w:fldChar w:fldCharType="begin"/>
            </w:r>
            <w:r>
              <w:rPr>
                <w:rFonts w:hint="default" w:ascii="Times New Roman" w:hAnsi="Times New Roman" w:eastAsia="黑体" w:cs="Times New Roman"/>
                <w:snapToGrid w:val="0"/>
                <w:spacing w:val="-16"/>
                <w:kern w:val="21"/>
                <w:sz w:val="21"/>
                <w:szCs w:val="21"/>
                <w:lang w:val="en-US" w:eastAsia="zh-CN"/>
              </w:rPr>
              <w:instrText xml:space="preserve"> = 6 \* GB3 \* MERGEFORMAT </w:instrText>
            </w:r>
            <w:r>
              <w:rPr>
                <w:rFonts w:hint="default" w:ascii="Times New Roman" w:hAnsi="Times New Roman" w:eastAsia="黑体" w:cs="Times New Roman"/>
                <w:snapToGrid w:val="0"/>
                <w:spacing w:val="-16"/>
                <w:kern w:val="21"/>
                <w:sz w:val="21"/>
                <w:szCs w:val="21"/>
                <w:lang w:val="en-US" w:eastAsia="zh-CN"/>
              </w:rPr>
              <w:fldChar w:fldCharType="separate"/>
            </w:r>
            <w:r>
              <w:rPr>
                <w:rFonts w:hint="eastAsia" w:hAnsi="宋体" w:cs="宋体"/>
                <w:kern w:val="2"/>
                <w:sz w:val="21"/>
                <w:szCs w:val="21"/>
                <w:lang w:val="en-US" w:eastAsia="zh-CN"/>
              </w:rPr>
              <w:t>⑥</w:t>
            </w:r>
            <w:r>
              <w:rPr>
                <w:rFonts w:hint="default" w:ascii="Times New Roman" w:hAnsi="Times New Roman" w:eastAsia="黑体" w:cs="Times New Roman"/>
                <w:snapToGrid w:val="0"/>
                <w:spacing w:val="-16"/>
                <w:kern w:val="21"/>
                <w:sz w:val="21"/>
                <w:szCs w:val="21"/>
                <w:lang w:val="en-US" w:eastAsia="zh-CN"/>
              </w:rPr>
              <w:fldChar w:fldCharType="end"/>
            </w:r>
          </w:p>
        </w:tc>
        <w:tc>
          <w:tcPr>
            <w:tcW w:w="1221" w:type="dxa"/>
            <w:noWrap w:val="0"/>
            <w:tcMar>
              <w:left w:w="28" w:type="dxa"/>
              <w:right w:w="28" w:type="dxa"/>
            </w:tcMar>
            <w:vAlign w:val="center"/>
          </w:tcPr>
          <w:p w14:paraId="0E939558">
            <w:pPr>
              <w:pStyle w:val="93"/>
              <w:keepNext w:val="0"/>
              <w:keepLines w:val="0"/>
              <w:suppressLineNumbers w:val="0"/>
              <w:spacing w:before="0" w:beforeLines="0" w:beforeAutospacing="0" w:after="0" w:afterLines="0" w:afterAutospacing="0" w:line="240" w:lineRule="auto"/>
              <w:ind w:left="0" w:right="0"/>
              <w:rPr>
                <w:rFonts w:hint="default" w:ascii="Times New Roman" w:hAnsi="Times New Roman" w:eastAsia="黑体" w:cs="Times New Roman"/>
                <w:snapToGrid w:val="0"/>
                <w:spacing w:val="-6"/>
                <w:kern w:val="21"/>
                <w:sz w:val="21"/>
                <w:szCs w:val="21"/>
                <w:lang w:val="en-US" w:eastAsia="zh-CN"/>
              </w:rPr>
            </w:pPr>
            <w:r>
              <w:rPr>
                <w:rFonts w:hint="default" w:ascii="Times New Roman" w:hAnsi="Times New Roman" w:eastAsia="黑体" w:cs="Times New Roman"/>
                <w:snapToGrid w:val="0"/>
                <w:spacing w:val="-6"/>
                <w:kern w:val="21"/>
                <w:sz w:val="21"/>
                <w:szCs w:val="21"/>
                <w:lang w:val="en-US" w:eastAsia="zh-CN"/>
              </w:rPr>
              <w:t>变化量</w:t>
            </w:r>
          </w:p>
          <w:p w14:paraId="3D205202">
            <w:pPr>
              <w:pStyle w:val="93"/>
              <w:keepNext w:val="0"/>
              <w:keepLines w:val="0"/>
              <w:suppressLineNumbers w:val="0"/>
              <w:spacing w:before="0" w:beforeLines="0" w:beforeAutospacing="0" w:after="0" w:afterLines="0" w:afterAutospacing="0" w:line="240" w:lineRule="auto"/>
              <w:ind w:left="0" w:right="0"/>
              <w:rPr>
                <w:rFonts w:hint="default" w:ascii="Times New Roman" w:hAnsi="Times New Roman" w:eastAsia="黑体" w:cs="Times New Roman"/>
                <w:snapToGrid w:val="0"/>
                <w:spacing w:val="-6"/>
                <w:kern w:val="21"/>
                <w:sz w:val="21"/>
                <w:szCs w:val="21"/>
                <w:lang w:val="en-US" w:eastAsia="zh-CN"/>
              </w:rPr>
            </w:pPr>
            <w:r>
              <w:rPr>
                <w:rFonts w:hint="default" w:ascii="Times New Roman" w:hAnsi="Times New Roman" w:eastAsia="黑体" w:cs="Times New Roman"/>
                <w:snapToGrid w:val="0"/>
                <w:spacing w:val="-6"/>
                <w:kern w:val="21"/>
                <w:sz w:val="21"/>
                <w:szCs w:val="21"/>
                <w:lang w:val="en-US" w:eastAsia="zh-CN"/>
              </w:rPr>
              <w:fldChar w:fldCharType="begin"/>
            </w:r>
            <w:r>
              <w:rPr>
                <w:rFonts w:hint="default" w:ascii="Times New Roman" w:hAnsi="Times New Roman" w:eastAsia="黑体" w:cs="Times New Roman"/>
                <w:snapToGrid w:val="0"/>
                <w:spacing w:val="-6"/>
                <w:kern w:val="21"/>
                <w:sz w:val="21"/>
                <w:szCs w:val="21"/>
                <w:lang w:val="en-US" w:eastAsia="zh-CN"/>
              </w:rPr>
              <w:instrText xml:space="preserve"> = 7 \* GB3 \* MERGEFORMAT </w:instrText>
            </w:r>
            <w:r>
              <w:rPr>
                <w:rFonts w:hint="default" w:ascii="Times New Roman" w:hAnsi="Times New Roman" w:eastAsia="黑体" w:cs="Times New Roman"/>
                <w:snapToGrid w:val="0"/>
                <w:spacing w:val="-6"/>
                <w:kern w:val="21"/>
                <w:sz w:val="21"/>
                <w:szCs w:val="21"/>
                <w:lang w:val="en-US" w:eastAsia="zh-CN"/>
              </w:rPr>
              <w:fldChar w:fldCharType="separate"/>
            </w:r>
            <w:r>
              <w:rPr>
                <w:rFonts w:hint="eastAsia" w:hAnsi="宋体" w:cs="宋体"/>
                <w:kern w:val="2"/>
                <w:sz w:val="21"/>
                <w:szCs w:val="21"/>
                <w:lang w:val="en-US" w:eastAsia="zh-CN"/>
              </w:rPr>
              <w:t>⑦</w:t>
            </w:r>
            <w:r>
              <w:rPr>
                <w:rFonts w:hint="default" w:ascii="Times New Roman" w:hAnsi="Times New Roman" w:eastAsia="黑体" w:cs="Times New Roman"/>
                <w:snapToGrid w:val="0"/>
                <w:spacing w:val="-6"/>
                <w:kern w:val="21"/>
                <w:sz w:val="21"/>
                <w:szCs w:val="21"/>
                <w:lang w:val="en-US" w:eastAsia="zh-CN"/>
              </w:rPr>
              <w:fldChar w:fldCharType="end"/>
            </w:r>
          </w:p>
        </w:tc>
      </w:tr>
      <w:tr w14:paraId="3ADEC7F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1304" w:type="dxa"/>
            <w:vMerge w:val="restart"/>
            <w:noWrap w:val="0"/>
            <w:vAlign w:val="center"/>
          </w:tcPr>
          <w:p w14:paraId="5FB84DFB">
            <w:pPr>
              <w:pStyle w:val="93"/>
              <w:keepNext w:val="0"/>
              <w:keepLines w:val="0"/>
              <w:pageBreakBefore w:val="0"/>
              <w:suppressLineNumbers w:val="0"/>
              <w:kinsoku/>
              <w:wordWrap/>
              <w:overflowPunct/>
              <w:topLinePunct w:val="0"/>
              <w:autoSpaceDE/>
              <w:autoSpaceDN/>
              <w:bidi w:val="0"/>
              <w:spacing w:before="0" w:beforeLines="0" w:beforeAutospacing="0" w:after="0" w:afterLines="0" w:afterAutospacing="0" w:line="240" w:lineRule="auto"/>
              <w:ind w:left="0" w:right="0"/>
              <w:textAlignment w:val="auto"/>
              <w:rPr>
                <w:rFonts w:hint="default" w:ascii="Times New Roman" w:hAnsi="Times New Roman" w:cs="Times New Roman"/>
                <w:snapToGrid w:val="0"/>
                <w:kern w:val="21"/>
                <w:sz w:val="21"/>
                <w:szCs w:val="21"/>
                <w:lang w:val="en-US" w:eastAsia="zh-CN"/>
              </w:rPr>
            </w:pPr>
            <w:r>
              <w:rPr>
                <w:rFonts w:hint="default" w:ascii="Times New Roman" w:hAnsi="Times New Roman" w:cs="Times New Roman"/>
                <w:snapToGrid w:val="0"/>
                <w:kern w:val="21"/>
                <w:sz w:val="21"/>
                <w:szCs w:val="21"/>
                <w:lang w:val="en-US" w:eastAsia="zh-CN"/>
              </w:rPr>
              <w:t>废气</w:t>
            </w:r>
          </w:p>
        </w:tc>
        <w:tc>
          <w:tcPr>
            <w:tcW w:w="1940" w:type="dxa"/>
            <w:noWrap w:val="0"/>
            <w:vAlign w:val="center"/>
          </w:tcPr>
          <w:p w14:paraId="0330500B">
            <w:pPr>
              <w:pStyle w:val="121"/>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textAlignment w:val="auto"/>
              <w:rPr>
                <w:rFonts w:hint="default" w:ascii="Times New Roman" w:hAnsi="Times New Roman" w:cs="Times New Roman"/>
                <w:color w:val="auto"/>
                <w:szCs w:val="21"/>
              </w:rPr>
            </w:pPr>
            <w:r>
              <w:rPr>
                <w:rFonts w:hint="eastAsia" w:ascii="Times New Roman" w:hAnsi="Times New Roman" w:cs="Times New Roman"/>
                <w:color w:val="auto"/>
                <w:szCs w:val="21"/>
                <w:lang w:val="en-US" w:eastAsia="zh-CN"/>
              </w:rPr>
              <w:t>非甲烷总烃</w:t>
            </w:r>
          </w:p>
        </w:tc>
        <w:tc>
          <w:tcPr>
            <w:tcW w:w="1462" w:type="dxa"/>
            <w:noWrap w:val="0"/>
            <w:vAlign w:val="center"/>
          </w:tcPr>
          <w:p w14:paraId="2578B667">
            <w:pPr>
              <w:pStyle w:val="121"/>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textAlignment w:val="auto"/>
              <w:rPr>
                <w:rFonts w:hint="default" w:ascii="Times New Roman" w:hAnsi="Times New Roman" w:cs="Times New Roman"/>
                <w:bCs/>
                <w:color w:val="auto"/>
                <w:szCs w:val="21"/>
                <w:lang w:val="en-US"/>
              </w:rPr>
            </w:pPr>
            <w:r>
              <w:rPr>
                <w:rFonts w:hint="eastAsia" w:ascii="Times New Roman" w:hAnsi="Times New Roman" w:cs="Times New Roman"/>
                <w:bCs/>
                <w:color w:val="auto"/>
                <w:szCs w:val="21"/>
                <w:lang w:val="en-US" w:eastAsia="zh-CN"/>
              </w:rPr>
              <w:t>1.135</w:t>
            </w:r>
          </w:p>
        </w:tc>
        <w:tc>
          <w:tcPr>
            <w:tcW w:w="1276" w:type="dxa"/>
            <w:noWrap w:val="0"/>
            <w:vAlign w:val="center"/>
          </w:tcPr>
          <w:p w14:paraId="042A9070">
            <w:pPr>
              <w:pStyle w:val="121"/>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textAlignment w:val="auto"/>
              <w:rPr>
                <w:rFonts w:hint="default" w:ascii="Times New Roman" w:hAnsi="Times New Roman" w:eastAsia="宋体" w:cs="Times New Roman"/>
                <w:bCs/>
                <w:color w:val="auto"/>
                <w:szCs w:val="21"/>
                <w:lang w:val="en-US" w:eastAsia="zh-CN"/>
              </w:rPr>
            </w:pPr>
            <w:r>
              <w:rPr>
                <w:rFonts w:hint="eastAsia" w:ascii="Times New Roman" w:hAnsi="Times New Roman" w:cs="Times New Roman"/>
                <w:bCs/>
                <w:color w:val="auto"/>
                <w:szCs w:val="21"/>
                <w:lang w:val="en-US" w:eastAsia="zh-CN"/>
              </w:rPr>
              <w:t>/</w:t>
            </w:r>
          </w:p>
        </w:tc>
        <w:tc>
          <w:tcPr>
            <w:tcW w:w="1701" w:type="dxa"/>
            <w:noWrap w:val="0"/>
            <w:vAlign w:val="center"/>
          </w:tcPr>
          <w:p w14:paraId="7036DC7D">
            <w:pPr>
              <w:pStyle w:val="121"/>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textAlignment w:val="auto"/>
              <w:rPr>
                <w:rFonts w:hint="default" w:ascii="Times New Roman" w:hAnsi="Times New Roman" w:cs="Times New Roman"/>
                <w:bCs/>
                <w:color w:val="auto"/>
                <w:szCs w:val="21"/>
              </w:rPr>
            </w:pPr>
            <w:r>
              <w:rPr>
                <w:rFonts w:hint="eastAsia" w:ascii="Times New Roman" w:hAnsi="Times New Roman" w:cs="Times New Roman"/>
                <w:bCs/>
                <w:color w:val="auto"/>
                <w:szCs w:val="21"/>
              </w:rPr>
              <w:t>/</w:t>
            </w:r>
          </w:p>
        </w:tc>
        <w:tc>
          <w:tcPr>
            <w:tcW w:w="1559" w:type="dxa"/>
            <w:noWrap w:val="0"/>
            <w:vAlign w:val="center"/>
          </w:tcPr>
          <w:p w14:paraId="46D50887">
            <w:pPr>
              <w:pStyle w:val="121"/>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textAlignment w:val="auto"/>
              <w:rPr>
                <w:rFonts w:hint="default" w:ascii="Times New Roman" w:hAnsi="Times New Roman" w:eastAsia="宋体" w:cs="Times New Roman"/>
                <w:bCs/>
                <w:color w:val="auto"/>
                <w:szCs w:val="21"/>
                <w:lang w:val="en-US" w:eastAsia="zh-CN"/>
              </w:rPr>
            </w:pPr>
            <w:r>
              <w:rPr>
                <w:rFonts w:hint="eastAsia" w:ascii="Times New Roman" w:hAnsi="Times New Roman" w:cs="Times New Roman"/>
                <w:bCs/>
                <w:color w:val="auto"/>
                <w:szCs w:val="21"/>
                <w:lang w:val="en-US" w:eastAsia="zh-CN"/>
              </w:rPr>
              <w:t>1.030</w:t>
            </w:r>
          </w:p>
        </w:tc>
        <w:tc>
          <w:tcPr>
            <w:tcW w:w="1761" w:type="dxa"/>
            <w:noWrap w:val="0"/>
            <w:vAlign w:val="center"/>
          </w:tcPr>
          <w:p w14:paraId="47847E72">
            <w:pPr>
              <w:pStyle w:val="121"/>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textAlignment w:val="auto"/>
              <w:rPr>
                <w:rFonts w:hint="default" w:ascii="Times New Roman" w:eastAsia="宋体"/>
                <w:bCs/>
                <w:kern w:val="2"/>
                <w:szCs w:val="21"/>
                <w:lang w:val="en-US" w:eastAsia="zh-CN"/>
              </w:rPr>
            </w:pPr>
            <w:r>
              <w:rPr>
                <w:rFonts w:hint="eastAsia" w:ascii="Times New Roman" w:hAnsi="Times New Roman" w:cs="Times New Roman"/>
                <w:bCs/>
                <w:color w:val="auto"/>
                <w:szCs w:val="21"/>
                <w:lang w:val="en-US" w:eastAsia="zh-CN"/>
              </w:rPr>
              <w:t>1.135</w:t>
            </w:r>
          </w:p>
        </w:tc>
        <w:tc>
          <w:tcPr>
            <w:tcW w:w="1564" w:type="dxa"/>
            <w:shd w:val="clear" w:color="auto" w:fill="auto"/>
            <w:noWrap w:val="0"/>
            <w:vAlign w:val="center"/>
          </w:tcPr>
          <w:p w14:paraId="553488FE">
            <w:pPr>
              <w:pStyle w:val="121"/>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leftChars="0" w:right="0" w:rightChars="0"/>
              <w:textAlignment w:val="auto"/>
              <w:rPr>
                <w:rFonts w:hint="default" w:ascii="Times New Roman" w:hAnsi="Times New Roman" w:eastAsia="宋体" w:cs="Times New Roman"/>
                <w:bCs/>
                <w:color w:val="auto"/>
                <w:kern w:val="2"/>
                <w:sz w:val="21"/>
                <w:szCs w:val="21"/>
                <w:lang w:val="en-US" w:eastAsia="zh-CN" w:bidi="ar-SA"/>
              </w:rPr>
            </w:pPr>
            <w:r>
              <w:rPr>
                <w:rFonts w:hint="eastAsia" w:ascii="Times New Roman" w:hAnsi="Times New Roman" w:cs="Times New Roman"/>
                <w:bCs/>
                <w:color w:val="auto"/>
                <w:szCs w:val="21"/>
                <w:lang w:val="en-US" w:eastAsia="zh-CN"/>
              </w:rPr>
              <w:t>1.030</w:t>
            </w:r>
          </w:p>
        </w:tc>
        <w:tc>
          <w:tcPr>
            <w:tcW w:w="1221" w:type="dxa"/>
            <w:noWrap w:val="0"/>
            <w:vAlign w:val="center"/>
          </w:tcPr>
          <w:p w14:paraId="5A3750FA">
            <w:pPr>
              <w:pStyle w:val="121"/>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textAlignment w:val="auto"/>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-0.105</w:t>
            </w:r>
          </w:p>
        </w:tc>
      </w:tr>
      <w:tr w14:paraId="4F0787A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1304" w:type="dxa"/>
            <w:vMerge w:val="continue"/>
            <w:noWrap w:val="0"/>
            <w:vAlign w:val="center"/>
          </w:tcPr>
          <w:p w14:paraId="3A574865">
            <w:pPr>
              <w:pStyle w:val="93"/>
              <w:keepNext w:val="0"/>
              <w:keepLines w:val="0"/>
              <w:pageBreakBefore w:val="0"/>
              <w:suppressLineNumbers w:val="0"/>
              <w:kinsoku/>
              <w:wordWrap/>
              <w:overflowPunct/>
              <w:topLinePunct w:val="0"/>
              <w:autoSpaceDE/>
              <w:autoSpaceDN/>
              <w:bidi w:val="0"/>
              <w:spacing w:before="0" w:beforeLines="0" w:beforeAutospacing="0" w:after="0" w:afterLines="0" w:afterAutospacing="0" w:line="240" w:lineRule="auto"/>
              <w:ind w:left="0" w:right="0"/>
              <w:textAlignment w:val="auto"/>
              <w:rPr>
                <w:rFonts w:hint="default" w:ascii="Times New Roman" w:hAnsi="Times New Roman" w:cs="Times New Roman"/>
                <w:snapToGrid w:val="0"/>
                <w:kern w:val="21"/>
                <w:sz w:val="21"/>
                <w:szCs w:val="21"/>
                <w:lang w:val="en-US" w:eastAsia="zh-CN"/>
              </w:rPr>
            </w:pPr>
          </w:p>
        </w:tc>
        <w:tc>
          <w:tcPr>
            <w:tcW w:w="1940" w:type="dxa"/>
            <w:noWrap w:val="0"/>
            <w:vAlign w:val="center"/>
          </w:tcPr>
          <w:p w14:paraId="54843947">
            <w:pPr>
              <w:pStyle w:val="121"/>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textAlignment w:val="auto"/>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二苯基甲烷二异氰酸酯（MDI）</w:t>
            </w:r>
          </w:p>
        </w:tc>
        <w:tc>
          <w:tcPr>
            <w:tcW w:w="1462" w:type="dxa"/>
            <w:noWrap w:val="0"/>
            <w:vAlign w:val="center"/>
          </w:tcPr>
          <w:p w14:paraId="08DE82E4">
            <w:pPr>
              <w:pStyle w:val="121"/>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textAlignment w:val="auto"/>
              <w:rPr>
                <w:rFonts w:hint="default" w:ascii="Times New Roman" w:hAnsi="Times New Roman" w:cs="Times New Roman"/>
                <w:bCs/>
                <w:color w:val="auto"/>
                <w:szCs w:val="21"/>
                <w:lang w:val="en-US" w:eastAsia="zh-CN"/>
              </w:rPr>
            </w:pPr>
            <w:r>
              <w:rPr>
                <w:rFonts w:hint="default" w:ascii="Times New Roman" w:hAnsi="Times New Roman" w:cs="Times New Roman"/>
                <w:bCs/>
                <w:color w:val="auto"/>
                <w:szCs w:val="21"/>
                <w:lang w:val="en-US" w:eastAsia="zh-CN"/>
              </w:rPr>
              <w:t>0</w:t>
            </w:r>
          </w:p>
        </w:tc>
        <w:tc>
          <w:tcPr>
            <w:tcW w:w="1276" w:type="dxa"/>
            <w:noWrap w:val="0"/>
            <w:vAlign w:val="center"/>
          </w:tcPr>
          <w:p w14:paraId="0DBCB963">
            <w:pPr>
              <w:pStyle w:val="121"/>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textAlignment w:val="auto"/>
              <w:rPr>
                <w:rFonts w:hint="default" w:ascii="Times New Roman" w:hAnsi="Times New Roman" w:cs="Times New Roman"/>
                <w:bCs/>
                <w:color w:val="auto"/>
                <w:szCs w:val="21"/>
                <w:lang w:val="en-US" w:eastAsia="zh-CN"/>
              </w:rPr>
            </w:pPr>
            <w:r>
              <w:rPr>
                <w:rFonts w:hint="eastAsia" w:ascii="Times New Roman" w:hAnsi="Times New Roman" w:cs="Times New Roman"/>
                <w:bCs/>
                <w:color w:val="auto"/>
                <w:szCs w:val="21"/>
                <w:lang w:val="en-US" w:eastAsia="zh-CN"/>
              </w:rPr>
              <w:t>/</w:t>
            </w:r>
          </w:p>
        </w:tc>
        <w:tc>
          <w:tcPr>
            <w:tcW w:w="1701" w:type="dxa"/>
            <w:noWrap w:val="0"/>
            <w:vAlign w:val="center"/>
          </w:tcPr>
          <w:p w14:paraId="1DAFEA43">
            <w:pPr>
              <w:pStyle w:val="121"/>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textAlignment w:val="auto"/>
              <w:rPr>
                <w:rFonts w:hint="eastAsia" w:ascii="Times New Roman" w:hAnsi="Times New Roman" w:eastAsia="宋体" w:cs="Times New Roman"/>
                <w:bCs/>
                <w:color w:val="auto"/>
                <w:szCs w:val="21"/>
                <w:lang w:val="en-US" w:eastAsia="zh-CN"/>
              </w:rPr>
            </w:pPr>
            <w:r>
              <w:rPr>
                <w:rFonts w:hint="eastAsia" w:ascii="Times New Roman" w:hAnsi="Times New Roman" w:cs="Times New Roman"/>
                <w:bCs/>
                <w:color w:val="auto"/>
                <w:szCs w:val="21"/>
                <w:lang w:val="en-US" w:eastAsia="zh-CN"/>
              </w:rPr>
              <w:t>/</w:t>
            </w:r>
          </w:p>
        </w:tc>
        <w:tc>
          <w:tcPr>
            <w:tcW w:w="1559" w:type="dxa"/>
            <w:noWrap w:val="0"/>
            <w:vAlign w:val="center"/>
          </w:tcPr>
          <w:p w14:paraId="76FECE83">
            <w:pPr>
              <w:pStyle w:val="121"/>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textAlignment w:val="auto"/>
              <w:rPr>
                <w:rFonts w:hint="default" w:ascii="Times New Roman" w:hAnsi="Times New Roman" w:cs="Times New Roman"/>
                <w:bCs/>
                <w:color w:val="auto"/>
                <w:szCs w:val="21"/>
                <w:lang w:val="en-US" w:eastAsia="zh-CN"/>
              </w:rPr>
            </w:pPr>
            <w:r>
              <w:rPr>
                <w:rFonts w:hint="eastAsia" w:ascii="Times New Roman" w:hAnsi="Times New Roman" w:cs="Times New Roman"/>
                <w:bCs/>
                <w:color w:val="auto"/>
                <w:szCs w:val="21"/>
                <w:lang w:val="en-US" w:eastAsia="zh-CN"/>
              </w:rPr>
              <w:t>2.38</w:t>
            </w:r>
            <w:r>
              <w:rPr>
                <w:rFonts w:hint="default" w:ascii="Arial" w:hAnsi="Arial" w:cs="Arial"/>
                <w:bCs/>
                <w:color w:val="auto"/>
                <w:szCs w:val="21"/>
                <w:lang w:val="en-US" w:eastAsia="zh-CN"/>
              </w:rPr>
              <w:t>×</w:t>
            </w:r>
            <w:r>
              <w:rPr>
                <w:rFonts w:hint="eastAsia" w:ascii="Times New Roman" w:hAnsi="Times New Roman" w:cs="Times New Roman"/>
                <w:bCs/>
                <w:color w:val="auto"/>
                <w:szCs w:val="21"/>
                <w:lang w:val="en-US" w:eastAsia="zh-CN"/>
              </w:rPr>
              <w:t>10</w:t>
            </w:r>
            <w:r>
              <w:rPr>
                <w:rFonts w:hint="eastAsia" w:ascii="Times New Roman" w:hAnsi="Times New Roman" w:cs="Times New Roman"/>
                <w:bCs/>
                <w:color w:val="auto"/>
                <w:sz w:val="21"/>
                <w:szCs w:val="21"/>
                <w:vertAlign w:val="superscript"/>
                <w:lang w:val="en-US" w:eastAsia="zh-CN"/>
              </w:rPr>
              <w:t>-4</w:t>
            </w:r>
          </w:p>
        </w:tc>
        <w:tc>
          <w:tcPr>
            <w:tcW w:w="1761" w:type="dxa"/>
            <w:noWrap w:val="0"/>
            <w:vAlign w:val="center"/>
          </w:tcPr>
          <w:p w14:paraId="5567173C">
            <w:pPr>
              <w:pStyle w:val="121"/>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textAlignment w:val="auto"/>
              <w:rPr>
                <w:rFonts w:hint="default" w:ascii="Times New Roman" w:hAnsi="Times New Roman" w:cs="Times New Roman"/>
                <w:bCs/>
                <w:color w:val="auto"/>
                <w:szCs w:val="21"/>
                <w:lang w:val="en-US" w:eastAsia="zh-CN"/>
              </w:rPr>
            </w:pPr>
            <w:r>
              <w:rPr>
                <w:rFonts w:hint="eastAsia" w:ascii="Times New Roman" w:hAnsi="Times New Roman" w:cs="Times New Roman"/>
                <w:bCs/>
                <w:color w:val="auto"/>
                <w:szCs w:val="21"/>
                <w:lang w:val="en-US" w:eastAsia="zh-CN"/>
              </w:rPr>
              <w:t>0</w:t>
            </w:r>
          </w:p>
        </w:tc>
        <w:tc>
          <w:tcPr>
            <w:tcW w:w="1564" w:type="dxa"/>
            <w:shd w:val="clear" w:color="auto" w:fill="auto"/>
            <w:noWrap w:val="0"/>
            <w:vAlign w:val="center"/>
          </w:tcPr>
          <w:p w14:paraId="2307FBE6">
            <w:pPr>
              <w:pStyle w:val="121"/>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leftChars="0" w:right="0" w:rightChars="0"/>
              <w:textAlignment w:val="auto"/>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cs="Times New Roman"/>
                <w:bCs/>
                <w:color w:val="auto"/>
                <w:szCs w:val="21"/>
                <w:lang w:val="en-US" w:eastAsia="zh-CN"/>
              </w:rPr>
              <w:t>2.38</w:t>
            </w:r>
            <w:r>
              <w:rPr>
                <w:rFonts w:hint="default" w:ascii="Arial" w:hAnsi="Arial" w:cs="Arial"/>
                <w:bCs/>
                <w:color w:val="auto"/>
                <w:szCs w:val="21"/>
                <w:lang w:val="en-US" w:eastAsia="zh-CN"/>
              </w:rPr>
              <w:t>×</w:t>
            </w:r>
            <w:r>
              <w:rPr>
                <w:rFonts w:hint="eastAsia" w:ascii="Times New Roman" w:hAnsi="Times New Roman" w:cs="Times New Roman"/>
                <w:bCs/>
                <w:color w:val="auto"/>
                <w:szCs w:val="21"/>
                <w:lang w:val="en-US" w:eastAsia="zh-CN"/>
              </w:rPr>
              <w:t>10</w:t>
            </w:r>
            <w:r>
              <w:rPr>
                <w:rFonts w:hint="eastAsia" w:ascii="Times New Roman" w:hAnsi="Times New Roman" w:cs="Times New Roman"/>
                <w:bCs/>
                <w:color w:val="auto"/>
                <w:sz w:val="21"/>
                <w:szCs w:val="21"/>
                <w:vertAlign w:val="superscript"/>
                <w:lang w:val="en-US" w:eastAsia="zh-CN"/>
              </w:rPr>
              <w:t>-4</w:t>
            </w:r>
          </w:p>
        </w:tc>
        <w:tc>
          <w:tcPr>
            <w:tcW w:w="1221" w:type="dxa"/>
            <w:noWrap w:val="0"/>
            <w:vAlign w:val="center"/>
          </w:tcPr>
          <w:p w14:paraId="1AD21B48">
            <w:pPr>
              <w:pStyle w:val="121"/>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textAlignment w:val="auto"/>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w:t>
            </w:r>
            <w:r>
              <w:rPr>
                <w:rFonts w:hint="eastAsia" w:ascii="Times New Roman" w:hAnsi="Times New Roman" w:cs="Times New Roman"/>
                <w:bCs/>
                <w:color w:val="auto"/>
                <w:szCs w:val="21"/>
                <w:lang w:val="en-US" w:eastAsia="zh-CN"/>
              </w:rPr>
              <w:t>2.38</w:t>
            </w:r>
            <w:r>
              <w:rPr>
                <w:rFonts w:hint="default" w:ascii="Arial" w:hAnsi="Arial" w:cs="Arial"/>
                <w:bCs/>
                <w:color w:val="auto"/>
                <w:szCs w:val="21"/>
                <w:lang w:val="en-US" w:eastAsia="zh-CN"/>
              </w:rPr>
              <w:t>×</w:t>
            </w:r>
            <w:r>
              <w:rPr>
                <w:rFonts w:hint="eastAsia" w:ascii="Times New Roman" w:hAnsi="Times New Roman" w:cs="Times New Roman"/>
                <w:bCs/>
                <w:color w:val="auto"/>
                <w:szCs w:val="21"/>
                <w:lang w:val="en-US" w:eastAsia="zh-CN"/>
              </w:rPr>
              <w:t>10</w:t>
            </w:r>
            <w:r>
              <w:rPr>
                <w:rFonts w:hint="eastAsia" w:ascii="Times New Roman" w:hAnsi="Times New Roman" w:cs="Times New Roman"/>
                <w:bCs/>
                <w:color w:val="auto"/>
                <w:sz w:val="21"/>
                <w:szCs w:val="21"/>
                <w:vertAlign w:val="superscript"/>
                <w:lang w:val="en-US" w:eastAsia="zh-CN"/>
              </w:rPr>
              <w:t>-4</w:t>
            </w:r>
          </w:p>
        </w:tc>
      </w:tr>
      <w:tr w14:paraId="3EAB289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1304" w:type="dxa"/>
            <w:vMerge w:val="restart"/>
            <w:noWrap w:val="0"/>
            <w:vAlign w:val="center"/>
          </w:tcPr>
          <w:p w14:paraId="7F265E9F">
            <w:pPr>
              <w:pStyle w:val="93"/>
              <w:keepNext w:val="0"/>
              <w:keepLines w:val="0"/>
              <w:pageBreakBefore w:val="0"/>
              <w:suppressLineNumbers w:val="0"/>
              <w:kinsoku/>
              <w:wordWrap/>
              <w:overflowPunct/>
              <w:topLinePunct w:val="0"/>
              <w:autoSpaceDE/>
              <w:autoSpaceDN/>
              <w:bidi w:val="0"/>
              <w:spacing w:before="0" w:beforeLines="0" w:beforeAutospacing="0" w:after="0" w:afterLines="0" w:afterAutospacing="0" w:line="240" w:lineRule="auto"/>
              <w:ind w:left="0" w:right="0"/>
              <w:textAlignment w:val="auto"/>
              <w:rPr>
                <w:rFonts w:hint="default" w:ascii="Times New Roman" w:hAnsi="Times New Roman" w:cs="Times New Roman"/>
                <w:snapToGrid w:val="0"/>
                <w:kern w:val="21"/>
                <w:sz w:val="21"/>
                <w:szCs w:val="21"/>
                <w:lang w:val="en-US" w:eastAsia="zh-CN"/>
              </w:rPr>
            </w:pPr>
            <w:r>
              <w:rPr>
                <w:rFonts w:hint="default" w:ascii="Times New Roman" w:hAnsi="Times New Roman" w:cs="Times New Roman"/>
                <w:snapToGrid w:val="0"/>
                <w:kern w:val="21"/>
                <w:sz w:val="21"/>
                <w:szCs w:val="21"/>
                <w:lang w:val="en-US" w:eastAsia="zh-CN"/>
              </w:rPr>
              <w:t>废水</w:t>
            </w:r>
          </w:p>
        </w:tc>
        <w:tc>
          <w:tcPr>
            <w:tcW w:w="1940" w:type="dxa"/>
            <w:noWrap w:val="0"/>
            <w:vAlign w:val="center"/>
          </w:tcPr>
          <w:p w14:paraId="29077F58">
            <w:pPr>
              <w:pStyle w:val="121"/>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textAlignment w:val="auto"/>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SS</w:t>
            </w:r>
          </w:p>
        </w:tc>
        <w:tc>
          <w:tcPr>
            <w:tcW w:w="1462" w:type="dxa"/>
            <w:noWrap w:val="0"/>
            <w:vAlign w:val="center"/>
          </w:tcPr>
          <w:p w14:paraId="0D1B01D3">
            <w:pPr>
              <w:pStyle w:val="93"/>
              <w:keepNext w:val="0"/>
              <w:keepLines w:val="0"/>
              <w:pageBreakBefore w:val="0"/>
              <w:suppressLineNumbers w:val="0"/>
              <w:kinsoku/>
              <w:wordWrap/>
              <w:overflowPunct/>
              <w:topLinePunct w:val="0"/>
              <w:autoSpaceDE/>
              <w:autoSpaceDN/>
              <w:bidi w:val="0"/>
              <w:spacing w:before="0" w:beforeLines="0" w:beforeAutospacing="0" w:after="0" w:afterLines="0" w:afterAutospacing="0" w:line="240" w:lineRule="auto"/>
              <w:ind w:left="0" w:right="0"/>
              <w:textAlignment w:val="auto"/>
              <w:rPr>
                <w:rFonts w:hint="default" w:ascii="Times New Roman" w:hAnsi="Times New Roman" w:cs="Times New Roman"/>
                <w:bCs/>
                <w:kern w:val="2"/>
                <w:sz w:val="21"/>
                <w:szCs w:val="21"/>
                <w:lang w:val="en-US" w:eastAsia="zh-CN" w:bidi="ar-SA"/>
              </w:rPr>
            </w:pPr>
            <w:r>
              <w:rPr>
                <w:rFonts w:hint="eastAsia" w:ascii="Times New Roman" w:cs="Times New Roman"/>
                <w:bCs/>
                <w:kern w:val="2"/>
                <w:sz w:val="21"/>
                <w:szCs w:val="21"/>
                <w:lang w:val="en-US" w:eastAsia="zh-CN"/>
              </w:rPr>
              <w:t>0.063</w:t>
            </w:r>
          </w:p>
        </w:tc>
        <w:tc>
          <w:tcPr>
            <w:tcW w:w="1276" w:type="dxa"/>
            <w:noWrap w:val="0"/>
            <w:vAlign w:val="center"/>
          </w:tcPr>
          <w:p w14:paraId="0F9F9F33">
            <w:pPr>
              <w:pStyle w:val="93"/>
              <w:keepNext w:val="0"/>
              <w:keepLines w:val="0"/>
              <w:pageBreakBefore w:val="0"/>
              <w:suppressLineNumbers w:val="0"/>
              <w:kinsoku/>
              <w:wordWrap/>
              <w:overflowPunct/>
              <w:topLinePunct w:val="0"/>
              <w:autoSpaceDE/>
              <w:autoSpaceDN/>
              <w:bidi w:val="0"/>
              <w:spacing w:before="0" w:beforeLines="0" w:beforeAutospacing="0" w:after="0" w:afterLines="0" w:afterAutospacing="0" w:line="240" w:lineRule="auto"/>
              <w:ind w:left="0" w:right="0"/>
              <w:textAlignment w:val="auto"/>
              <w:rPr>
                <w:rFonts w:hint="eastAsia" w:ascii="Times New Roman" w:hAnsi="Times New Roman" w:cs="Times New Roman"/>
                <w:bCs/>
                <w:kern w:val="2"/>
                <w:sz w:val="21"/>
                <w:szCs w:val="21"/>
                <w:lang w:val="en-US" w:eastAsia="zh-CN" w:bidi="ar-SA"/>
              </w:rPr>
            </w:pPr>
            <w:r>
              <w:rPr>
                <w:rFonts w:hint="eastAsia" w:ascii="Times New Roman" w:hAnsi="Times New Roman" w:cs="Times New Roman"/>
                <w:bCs/>
                <w:kern w:val="2"/>
                <w:sz w:val="21"/>
                <w:szCs w:val="21"/>
                <w:lang w:val="en-US" w:eastAsia="zh-CN"/>
              </w:rPr>
              <w:t>/</w:t>
            </w:r>
          </w:p>
        </w:tc>
        <w:tc>
          <w:tcPr>
            <w:tcW w:w="1701" w:type="dxa"/>
            <w:noWrap w:val="0"/>
            <w:vAlign w:val="center"/>
          </w:tcPr>
          <w:p w14:paraId="3F63198C">
            <w:pPr>
              <w:pStyle w:val="93"/>
              <w:keepNext w:val="0"/>
              <w:keepLines w:val="0"/>
              <w:pageBreakBefore w:val="0"/>
              <w:suppressLineNumbers w:val="0"/>
              <w:kinsoku/>
              <w:wordWrap/>
              <w:overflowPunct/>
              <w:topLinePunct w:val="0"/>
              <w:autoSpaceDE/>
              <w:autoSpaceDN/>
              <w:bidi w:val="0"/>
              <w:spacing w:before="0" w:beforeLines="0" w:beforeAutospacing="0" w:after="0" w:afterLines="0" w:afterAutospacing="0" w:line="240" w:lineRule="auto"/>
              <w:ind w:left="0" w:right="0"/>
              <w:textAlignment w:val="auto"/>
              <w:rPr>
                <w:rFonts w:hint="eastAsia" w:ascii="Times New Roman" w:hAnsi="Times New Roman" w:cs="Times New Roman"/>
                <w:bCs/>
                <w:kern w:val="2"/>
                <w:sz w:val="21"/>
                <w:szCs w:val="21"/>
                <w:lang w:val="en-US" w:eastAsia="zh-CN" w:bidi="ar-SA"/>
              </w:rPr>
            </w:pPr>
            <w:r>
              <w:rPr>
                <w:rFonts w:hint="eastAsia" w:ascii="Times New Roman" w:hAnsi="Times New Roman" w:cs="Times New Roman"/>
                <w:bCs/>
                <w:kern w:val="2"/>
                <w:sz w:val="21"/>
                <w:szCs w:val="21"/>
                <w:lang w:val="en-US" w:eastAsia="zh-CN"/>
              </w:rPr>
              <w:t>/</w:t>
            </w:r>
          </w:p>
        </w:tc>
        <w:tc>
          <w:tcPr>
            <w:tcW w:w="1559" w:type="dxa"/>
            <w:noWrap w:val="0"/>
            <w:vAlign w:val="center"/>
          </w:tcPr>
          <w:p w14:paraId="48A1C9EC">
            <w:pPr>
              <w:pStyle w:val="121"/>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textAlignment w:val="auto"/>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cs="Times New Roman"/>
                <w:bCs/>
                <w:color w:val="auto"/>
                <w:szCs w:val="21"/>
                <w:lang w:val="en-US" w:eastAsia="zh-CN"/>
              </w:rPr>
              <w:t>/</w:t>
            </w:r>
          </w:p>
        </w:tc>
        <w:tc>
          <w:tcPr>
            <w:tcW w:w="1761" w:type="dxa"/>
            <w:noWrap w:val="0"/>
            <w:vAlign w:val="center"/>
          </w:tcPr>
          <w:p w14:paraId="0F6878F9">
            <w:pPr>
              <w:pStyle w:val="93"/>
              <w:keepNext w:val="0"/>
              <w:keepLines w:val="0"/>
              <w:pageBreakBefore w:val="0"/>
              <w:suppressLineNumbers w:val="0"/>
              <w:kinsoku/>
              <w:wordWrap/>
              <w:overflowPunct/>
              <w:topLinePunct w:val="0"/>
              <w:autoSpaceDE/>
              <w:autoSpaceDN/>
              <w:bidi w:val="0"/>
              <w:spacing w:before="0" w:beforeLines="0" w:beforeAutospacing="0" w:after="0" w:afterLines="0" w:afterAutospacing="0" w:line="240" w:lineRule="auto"/>
              <w:ind w:left="0" w:right="0"/>
              <w:textAlignment w:val="auto"/>
              <w:rPr>
                <w:rFonts w:hint="eastAsia" w:ascii="Times New Roman" w:hAnsi="Times New Roman" w:cs="Times New Roman"/>
                <w:bCs/>
                <w:kern w:val="2"/>
                <w:sz w:val="21"/>
                <w:szCs w:val="21"/>
                <w:lang w:val="en-US" w:eastAsia="zh-CN" w:bidi="ar-SA"/>
              </w:rPr>
            </w:pPr>
            <w:r>
              <w:rPr>
                <w:rFonts w:hint="eastAsia" w:ascii="Times New Roman" w:hAnsi="Times New Roman" w:cs="Times New Roman"/>
                <w:bCs/>
                <w:kern w:val="2"/>
                <w:sz w:val="21"/>
                <w:szCs w:val="21"/>
                <w:lang w:val="en-US" w:eastAsia="zh-CN"/>
              </w:rPr>
              <w:t>/</w:t>
            </w:r>
          </w:p>
        </w:tc>
        <w:tc>
          <w:tcPr>
            <w:tcW w:w="1564" w:type="dxa"/>
            <w:shd w:val="clear" w:color="auto" w:fill="auto"/>
            <w:noWrap w:val="0"/>
            <w:vAlign w:val="center"/>
          </w:tcPr>
          <w:p w14:paraId="634C3496">
            <w:pPr>
              <w:pStyle w:val="93"/>
              <w:keepNext w:val="0"/>
              <w:keepLines w:val="0"/>
              <w:pageBreakBefore w:val="0"/>
              <w:suppressLineNumbers w:val="0"/>
              <w:kinsoku/>
              <w:wordWrap/>
              <w:overflowPunct/>
              <w:topLinePunct w:val="0"/>
              <w:autoSpaceDE/>
              <w:autoSpaceDN/>
              <w:bidi w:val="0"/>
              <w:spacing w:before="0" w:beforeLines="0" w:beforeAutospacing="0" w:after="0" w:afterLines="0" w:afterAutospacing="0" w:line="240" w:lineRule="auto"/>
              <w:ind w:left="0" w:leftChars="0" w:right="0" w:rightChars="0"/>
              <w:textAlignment w:val="auto"/>
              <w:rPr>
                <w:rFonts w:hint="eastAsia" w:ascii="Times New Roman" w:hAnsi="Times New Roman" w:eastAsia="宋体" w:cs="Times New Roman"/>
                <w:bCs/>
                <w:kern w:val="2"/>
                <w:sz w:val="21"/>
                <w:szCs w:val="21"/>
                <w:lang w:val="en-US" w:eastAsia="zh-CN" w:bidi="ar-SA"/>
              </w:rPr>
            </w:pPr>
            <w:r>
              <w:rPr>
                <w:rFonts w:hint="eastAsia" w:ascii="Times New Roman" w:cs="Times New Roman"/>
                <w:bCs/>
                <w:kern w:val="2"/>
                <w:sz w:val="21"/>
                <w:szCs w:val="21"/>
                <w:lang w:val="en-US" w:eastAsia="zh-CN"/>
              </w:rPr>
              <w:t>0.063</w:t>
            </w:r>
          </w:p>
        </w:tc>
        <w:tc>
          <w:tcPr>
            <w:tcW w:w="1221" w:type="dxa"/>
            <w:noWrap w:val="0"/>
            <w:vAlign w:val="center"/>
          </w:tcPr>
          <w:p w14:paraId="2A04BA6A">
            <w:pPr>
              <w:pStyle w:val="93"/>
              <w:keepNext w:val="0"/>
              <w:keepLines w:val="0"/>
              <w:pageBreakBefore w:val="0"/>
              <w:suppressLineNumbers w:val="0"/>
              <w:kinsoku/>
              <w:wordWrap/>
              <w:overflowPunct/>
              <w:topLinePunct w:val="0"/>
              <w:autoSpaceDE/>
              <w:autoSpaceDN/>
              <w:bidi w:val="0"/>
              <w:spacing w:before="0" w:beforeLines="0" w:beforeAutospacing="0" w:after="0" w:afterLines="0" w:afterAutospacing="0" w:line="240" w:lineRule="auto"/>
              <w:ind w:left="0" w:right="0"/>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0</w:t>
            </w:r>
          </w:p>
        </w:tc>
      </w:tr>
      <w:tr w14:paraId="0F2B1D2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1304" w:type="dxa"/>
            <w:vMerge w:val="continue"/>
            <w:noWrap w:val="0"/>
            <w:vAlign w:val="center"/>
          </w:tcPr>
          <w:p w14:paraId="5A92E87F">
            <w:pPr>
              <w:pStyle w:val="93"/>
              <w:keepNext w:val="0"/>
              <w:keepLines w:val="0"/>
              <w:pageBreakBefore w:val="0"/>
              <w:suppressLineNumbers w:val="0"/>
              <w:kinsoku/>
              <w:wordWrap/>
              <w:overflowPunct/>
              <w:topLinePunct w:val="0"/>
              <w:autoSpaceDE/>
              <w:autoSpaceDN/>
              <w:bidi w:val="0"/>
              <w:spacing w:before="0" w:beforeLines="0" w:beforeAutospacing="0" w:after="0" w:afterLines="0" w:afterAutospacing="0" w:line="240" w:lineRule="auto"/>
              <w:ind w:left="0" w:right="0"/>
              <w:textAlignment w:val="auto"/>
              <w:rPr>
                <w:rFonts w:hint="default" w:ascii="Times New Roman" w:hAnsi="Times New Roman" w:cs="Times New Roman"/>
                <w:snapToGrid w:val="0"/>
                <w:kern w:val="21"/>
                <w:sz w:val="21"/>
                <w:szCs w:val="21"/>
                <w:lang w:val="en-US" w:eastAsia="zh-CN"/>
              </w:rPr>
            </w:pPr>
          </w:p>
        </w:tc>
        <w:tc>
          <w:tcPr>
            <w:tcW w:w="1940" w:type="dxa"/>
            <w:noWrap w:val="0"/>
            <w:vAlign w:val="center"/>
          </w:tcPr>
          <w:p w14:paraId="2F2C8178">
            <w:pPr>
              <w:pStyle w:val="121"/>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COD</w:t>
            </w:r>
          </w:p>
        </w:tc>
        <w:tc>
          <w:tcPr>
            <w:tcW w:w="1462" w:type="dxa"/>
            <w:noWrap w:val="0"/>
            <w:vAlign w:val="center"/>
          </w:tcPr>
          <w:p w14:paraId="6B2142BF">
            <w:pPr>
              <w:pStyle w:val="93"/>
              <w:keepNext w:val="0"/>
              <w:keepLines w:val="0"/>
              <w:pageBreakBefore w:val="0"/>
              <w:suppressLineNumbers w:val="0"/>
              <w:kinsoku/>
              <w:wordWrap/>
              <w:overflowPunct/>
              <w:topLinePunct w:val="0"/>
              <w:autoSpaceDE/>
              <w:autoSpaceDN/>
              <w:bidi w:val="0"/>
              <w:spacing w:before="0" w:beforeLines="0" w:beforeAutospacing="0" w:after="0" w:afterLines="0" w:afterAutospacing="0" w:line="240" w:lineRule="auto"/>
              <w:ind w:left="0" w:right="0"/>
              <w:textAlignment w:val="auto"/>
              <w:rPr>
                <w:rFonts w:hint="default" w:ascii="Times New Roman" w:hAnsi="Times New Roman" w:cs="Times New Roman"/>
                <w:bCs/>
                <w:kern w:val="2"/>
                <w:sz w:val="21"/>
                <w:szCs w:val="21"/>
                <w:lang w:val="en-US" w:eastAsia="zh-CN"/>
              </w:rPr>
            </w:pPr>
            <w:r>
              <w:rPr>
                <w:rFonts w:hint="eastAsia" w:ascii="Times New Roman" w:cs="Times New Roman"/>
                <w:bCs/>
                <w:kern w:val="2"/>
                <w:sz w:val="21"/>
                <w:szCs w:val="21"/>
                <w:lang w:val="en-US" w:eastAsia="zh-CN"/>
              </w:rPr>
              <w:t>0.039</w:t>
            </w:r>
          </w:p>
        </w:tc>
        <w:tc>
          <w:tcPr>
            <w:tcW w:w="1276" w:type="dxa"/>
            <w:noWrap w:val="0"/>
            <w:vAlign w:val="center"/>
          </w:tcPr>
          <w:p w14:paraId="6F9037FD">
            <w:pPr>
              <w:pStyle w:val="93"/>
              <w:keepNext w:val="0"/>
              <w:keepLines w:val="0"/>
              <w:pageBreakBefore w:val="0"/>
              <w:suppressLineNumbers w:val="0"/>
              <w:kinsoku/>
              <w:wordWrap/>
              <w:overflowPunct/>
              <w:topLinePunct w:val="0"/>
              <w:autoSpaceDE/>
              <w:autoSpaceDN/>
              <w:bidi w:val="0"/>
              <w:spacing w:before="0" w:beforeLines="0" w:beforeAutospacing="0" w:after="0" w:afterLines="0" w:afterAutospacing="0" w:line="240" w:lineRule="auto"/>
              <w:ind w:left="0" w:right="0"/>
              <w:textAlignment w:val="auto"/>
              <w:rPr>
                <w:rFonts w:hint="default" w:ascii="Times New Roman" w:hAnsi="Times New Roman" w:cs="Times New Roman"/>
                <w:bCs/>
                <w:kern w:val="2"/>
                <w:sz w:val="21"/>
                <w:szCs w:val="21"/>
                <w:lang w:val="en-US" w:eastAsia="zh-CN"/>
              </w:rPr>
            </w:pPr>
            <w:r>
              <w:rPr>
                <w:rFonts w:hint="eastAsia" w:ascii="Times New Roman" w:hAnsi="Times New Roman" w:cs="Times New Roman"/>
                <w:bCs/>
                <w:kern w:val="2"/>
                <w:sz w:val="21"/>
                <w:szCs w:val="21"/>
                <w:lang w:val="en-US" w:eastAsia="zh-CN"/>
              </w:rPr>
              <w:t>/</w:t>
            </w:r>
          </w:p>
        </w:tc>
        <w:tc>
          <w:tcPr>
            <w:tcW w:w="1701" w:type="dxa"/>
            <w:noWrap w:val="0"/>
            <w:vAlign w:val="center"/>
          </w:tcPr>
          <w:p w14:paraId="7D96B416">
            <w:pPr>
              <w:pStyle w:val="93"/>
              <w:keepNext w:val="0"/>
              <w:keepLines w:val="0"/>
              <w:pageBreakBefore w:val="0"/>
              <w:suppressLineNumbers w:val="0"/>
              <w:kinsoku/>
              <w:wordWrap/>
              <w:overflowPunct/>
              <w:topLinePunct w:val="0"/>
              <w:autoSpaceDE/>
              <w:autoSpaceDN/>
              <w:bidi w:val="0"/>
              <w:spacing w:before="0" w:beforeLines="0" w:beforeAutospacing="0" w:after="0" w:afterLines="0" w:afterAutospacing="0" w:line="240" w:lineRule="auto"/>
              <w:ind w:left="0" w:right="0"/>
              <w:textAlignment w:val="auto"/>
              <w:rPr>
                <w:rFonts w:hint="default" w:ascii="Times New Roman" w:hAnsi="Times New Roman" w:cs="Times New Roman"/>
                <w:bCs/>
                <w:kern w:val="2"/>
                <w:sz w:val="21"/>
                <w:szCs w:val="21"/>
                <w:lang w:val="en-US" w:eastAsia="zh-CN"/>
              </w:rPr>
            </w:pPr>
            <w:r>
              <w:rPr>
                <w:rFonts w:hint="eastAsia" w:ascii="Times New Roman" w:hAnsi="Times New Roman" w:cs="Times New Roman"/>
                <w:bCs/>
                <w:kern w:val="2"/>
                <w:sz w:val="21"/>
                <w:szCs w:val="21"/>
                <w:lang w:val="en-US" w:eastAsia="zh-CN"/>
              </w:rPr>
              <w:t>/</w:t>
            </w:r>
          </w:p>
        </w:tc>
        <w:tc>
          <w:tcPr>
            <w:tcW w:w="1559" w:type="dxa"/>
            <w:noWrap w:val="0"/>
            <w:vAlign w:val="center"/>
          </w:tcPr>
          <w:p w14:paraId="297446A1">
            <w:pPr>
              <w:pStyle w:val="121"/>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textAlignment w:val="auto"/>
              <w:rPr>
                <w:rFonts w:hint="eastAsia" w:ascii="Times New Roman" w:hAnsi="Times New Roman" w:eastAsia="宋体" w:cs="Times New Roman"/>
                <w:bCs/>
                <w:color w:val="auto"/>
                <w:szCs w:val="21"/>
                <w:lang w:eastAsia="zh-CN"/>
              </w:rPr>
            </w:pPr>
            <w:r>
              <w:rPr>
                <w:rFonts w:hint="eastAsia" w:ascii="Times New Roman" w:hAnsi="Times New Roman" w:cs="Times New Roman"/>
                <w:bCs/>
                <w:color w:val="auto"/>
                <w:szCs w:val="21"/>
                <w:lang w:val="en-US" w:eastAsia="zh-CN"/>
              </w:rPr>
              <w:t>/</w:t>
            </w:r>
          </w:p>
        </w:tc>
        <w:tc>
          <w:tcPr>
            <w:tcW w:w="1761" w:type="dxa"/>
            <w:noWrap w:val="0"/>
            <w:vAlign w:val="center"/>
          </w:tcPr>
          <w:p w14:paraId="38C253FA">
            <w:pPr>
              <w:pStyle w:val="93"/>
              <w:keepNext w:val="0"/>
              <w:keepLines w:val="0"/>
              <w:pageBreakBefore w:val="0"/>
              <w:suppressLineNumbers w:val="0"/>
              <w:kinsoku/>
              <w:wordWrap/>
              <w:overflowPunct/>
              <w:topLinePunct w:val="0"/>
              <w:autoSpaceDE/>
              <w:autoSpaceDN/>
              <w:bidi w:val="0"/>
              <w:spacing w:before="0" w:beforeLines="0" w:beforeAutospacing="0" w:after="0" w:afterLines="0" w:afterAutospacing="0" w:line="240" w:lineRule="auto"/>
              <w:ind w:left="0" w:right="0"/>
              <w:textAlignment w:val="auto"/>
              <w:rPr>
                <w:rFonts w:hint="default" w:ascii="Times New Roman" w:hAnsi="Times New Roman" w:cs="Times New Roman"/>
                <w:bCs/>
                <w:kern w:val="2"/>
                <w:sz w:val="21"/>
                <w:szCs w:val="21"/>
                <w:lang w:val="en-US" w:eastAsia="zh-CN" w:bidi="ar-SA"/>
              </w:rPr>
            </w:pPr>
            <w:r>
              <w:rPr>
                <w:rFonts w:hint="eastAsia" w:ascii="Times New Roman" w:hAnsi="Times New Roman" w:cs="Times New Roman"/>
                <w:bCs/>
                <w:kern w:val="2"/>
                <w:sz w:val="21"/>
                <w:szCs w:val="21"/>
                <w:lang w:val="en-US" w:eastAsia="zh-CN"/>
              </w:rPr>
              <w:t>/</w:t>
            </w:r>
          </w:p>
        </w:tc>
        <w:tc>
          <w:tcPr>
            <w:tcW w:w="1564" w:type="dxa"/>
            <w:shd w:val="clear" w:color="auto" w:fill="auto"/>
            <w:noWrap w:val="0"/>
            <w:vAlign w:val="center"/>
          </w:tcPr>
          <w:p w14:paraId="63DDF51B">
            <w:pPr>
              <w:pStyle w:val="93"/>
              <w:keepNext w:val="0"/>
              <w:keepLines w:val="0"/>
              <w:pageBreakBefore w:val="0"/>
              <w:suppressLineNumbers w:val="0"/>
              <w:kinsoku/>
              <w:wordWrap/>
              <w:overflowPunct/>
              <w:topLinePunct w:val="0"/>
              <w:autoSpaceDE/>
              <w:autoSpaceDN/>
              <w:bidi w:val="0"/>
              <w:spacing w:before="0" w:beforeLines="0" w:beforeAutospacing="0" w:after="0" w:afterLines="0" w:afterAutospacing="0" w:line="240" w:lineRule="auto"/>
              <w:ind w:left="0" w:leftChars="0" w:right="0" w:rightChars="0"/>
              <w:textAlignment w:val="auto"/>
              <w:rPr>
                <w:rFonts w:hint="eastAsia" w:ascii="Times New Roman" w:hAnsi="Times New Roman" w:eastAsia="宋体" w:cs="Times New Roman"/>
                <w:bCs/>
                <w:kern w:val="2"/>
                <w:sz w:val="21"/>
                <w:szCs w:val="21"/>
                <w:lang w:val="en-US" w:eastAsia="zh-CN" w:bidi="ar-SA"/>
              </w:rPr>
            </w:pPr>
            <w:r>
              <w:rPr>
                <w:rFonts w:hint="eastAsia" w:ascii="Times New Roman" w:cs="Times New Roman"/>
                <w:bCs/>
                <w:kern w:val="2"/>
                <w:sz w:val="21"/>
                <w:szCs w:val="21"/>
                <w:lang w:val="en-US" w:eastAsia="zh-CN"/>
              </w:rPr>
              <w:t>0.039</w:t>
            </w:r>
          </w:p>
        </w:tc>
        <w:tc>
          <w:tcPr>
            <w:tcW w:w="1221" w:type="dxa"/>
            <w:noWrap w:val="0"/>
            <w:vAlign w:val="center"/>
          </w:tcPr>
          <w:p w14:paraId="6A5EA7DC">
            <w:pPr>
              <w:pStyle w:val="93"/>
              <w:keepNext w:val="0"/>
              <w:keepLines w:val="0"/>
              <w:pageBreakBefore w:val="0"/>
              <w:suppressLineNumbers w:val="0"/>
              <w:kinsoku/>
              <w:wordWrap/>
              <w:overflowPunct/>
              <w:topLinePunct w:val="0"/>
              <w:autoSpaceDE/>
              <w:autoSpaceDN/>
              <w:bidi w:val="0"/>
              <w:spacing w:before="0" w:beforeLines="0" w:beforeAutospacing="0" w:after="0" w:afterLines="0" w:afterAutospacing="0" w:line="240" w:lineRule="auto"/>
              <w:ind w:left="0" w:right="0"/>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0</w:t>
            </w:r>
          </w:p>
        </w:tc>
      </w:tr>
      <w:tr w14:paraId="3711FCF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3" w:hRule="atLeast"/>
        </w:trPr>
        <w:tc>
          <w:tcPr>
            <w:tcW w:w="1304" w:type="dxa"/>
            <w:vMerge w:val="continue"/>
            <w:noWrap w:val="0"/>
            <w:vAlign w:val="center"/>
          </w:tcPr>
          <w:p w14:paraId="781DB9AE">
            <w:pPr>
              <w:pStyle w:val="93"/>
              <w:keepNext w:val="0"/>
              <w:keepLines w:val="0"/>
              <w:pageBreakBefore w:val="0"/>
              <w:suppressLineNumbers w:val="0"/>
              <w:kinsoku/>
              <w:wordWrap/>
              <w:overflowPunct/>
              <w:topLinePunct w:val="0"/>
              <w:autoSpaceDE/>
              <w:autoSpaceDN/>
              <w:bidi w:val="0"/>
              <w:spacing w:before="0" w:beforeLines="0" w:beforeAutospacing="0" w:after="0" w:afterLines="0" w:afterAutospacing="0" w:line="240" w:lineRule="auto"/>
              <w:ind w:left="0" w:right="0"/>
              <w:textAlignment w:val="auto"/>
              <w:rPr>
                <w:rFonts w:hint="default" w:ascii="Times New Roman" w:hAnsi="Times New Roman" w:cs="Times New Roman"/>
                <w:snapToGrid w:val="0"/>
                <w:kern w:val="21"/>
                <w:sz w:val="21"/>
                <w:szCs w:val="21"/>
                <w:lang w:val="en-US" w:eastAsia="zh-CN"/>
              </w:rPr>
            </w:pPr>
          </w:p>
        </w:tc>
        <w:tc>
          <w:tcPr>
            <w:tcW w:w="1940" w:type="dxa"/>
            <w:noWrap w:val="0"/>
            <w:vAlign w:val="center"/>
          </w:tcPr>
          <w:p w14:paraId="0CEDC69C">
            <w:pPr>
              <w:pStyle w:val="121"/>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氨氮</w:t>
            </w:r>
          </w:p>
        </w:tc>
        <w:tc>
          <w:tcPr>
            <w:tcW w:w="1462" w:type="dxa"/>
            <w:noWrap w:val="0"/>
            <w:vAlign w:val="center"/>
          </w:tcPr>
          <w:p w14:paraId="66ADD6D4">
            <w:pPr>
              <w:pStyle w:val="93"/>
              <w:keepNext w:val="0"/>
              <w:keepLines w:val="0"/>
              <w:pageBreakBefore w:val="0"/>
              <w:suppressLineNumbers w:val="0"/>
              <w:kinsoku/>
              <w:wordWrap/>
              <w:overflowPunct/>
              <w:topLinePunct w:val="0"/>
              <w:autoSpaceDE/>
              <w:autoSpaceDN/>
              <w:bidi w:val="0"/>
              <w:spacing w:before="0" w:beforeLines="0" w:beforeAutospacing="0" w:after="0" w:afterLines="0" w:afterAutospacing="0" w:line="240" w:lineRule="auto"/>
              <w:ind w:left="0" w:right="0"/>
              <w:textAlignment w:val="auto"/>
              <w:rPr>
                <w:rFonts w:hint="default" w:ascii="Times New Roman" w:hAnsi="Times New Roman" w:cs="Times New Roman"/>
                <w:bCs/>
                <w:kern w:val="2"/>
                <w:sz w:val="21"/>
                <w:szCs w:val="21"/>
                <w:lang w:val="en-US" w:eastAsia="zh-CN"/>
              </w:rPr>
            </w:pPr>
            <w:r>
              <w:rPr>
                <w:rFonts w:hint="eastAsia" w:ascii="Times New Roman" w:cs="Times New Roman"/>
                <w:bCs/>
                <w:kern w:val="2"/>
                <w:sz w:val="21"/>
                <w:szCs w:val="21"/>
                <w:lang w:val="en-US" w:eastAsia="zh-CN"/>
              </w:rPr>
              <w:t>0.0001</w:t>
            </w:r>
          </w:p>
        </w:tc>
        <w:tc>
          <w:tcPr>
            <w:tcW w:w="1276" w:type="dxa"/>
            <w:noWrap w:val="0"/>
            <w:vAlign w:val="center"/>
          </w:tcPr>
          <w:p w14:paraId="6CBE04A7">
            <w:pPr>
              <w:pStyle w:val="93"/>
              <w:keepNext w:val="0"/>
              <w:keepLines w:val="0"/>
              <w:pageBreakBefore w:val="0"/>
              <w:suppressLineNumbers w:val="0"/>
              <w:kinsoku/>
              <w:wordWrap/>
              <w:overflowPunct/>
              <w:topLinePunct w:val="0"/>
              <w:autoSpaceDE/>
              <w:autoSpaceDN/>
              <w:bidi w:val="0"/>
              <w:spacing w:before="0" w:beforeLines="0" w:beforeAutospacing="0" w:after="0" w:afterLines="0" w:afterAutospacing="0" w:line="240" w:lineRule="auto"/>
              <w:ind w:left="0" w:right="0"/>
              <w:textAlignment w:val="auto"/>
              <w:rPr>
                <w:rFonts w:hint="default" w:ascii="Times New Roman" w:hAnsi="Times New Roman" w:cs="Times New Roman"/>
                <w:bCs/>
                <w:kern w:val="2"/>
                <w:sz w:val="21"/>
                <w:szCs w:val="21"/>
                <w:lang w:val="en-US" w:eastAsia="zh-CN"/>
              </w:rPr>
            </w:pPr>
            <w:r>
              <w:rPr>
                <w:rFonts w:hint="eastAsia" w:ascii="Times New Roman" w:hAnsi="Times New Roman" w:cs="Times New Roman"/>
                <w:bCs/>
                <w:kern w:val="2"/>
                <w:sz w:val="21"/>
                <w:szCs w:val="21"/>
                <w:lang w:val="en-US" w:eastAsia="zh-CN"/>
              </w:rPr>
              <w:t>/</w:t>
            </w:r>
          </w:p>
        </w:tc>
        <w:tc>
          <w:tcPr>
            <w:tcW w:w="1701" w:type="dxa"/>
            <w:noWrap w:val="0"/>
            <w:vAlign w:val="center"/>
          </w:tcPr>
          <w:p w14:paraId="1B5C8C5E">
            <w:pPr>
              <w:pStyle w:val="93"/>
              <w:keepNext w:val="0"/>
              <w:keepLines w:val="0"/>
              <w:pageBreakBefore w:val="0"/>
              <w:suppressLineNumbers w:val="0"/>
              <w:kinsoku/>
              <w:wordWrap/>
              <w:overflowPunct/>
              <w:topLinePunct w:val="0"/>
              <w:autoSpaceDE/>
              <w:autoSpaceDN/>
              <w:bidi w:val="0"/>
              <w:spacing w:before="0" w:beforeLines="0" w:beforeAutospacing="0" w:after="0" w:afterLines="0" w:afterAutospacing="0" w:line="240" w:lineRule="auto"/>
              <w:ind w:left="0" w:right="0"/>
              <w:textAlignment w:val="auto"/>
              <w:rPr>
                <w:rFonts w:hint="default" w:ascii="Times New Roman" w:hAnsi="Times New Roman" w:cs="Times New Roman"/>
                <w:bCs/>
                <w:kern w:val="2"/>
                <w:sz w:val="21"/>
                <w:szCs w:val="21"/>
                <w:lang w:val="en-US" w:eastAsia="zh-CN"/>
              </w:rPr>
            </w:pPr>
            <w:r>
              <w:rPr>
                <w:rFonts w:hint="eastAsia" w:ascii="Times New Roman" w:hAnsi="Times New Roman" w:cs="Times New Roman"/>
                <w:bCs/>
                <w:kern w:val="2"/>
                <w:sz w:val="21"/>
                <w:szCs w:val="21"/>
                <w:lang w:val="en-US" w:eastAsia="zh-CN"/>
              </w:rPr>
              <w:t>/</w:t>
            </w:r>
          </w:p>
        </w:tc>
        <w:tc>
          <w:tcPr>
            <w:tcW w:w="1559" w:type="dxa"/>
            <w:noWrap w:val="0"/>
            <w:vAlign w:val="center"/>
          </w:tcPr>
          <w:p w14:paraId="64BF9D79">
            <w:pPr>
              <w:pStyle w:val="121"/>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textAlignment w:val="auto"/>
              <w:rPr>
                <w:rFonts w:hint="eastAsia" w:ascii="Times New Roman" w:hAnsi="Times New Roman" w:eastAsia="宋体" w:cs="Times New Roman"/>
                <w:bCs/>
                <w:color w:val="auto"/>
                <w:szCs w:val="21"/>
                <w:lang w:eastAsia="zh-CN"/>
              </w:rPr>
            </w:pPr>
            <w:r>
              <w:rPr>
                <w:rFonts w:hint="eastAsia" w:ascii="Times New Roman" w:hAnsi="Times New Roman" w:cs="Times New Roman"/>
                <w:bCs/>
                <w:color w:val="auto"/>
                <w:szCs w:val="21"/>
                <w:lang w:val="en-US" w:eastAsia="zh-CN"/>
              </w:rPr>
              <w:t>/</w:t>
            </w:r>
          </w:p>
        </w:tc>
        <w:tc>
          <w:tcPr>
            <w:tcW w:w="1761" w:type="dxa"/>
            <w:noWrap w:val="0"/>
            <w:vAlign w:val="center"/>
          </w:tcPr>
          <w:p w14:paraId="68BD7C59">
            <w:pPr>
              <w:pStyle w:val="93"/>
              <w:keepNext w:val="0"/>
              <w:keepLines w:val="0"/>
              <w:pageBreakBefore w:val="0"/>
              <w:suppressLineNumbers w:val="0"/>
              <w:kinsoku/>
              <w:wordWrap/>
              <w:overflowPunct/>
              <w:topLinePunct w:val="0"/>
              <w:autoSpaceDE/>
              <w:autoSpaceDN/>
              <w:bidi w:val="0"/>
              <w:spacing w:before="0" w:beforeLines="0" w:beforeAutospacing="0" w:after="0" w:afterLines="0" w:afterAutospacing="0" w:line="240" w:lineRule="auto"/>
              <w:ind w:left="0" w:right="0"/>
              <w:textAlignment w:val="auto"/>
              <w:rPr>
                <w:rFonts w:hint="default" w:ascii="Times New Roman" w:hAnsi="Times New Roman" w:cs="Times New Roman"/>
                <w:bCs/>
                <w:kern w:val="2"/>
                <w:sz w:val="21"/>
                <w:szCs w:val="21"/>
                <w:lang w:val="en-US" w:eastAsia="zh-CN" w:bidi="ar-SA"/>
              </w:rPr>
            </w:pPr>
            <w:r>
              <w:rPr>
                <w:rFonts w:hint="eastAsia" w:ascii="Times New Roman" w:hAnsi="Times New Roman" w:cs="Times New Roman"/>
                <w:bCs/>
                <w:kern w:val="2"/>
                <w:sz w:val="21"/>
                <w:szCs w:val="21"/>
                <w:lang w:val="en-US" w:eastAsia="zh-CN"/>
              </w:rPr>
              <w:t>/</w:t>
            </w:r>
          </w:p>
        </w:tc>
        <w:tc>
          <w:tcPr>
            <w:tcW w:w="1564" w:type="dxa"/>
            <w:shd w:val="clear" w:color="auto" w:fill="auto"/>
            <w:noWrap w:val="0"/>
            <w:vAlign w:val="center"/>
          </w:tcPr>
          <w:p w14:paraId="10E48F84">
            <w:pPr>
              <w:pStyle w:val="93"/>
              <w:keepNext w:val="0"/>
              <w:keepLines w:val="0"/>
              <w:pageBreakBefore w:val="0"/>
              <w:suppressLineNumbers w:val="0"/>
              <w:kinsoku/>
              <w:wordWrap/>
              <w:overflowPunct/>
              <w:topLinePunct w:val="0"/>
              <w:autoSpaceDE/>
              <w:autoSpaceDN/>
              <w:bidi w:val="0"/>
              <w:spacing w:before="0" w:beforeLines="0" w:beforeAutospacing="0" w:after="0" w:afterLines="0" w:afterAutospacing="0" w:line="240" w:lineRule="auto"/>
              <w:ind w:left="0" w:leftChars="0" w:right="0" w:rightChars="0"/>
              <w:textAlignment w:val="auto"/>
              <w:rPr>
                <w:rFonts w:hint="eastAsia" w:ascii="Times New Roman" w:hAnsi="Times New Roman" w:eastAsia="宋体" w:cs="Times New Roman"/>
                <w:bCs/>
                <w:kern w:val="2"/>
                <w:sz w:val="21"/>
                <w:szCs w:val="21"/>
                <w:lang w:val="en-US" w:eastAsia="zh-CN" w:bidi="ar-SA"/>
              </w:rPr>
            </w:pPr>
            <w:r>
              <w:rPr>
                <w:rFonts w:hint="eastAsia" w:ascii="Times New Roman" w:cs="Times New Roman"/>
                <w:bCs/>
                <w:kern w:val="2"/>
                <w:sz w:val="21"/>
                <w:szCs w:val="21"/>
                <w:lang w:val="en-US" w:eastAsia="zh-CN"/>
              </w:rPr>
              <w:t>0.0001</w:t>
            </w:r>
          </w:p>
        </w:tc>
        <w:tc>
          <w:tcPr>
            <w:tcW w:w="1221" w:type="dxa"/>
            <w:noWrap w:val="0"/>
            <w:vAlign w:val="center"/>
          </w:tcPr>
          <w:p w14:paraId="690F8160">
            <w:pPr>
              <w:pStyle w:val="93"/>
              <w:keepNext w:val="0"/>
              <w:keepLines w:val="0"/>
              <w:pageBreakBefore w:val="0"/>
              <w:suppressLineNumbers w:val="0"/>
              <w:kinsoku/>
              <w:wordWrap/>
              <w:overflowPunct/>
              <w:topLinePunct w:val="0"/>
              <w:autoSpaceDE/>
              <w:autoSpaceDN/>
              <w:bidi w:val="0"/>
              <w:spacing w:before="0" w:beforeLines="0" w:beforeAutospacing="0" w:after="0" w:afterLines="0" w:afterAutospacing="0" w:line="240" w:lineRule="auto"/>
              <w:ind w:left="0" w:right="0"/>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w:t>
            </w:r>
          </w:p>
        </w:tc>
      </w:tr>
      <w:tr w14:paraId="6A715DA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1304" w:type="dxa"/>
            <w:vMerge w:val="restart"/>
            <w:noWrap w:val="0"/>
            <w:vAlign w:val="center"/>
          </w:tcPr>
          <w:p w14:paraId="6B1C70A5">
            <w:pPr>
              <w:pStyle w:val="93"/>
              <w:keepNext w:val="0"/>
              <w:keepLines w:val="0"/>
              <w:pageBreakBefore w:val="0"/>
              <w:suppressLineNumbers w:val="0"/>
              <w:kinsoku/>
              <w:wordWrap/>
              <w:overflowPunct/>
              <w:topLinePunct w:val="0"/>
              <w:autoSpaceDE/>
              <w:autoSpaceDN/>
              <w:bidi w:val="0"/>
              <w:spacing w:before="0" w:beforeLines="0" w:beforeAutospacing="0" w:after="0" w:afterLines="0" w:afterAutospacing="0" w:line="240" w:lineRule="auto"/>
              <w:ind w:left="0" w:right="0"/>
              <w:textAlignment w:val="auto"/>
              <w:rPr>
                <w:rFonts w:hint="default" w:ascii="Times New Roman" w:hAnsi="Times New Roman" w:cs="Times New Roman"/>
                <w:snapToGrid w:val="0"/>
                <w:kern w:val="21"/>
                <w:sz w:val="21"/>
                <w:szCs w:val="21"/>
                <w:lang w:val="en-US" w:eastAsia="zh-CN"/>
              </w:rPr>
            </w:pPr>
            <w:r>
              <w:rPr>
                <w:rFonts w:hint="default" w:ascii="Times New Roman" w:hAnsi="Times New Roman" w:cs="Times New Roman"/>
                <w:snapToGrid w:val="0"/>
                <w:kern w:val="21"/>
                <w:sz w:val="21"/>
                <w:szCs w:val="21"/>
                <w:lang w:val="en-US" w:eastAsia="zh-CN"/>
              </w:rPr>
              <w:t>一般工业</w:t>
            </w:r>
          </w:p>
          <w:p w14:paraId="4B50C12E">
            <w:pPr>
              <w:pStyle w:val="93"/>
              <w:keepNext w:val="0"/>
              <w:keepLines w:val="0"/>
              <w:pageBreakBefore w:val="0"/>
              <w:suppressLineNumbers w:val="0"/>
              <w:kinsoku/>
              <w:wordWrap/>
              <w:overflowPunct/>
              <w:topLinePunct w:val="0"/>
              <w:autoSpaceDE/>
              <w:autoSpaceDN/>
              <w:bidi w:val="0"/>
              <w:spacing w:before="0" w:beforeLines="0" w:beforeAutospacing="0" w:after="0" w:afterLines="0" w:afterAutospacing="0" w:line="240" w:lineRule="auto"/>
              <w:ind w:left="0" w:right="0"/>
              <w:textAlignment w:val="auto"/>
              <w:rPr>
                <w:rFonts w:hint="default" w:ascii="Times New Roman" w:hAnsi="Times New Roman" w:cs="Times New Roman"/>
                <w:snapToGrid w:val="0"/>
                <w:kern w:val="21"/>
                <w:sz w:val="21"/>
                <w:szCs w:val="21"/>
                <w:lang w:val="en-US" w:eastAsia="zh-CN"/>
              </w:rPr>
            </w:pPr>
            <w:r>
              <w:rPr>
                <w:rFonts w:hint="default" w:ascii="Times New Roman" w:hAnsi="Times New Roman" w:cs="Times New Roman"/>
                <w:snapToGrid w:val="0"/>
                <w:kern w:val="21"/>
                <w:sz w:val="21"/>
                <w:szCs w:val="21"/>
                <w:lang w:val="en-US" w:eastAsia="zh-CN"/>
              </w:rPr>
              <w:t>固体废物</w:t>
            </w:r>
          </w:p>
        </w:tc>
        <w:tc>
          <w:tcPr>
            <w:tcW w:w="1940" w:type="dxa"/>
            <w:shd w:val="clear" w:color="auto" w:fill="auto"/>
            <w:noWrap w:val="0"/>
            <w:vAlign w:val="center"/>
          </w:tcPr>
          <w:p w14:paraId="63DCA962">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cs="Times New Roman"/>
                <w:szCs w:val="21"/>
                <w:lang w:val="en-US" w:eastAsia="zh-CN"/>
              </w:rPr>
              <w:t>废纯水桶</w:t>
            </w:r>
          </w:p>
        </w:tc>
        <w:tc>
          <w:tcPr>
            <w:tcW w:w="1462" w:type="dxa"/>
            <w:shd w:val="clear" w:color="auto" w:fill="auto"/>
            <w:noWrap w:val="0"/>
            <w:vAlign w:val="center"/>
          </w:tcPr>
          <w:p w14:paraId="45EE7DF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cs="Times New Roman"/>
                <w:szCs w:val="21"/>
                <w:lang w:val="en-US" w:eastAsia="zh-CN"/>
              </w:rPr>
              <w:t>/</w:t>
            </w:r>
          </w:p>
        </w:tc>
        <w:tc>
          <w:tcPr>
            <w:tcW w:w="1276" w:type="dxa"/>
            <w:shd w:val="clear" w:color="auto" w:fill="auto"/>
            <w:noWrap w:val="0"/>
            <w:vAlign w:val="center"/>
          </w:tcPr>
          <w:p w14:paraId="527FBDFE">
            <w:pPr>
              <w:pStyle w:val="93"/>
              <w:keepNext w:val="0"/>
              <w:keepLines w:val="0"/>
              <w:pageBreakBefore w:val="0"/>
              <w:suppressLineNumbers w:val="0"/>
              <w:kinsoku/>
              <w:wordWrap/>
              <w:overflowPunct/>
              <w:topLinePunct w:val="0"/>
              <w:autoSpaceDE/>
              <w:autoSpaceDN/>
              <w:bidi w:val="0"/>
              <w:spacing w:before="0" w:beforeLines="0" w:beforeAutospacing="0" w:after="0" w:afterLines="0" w:afterAutospacing="0" w:line="240" w:lineRule="auto"/>
              <w:ind w:left="0" w:leftChars="0" w:right="0" w:rightChars="0"/>
              <w:textAlignment w:val="auto"/>
              <w:rPr>
                <w:rFonts w:hint="default" w:ascii="Times New Roman" w:hAnsi="Times New Roman" w:eastAsia="宋体" w:cs="Times New Roman"/>
                <w:bCs/>
                <w:kern w:val="2"/>
                <w:sz w:val="21"/>
                <w:szCs w:val="21"/>
                <w:lang w:val="en-US" w:eastAsia="zh-CN" w:bidi="ar-SA"/>
              </w:rPr>
            </w:pPr>
            <w:r>
              <w:rPr>
                <w:rFonts w:hint="eastAsia" w:ascii="Times New Roman" w:hAnsi="Times New Roman" w:cs="Times New Roman"/>
                <w:bCs/>
                <w:kern w:val="2"/>
                <w:sz w:val="21"/>
                <w:szCs w:val="21"/>
                <w:lang w:val="en-US" w:eastAsia="zh-CN"/>
              </w:rPr>
              <w:t>/</w:t>
            </w:r>
          </w:p>
        </w:tc>
        <w:tc>
          <w:tcPr>
            <w:tcW w:w="1701" w:type="dxa"/>
            <w:shd w:val="clear" w:color="auto" w:fill="auto"/>
            <w:noWrap w:val="0"/>
            <w:vAlign w:val="center"/>
          </w:tcPr>
          <w:p w14:paraId="3E87F043">
            <w:pPr>
              <w:pStyle w:val="119"/>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textAlignment w:val="auto"/>
              <w:rPr>
                <w:rFonts w:hint="eastAsia" w:ascii="Times New Roman" w:hAnsi="Times New Roman" w:eastAsia="宋体" w:cs="Times New Roman"/>
                <w:bCs/>
                <w:kern w:val="2"/>
                <w:sz w:val="21"/>
                <w:szCs w:val="21"/>
                <w:lang w:val="en-US" w:eastAsia="zh-CN" w:bidi="ar-SA"/>
              </w:rPr>
            </w:pPr>
            <w:r>
              <w:rPr>
                <w:rFonts w:hint="eastAsia" w:ascii="Times New Roman" w:hAnsi="Times New Roman" w:eastAsia="宋体" w:cs="Times New Roman"/>
                <w:bCs/>
                <w:sz w:val="21"/>
                <w:szCs w:val="21"/>
                <w:lang w:val="en-US" w:eastAsia="zh-CN"/>
              </w:rPr>
              <w:t>/</w:t>
            </w:r>
          </w:p>
        </w:tc>
        <w:tc>
          <w:tcPr>
            <w:tcW w:w="1559" w:type="dxa"/>
            <w:shd w:val="clear" w:color="auto" w:fill="auto"/>
            <w:noWrap w:val="0"/>
            <w:vAlign w:val="center"/>
          </w:tcPr>
          <w:p w14:paraId="6F660E01">
            <w:pPr>
              <w:pStyle w:val="119"/>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textAlignment w:val="auto"/>
              <w:rPr>
                <w:rFonts w:hint="default"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0.1</w:t>
            </w:r>
          </w:p>
        </w:tc>
        <w:tc>
          <w:tcPr>
            <w:tcW w:w="1761" w:type="dxa"/>
            <w:shd w:val="clear" w:color="auto" w:fill="auto"/>
            <w:noWrap w:val="0"/>
            <w:vAlign w:val="center"/>
          </w:tcPr>
          <w:p w14:paraId="70846839">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cs="Times New Roman"/>
                <w:bCs/>
                <w:color w:val="auto"/>
                <w:szCs w:val="21"/>
                <w:lang w:val="en-US" w:eastAsia="zh-CN"/>
              </w:rPr>
              <w:t>0</w:t>
            </w:r>
          </w:p>
        </w:tc>
        <w:tc>
          <w:tcPr>
            <w:tcW w:w="1564" w:type="dxa"/>
            <w:shd w:val="clear" w:color="auto" w:fill="auto"/>
            <w:noWrap w:val="0"/>
            <w:vAlign w:val="center"/>
          </w:tcPr>
          <w:p w14:paraId="77E2C828">
            <w:pPr>
              <w:pStyle w:val="119"/>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textAlignment w:val="auto"/>
              <w:rPr>
                <w:rFonts w:hint="default"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0.1</w:t>
            </w:r>
          </w:p>
        </w:tc>
        <w:tc>
          <w:tcPr>
            <w:tcW w:w="1221" w:type="dxa"/>
            <w:shd w:val="clear" w:color="auto" w:fill="auto"/>
            <w:noWrap w:val="0"/>
            <w:vAlign w:val="center"/>
          </w:tcPr>
          <w:p w14:paraId="21C9DF52">
            <w:pPr>
              <w:pStyle w:val="93"/>
              <w:keepNext w:val="0"/>
              <w:keepLines w:val="0"/>
              <w:pageBreakBefore w:val="0"/>
              <w:suppressLineNumbers w:val="0"/>
              <w:kinsoku/>
              <w:wordWrap/>
              <w:overflowPunct/>
              <w:topLinePunct w:val="0"/>
              <w:autoSpaceDE/>
              <w:autoSpaceDN/>
              <w:bidi w:val="0"/>
              <w:spacing w:before="0" w:beforeLines="0" w:beforeAutospacing="0" w:after="0" w:afterLines="0" w:afterAutospacing="0" w:line="240" w:lineRule="auto"/>
              <w:ind w:left="0" w:leftChars="0" w:right="0" w:rightChars="0"/>
              <w:textAlignment w:val="auto"/>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+0.</w:t>
            </w:r>
            <w:r>
              <w:rPr>
                <w:rFonts w:hint="eastAsia" w:ascii="Times New Roman" w:cs="Times New Roman"/>
                <w:color w:val="auto"/>
                <w:sz w:val="21"/>
                <w:szCs w:val="21"/>
                <w:lang w:val="en-US" w:eastAsia="zh-CN"/>
              </w:rPr>
              <w:t>1</w:t>
            </w:r>
          </w:p>
        </w:tc>
      </w:tr>
      <w:tr w14:paraId="5AE6EB3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1304" w:type="dxa"/>
            <w:vMerge w:val="continue"/>
            <w:noWrap w:val="0"/>
            <w:vAlign w:val="center"/>
          </w:tcPr>
          <w:p w14:paraId="420354E2">
            <w:pPr>
              <w:pStyle w:val="93"/>
              <w:keepNext w:val="0"/>
              <w:keepLines w:val="0"/>
              <w:pageBreakBefore w:val="0"/>
              <w:suppressLineNumbers w:val="0"/>
              <w:kinsoku/>
              <w:wordWrap/>
              <w:overflowPunct/>
              <w:topLinePunct w:val="0"/>
              <w:autoSpaceDE/>
              <w:autoSpaceDN/>
              <w:bidi w:val="0"/>
              <w:spacing w:before="0" w:beforeLines="0" w:beforeAutospacing="0" w:after="0" w:afterLines="0" w:afterAutospacing="0" w:line="240" w:lineRule="auto"/>
              <w:ind w:left="0" w:right="0"/>
              <w:textAlignment w:val="auto"/>
              <w:rPr>
                <w:rFonts w:hint="default" w:ascii="Times New Roman" w:hAnsi="Times New Roman" w:cs="Times New Roman"/>
                <w:snapToGrid w:val="0"/>
                <w:kern w:val="21"/>
                <w:sz w:val="21"/>
                <w:szCs w:val="21"/>
                <w:lang w:val="en-US" w:eastAsia="zh-CN"/>
              </w:rPr>
            </w:pPr>
          </w:p>
        </w:tc>
        <w:tc>
          <w:tcPr>
            <w:tcW w:w="1940" w:type="dxa"/>
            <w:noWrap w:val="0"/>
            <w:vAlign w:val="center"/>
          </w:tcPr>
          <w:p w14:paraId="2D598D6E">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kern w:val="2"/>
                <w:sz w:val="21"/>
                <w:szCs w:val="21"/>
                <w:lang w:val="en-US" w:eastAsia="zh-CN" w:bidi="ar-SA"/>
              </w:rPr>
            </w:pPr>
            <w:r>
              <w:rPr>
                <w:rFonts w:hint="eastAsia" w:ascii="Times New Roman" w:hAnsi="Times New Roman" w:eastAsia="宋体" w:cs="Times New Roman"/>
                <w:szCs w:val="21"/>
                <w:lang w:val="en-US" w:eastAsia="zh-CN"/>
              </w:rPr>
              <w:t>废边角料</w:t>
            </w:r>
          </w:p>
        </w:tc>
        <w:tc>
          <w:tcPr>
            <w:tcW w:w="1462" w:type="dxa"/>
            <w:noWrap w:val="0"/>
            <w:vAlign w:val="center"/>
          </w:tcPr>
          <w:p w14:paraId="35FE4F5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kern w:val="2"/>
                <w:sz w:val="21"/>
                <w:szCs w:val="21"/>
                <w:lang w:val="en-US" w:eastAsia="zh-CN" w:bidi="ar-SA"/>
              </w:rPr>
            </w:pPr>
            <w:r>
              <w:rPr>
                <w:rFonts w:hint="eastAsia" w:ascii="Times New Roman" w:hAnsi="Times New Roman" w:cs="Times New Roman"/>
                <w:szCs w:val="21"/>
                <w:lang w:val="en-US" w:eastAsia="zh-CN"/>
              </w:rPr>
              <w:t>3.5</w:t>
            </w:r>
          </w:p>
        </w:tc>
        <w:tc>
          <w:tcPr>
            <w:tcW w:w="1276" w:type="dxa"/>
            <w:noWrap w:val="0"/>
            <w:vAlign w:val="center"/>
          </w:tcPr>
          <w:p w14:paraId="1745ECF5">
            <w:pPr>
              <w:pStyle w:val="93"/>
              <w:keepNext w:val="0"/>
              <w:keepLines w:val="0"/>
              <w:pageBreakBefore w:val="0"/>
              <w:suppressLineNumbers w:val="0"/>
              <w:kinsoku/>
              <w:wordWrap/>
              <w:overflowPunct/>
              <w:topLinePunct w:val="0"/>
              <w:autoSpaceDE/>
              <w:autoSpaceDN/>
              <w:bidi w:val="0"/>
              <w:spacing w:before="0" w:beforeLines="0" w:beforeAutospacing="0" w:after="0" w:afterLines="0" w:afterAutospacing="0" w:line="240" w:lineRule="auto"/>
              <w:ind w:left="0" w:right="0"/>
              <w:textAlignment w:val="auto"/>
              <w:rPr>
                <w:rFonts w:hint="default" w:ascii="Times New Roman" w:hAnsi="Times New Roman" w:cs="Times New Roman"/>
                <w:bCs/>
                <w:kern w:val="2"/>
                <w:sz w:val="21"/>
                <w:szCs w:val="21"/>
                <w:lang w:val="en-US" w:eastAsia="zh-CN" w:bidi="ar-SA"/>
              </w:rPr>
            </w:pPr>
            <w:r>
              <w:rPr>
                <w:rFonts w:hint="eastAsia" w:ascii="Times New Roman" w:cs="Times New Roman"/>
                <w:bCs/>
                <w:kern w:val="2"/>
                <w:sz w:val="21"/>
                <w:szCs w:val="21"/>
                <w:lang w:val="en-US" w:eastAsia="zh-CN"/>
              </w:rPr>
              <w:t>/</w:t>
            </w:r>
          </w:p>
        </w:tc>
        <w:tc>
          <w:tcPr>
            <w:tcW w:w="1701" w:type="dxa"/>
            <w:noWrap w:val="0"/>
            <w:vAlign w:val="center"/>
          </w:tcPr>
          <w:p w14:paraId="44382B90">
            <w:pPr>
              <w:pStyle w:val="119"/>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textAlignment w:val="auto"/>
              <w:rPr>
                <w:rFonts w:hint="eastAsia" w:ascii="Times New Roman" w:hAnsi="Times New Roman" w:eastAsia="宋体" w:cs="Times New Roman"/>
                <w:bCs/>
                <w:sz w:val="21"/>
                <w:szCs w:val="21"/>
                <w:lang w:eastAsia="zh-CN"/>
              </w:rPr>
            </w:pPr>
            <w:r>
              <w:rPr>
                <w:rFonts w:hint="eastAsia" w:ascii="Times New Roman"/>
                <w:bCs/>
                <w:kern w:val="2"/>
                <w:sz w:val="21"/>
                <w:szCs w:val="21"/>
                <w:lang w:val="en-US" w:eastAsia="zh-CN"/>
              </w:rPr>
              <w:t>/</w:t>
            </w:r>
          </w:p>
        </w:tc>
        <w:tc>
          <w:tcPr>
            <w:tcW w:w="1559" w:type="dxa"/>
            <w:noWrap w:val="0"/>
            <w:vAlign w:val="center"/>
          </w:tcPr>
          <w:p w14:paraId="3F0EF0A6">
            <w:pPr>
              <w:pStyle w:val="119"/>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textAlignment w:val="auto"/>
              <w:rPr>
                <w:rFonts w:hint="default" w:ascii="Times New Roman" w:hAnsi="Times New Roman" w:eastAsia="宋体" w:cs="Times New Roman"/>
                <w:bCs/>
                <w:color w:val="0000FF"/>
                <w:sz w:val="21"/>
                <w:szCs w:val="21"/>
                <w:lang w:val="en-US" w:eastAsia="zh-CN"/>
              </w:rPr>
            </w:pPr>
            <w:r>
              <w:rPr>
                <w:rFonts w:hint="eastAsia" w:ascii="Times New Roman" w:hAnsi="Times New Roman" w:eastAsia="宋体" w:cs="Times New Roman"/>
                <w:bCs/>
                <w:color w:val="auto"/>
                <w:sz w:val="21"/>
                <w:szCs w:val="21"/>
                <w:lang w:val="en-US" w:eastAsia="zh-CN"/>
              </w:rPr>
              <w:t>3.5</w:t>
            </w:r>
          </w:p>
        </w:tc>
        <w:tc>
          <w:tcPr>
            <w:tcW w:w="1761" w:type="dxa"/>
            <w:noWrap w:val="0"/>
            <w:vAlign w:val="center"/>
          </w:tcPr>
          <w:p w14:paraId="3D694144">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bCs/>
                <w:kern w:val="2"/>
                <w:szCs w:val="21"/>
                <w:lang w:val="en-US" w:eastAsia="zh-CN"/>
              </w:rPr>
            </w:pPr>
            <w:r>
              <w:rPr>
                <w:rFonts w:hint="eastAsia" w:ascii="Times New Roman" w:hAnsi="Times New Roman" w:cs="Times New Roman"/>
                <w:bCs/>
                <w:color w:val="auto"/>
                <w:szCs w:val="21"/>
                <w:lang w:val="en-US" w:eastAsia="zh-CN"/>
              </w:rPr>
              <w:t>3.5</w:t>
            </w:r>
          </w:p>
        </w:tc>
        <w:tc>
          <w:tcPr>
            <w:tcW w:w="1564" w:type="dxa"/>
            <w:shd w:val="clear" w:color="auto" w:fill="auto"/>
            <w:noWrap w:val="0"/>
            <w:vAlign w:val="center"/>
          </w:tcPr>
          <w:p w14:paraId="54AFD289">
            <w:pPr>
              <w:pStyle w:val="119"/>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textAlignment w:val="auto"/>
              <w:rPr>
                <w:rFonts w:hint="default" w:ascii="Times New Roman" w:hAnsi="Times New Roman" w:eastAsia="宋体" w:cs="Times New Roman"/>
                <w:bCs/>
                <w:color w:val="0000FF"/>
                <w:kern w:val="2"/>
                <w:sz w:val="21"/>
                <w:szCs w:val="21"/>
                <w:lang w:val="en-US" w:eastAsia="zh-CN" w:bidi="ar-SA"/>
              </w:rPr>
            </w:pPr>
            <w:r>
              <w:rPr>
                <w:rFonts w:hint="eastAsia" w:ascii="Times New Roman" w:hAnsi="Times New Roman" w:eastAsia="宋体" w:cs="Times New Roman"/>
                <w:bCs/>
                <w:color w:val="auto"/>
                <w:sz w:val="21"/>
                <w:szCs w:val="21"/>
                <w:lang w:val="en-US" w:eastAsia="zh-CN"/>
              </w:rPr>
              <w:t>3.5</w:t>
            </w:r>
          </w:p>
        </w:tc>
        <w:tc>
          <w:tcPr>
            <w:tcW w:w="1221" w:type="dxa"/>
            <w:noWrap w:val="0"/>
            <w:vAlign w:val="center"/>
          </w:tcPr>
          <w:p w14:paraId="6EE8A509">
            <w:pPr>
              <w:pStyle w:val="93"/>
              <w:keepNext w:val="0"/>
              <w:keepLines w:val="0"/>
              <w:pageBreakBefore w:val="0"/>
              <w:suppressLineNumbers w:val="0"/>
              <w:kinsoku/>
              <w:wordWrap/>
              <w:overflowPunct/>
              <w:topLinePunct w:val="0"/>
              <w:autoSpaceDE/>
              <w:autoSpaceDN/>
              <w:bidi w:val="0"/>
              <w:spacing w:before="0" w:beforeLines="0" w:beforeAutospacing="0" w:after="0" w:afterLines="0" w:afterAutospacing="0" w:line="240" w:lineRule="auto"/>
              <w:ind w:left="0" w:right="0"/>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w:t>
            </w:r>
          </w:p>
        </w:tc>
      </w:tr>
      <w:tr w14:paraId="597BEDD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1304" w:type="dxa"/>
            <w:vMerge w:val="continue"/>
            <w:noWrap w:val="0"/>
            <w:vAlign w:val="center"/>
          </w:tcPr>
          <w:p w14:paraId="30B51482">
            <w:pPr>
              <w:pStyle w:val="93"/>
              <w:keepNext w:val="0"/>
              <w:keepLines w:val="0"/>
              <w:pageBreakBefore w:val="0"/>
              <w:suppressLineNumbers w:val="0"/>
              <w:kinsoku/>
              <w:wordWrap/>
              <w:overflowPunct/>
              <w:topLinePunct w:val="0"/>
              <w:autoSpaceDE/>
              <w:autoSpaceDN/>
              <w:bidi w:val="0"/>
              <w:spacing w:before="0" w:beforeLines="0" w:beforeAutospacing="0" w:after="0" w:afterLines="0" w:afterAutospacing="0" w:line="240" w:lineRule="auto"/>
              <w:ind w:left="0" w:right="0"/>
              <w:textAlignment w:val="auto"/>
              <w:rPr>
                <w:rFonts w:hint="default" w:ascii="Times New Roman" w:hAnsi="Times New Roman" w:cs="Times New Roman"/>
                <w:snapToGrid w:val="0"/>
                <w:kern w:val="21"/>
                <w:sz w:val="21"/>
                <w:szCs w:val="21"/>
                <w:lang w:val="en-US" w:eastAsia="zh-CN"/>
              </w:rPr>
            </w:pPr>
          </w:p>
        </w:tc>
        <w:tc>
          <w:tcPr>
            <w:tcW w:w="1940" w:type="dxa"/>
            <w:noWrap w:val="0"/>
            <w:vAlign w:val="center"/>
          </w:tcPr>
          <w:p w14:paraId="12307D2B">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kern w:val="2"/>
                <w:sz w:val="21"/>
                <w:szCs w:val="21"/>
                <w:lang w:val="en-US" w:eastAsia="zh-CN" w:bidi="ar-SA"/>
              </w:rPr>
            </w:pPr>
            <w:r>
              <w:rPr>
                <w:rFonts w:hint="eastAsia" w:ascii="Times New Roman" w:hAnsi="Times New Roman" w:cs="Times New Roman"/>
                <w:szCs w:val="21"/>
                <w:lang w:val="en-US" w:eastAsia="zh-CN"/>
              </w:rPr>
              <w:t>不合格品</w:t>
            </w:r>
          </w:p>
        </w:tc>
        <w:tc>
          <w:tcPr>
            <w:tcW w:w="1462" w:type="dxa"/>
            <w:noWrap w:val="0"/>
            <w:vAlign w:val="center"/>
          </w:tcPr>
          <w:p w14:paraId="3517108E">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cs="Times New Roman"/>
                <w:kern w:val="2"/>
                <w:sz w:val="21"/>
                <w:szCs w:val="21"/>
                <w:lang w:val="en-US" w:eastAsia="zh-CN" w:bidi="ar-SA"/>
              </w:rPr>
            </w:pPr>
            <w:r>
              <w:rPr>
                <w:rFonts w:hint="default" w:ascii="Times New Roman" w:hAnsi="Times New Roman" w:cs="Times New Roman"/>
                <w:szCs w:val="21"/>
                <w:lang w:val="en-US" w:eastAsia="zh-CN"/>
              </w:rPr>
              <w:t>0</w:t>
            </w:r>
          </w:p>
        </w:tc>
        <w:tc>
          <w:tcPr>
            <w:tcW w:w="1276" w:type="dxa"/>
            <w:noWrap w:val="0"/>
            <w:vAlign w:val="center"/>
          </w:tcPr>
          <w:p w14:paraId="6573B827">
            <w:pPr>
              <w:pStyle w:val="93"/>
              <w:keepNext w:val="0"/>
              <w:keepLines w:val="0"/>
              <w:pageBreakBefore w:val="0"/>
              <w:suppressLineNumbers w:val="0"/>
              <w:kinsoku/>
              <w:wordWrap/>
              <w:overflowPunct/>
              <w:topLinePunct w:val="0"/>
              <w:autoSpaceDE/>
              <w:autoSpaceDN/>
              <w:bidi w:val="0"/>
              <w:spacing w:before="0" w:beforeLines="0" w:beforeAutospacing="0" w:after="0" w:afterLines="0" w:afterAutospacing="0" w:line="240" w:lineRule="auto"/>
              <w:ind w:left="0" w:right="0"/>
              <w:textAlignment w:val="auto"/>
              <w:rPr>
                <w:rFonts w:hint="default" w:ascii="Times New Roman" w:hAnsi="Times New Roman" w:cs="Times New Roman"/>
                <w:bCs/>
                <w:kern w:val="2"/>
                <w:sz w:val="21"/>
                <w:szCs w:val="21"/>
                <w:lang w:val="en-US" w:eastAsia="zh-CN" w:bidi="ar-SA"/>
              </w:rPr>
            </w:pPr>
            <w:r>
              <w:rPr>
                <w:rFonts w:hint="eastAsia" w:ascii="Times New Roman" w:hAnsi="Times New Roman" w:cs="Times New Roman"/>
                <w:bCs/>
                <w:kern w:val="2"/>
                <w:sz w:val="21"/>
                <w:szCs w:val="21"/>
                <w:lang w:val="en-US" w:eastAsia="zh-CN"/>
              </w:rPr>
              <w:t>/</w:t>
            </w:r>
          </w:p>
        </w:tc>
        <w:tc>
          <w:tcPr>
            <w:tcW w:w="1701" w:type="dxa"/>
            <w:noWrap w:val="0"/>
            <w:vAlign w:val="center"/>
          </w:tcPr>
          <w:p w14:paraId="0B7E93B3">
            <w:pPr>
              <w:pStyle w:val="119"/>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textAlignment w:val="auto"/>
              <w:rPr>
                <w:rFonts w:hint="eastAsia"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w:t>
            </w:r>
          </w:p>
        </w:tc>
        <w:tc>
          <w:tcPr>
            <w:tcW w:w="1559" w:type="dxa"/>
            <w:noWrap w:val="0"/>
            <w:vAlign w:val="center"/>
          </w:tcPr>
          <w:p w14:paraId="31B56FB8">
            <w:pPr>
              <w:pStyle w:val="119"/>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textAlignment w:val="auto"/>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4.3</w:t>
            </w:r>
          </w:p>
        </w:tc>
        <w:tc>
          <w:tcPr>
            <w:tcW w:w="1761" w:type="dxa"/>
            <w:noWrap w:val="0"/>
            <w:vAlign w:val="center"/>
          </w:tcPr>
          <w:p w14:paraId="00D471A8">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bCs/>
                <w:color w:val="auto"/>
                <w:szCs w:val="21"/>
                <w:lang w:val="en-US" w:eastAsia="zh-CN"/>
              </w:rPr>
            </w:pPr>
            <w:r>
              <w:rPr>
                <w:rFonts w:hint="eastAsia" w:ascii="Times New Roman" w:hAnsi="Times New Roman" w:cs="Times New Roman"/>
                <w:bCs/>
                <w:color w:val="auto"/>
                <w:szCs w:val="21"/>
                <w:lang w:val="en-US" w:eastAsia="zh-CN"/>
              </w:rPr>
              <w:t>0</w:t>
            </w:r>
          </w:p>
        </w:tc>
        <w:tc>
          <w:tcPr>
            <w:tcW w:w="1564" w:type="dxa"/>
            <w:shd w:val="clear" w:color="auto" w:fill="auto"/>
            <w:noWrap w:val="0"/>
            <w:vAlign w:val="center"/>
          </w:tcPr>
          <w:p w14:paraId="1347CAF2">
            <w:pPr>
              <w:pStyle w:val="119"/>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textAlignment w:val="auto"/>
              <w:rPr>
                <w:rFonts w:hint="default"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4.3</w:t>
            </w:r>
          </w:p>
        </w:tc>
        <w:tc>
          <w:tcPr>
            <w:tcW w:w="1221" w:type="dxa"/>
            <w:noWrap w:val="0"/>
            <w:vAlign w:val="center"/>
          </w:tcPr>
          <w:p w14:paraId="0F988CD3">
            <w:pPr>
              <w:pStyle w:val="93"/>
              <w:keepNext w:val="0"/>
              <w:keepLines w:val="0"/>
              <w:pageBreakBefore w:val="0"/>
              <w:suppressLineNumbers w:val="0"/>
              <w:kinsoku/>
              <w:wordWrap/>
              <w:overflowPunct/>
              <w:topLinePunct w:val="0"/>
              <w:autoSpaceDE/>
              <w:autoSpaceDN/>
              <w:bidi w:val="0"/>
              <w:spacing w:before="0" w:beforeLines="0" w:beforeAutospacing="0" w:after="0" w:afterLines="0" w:afterAutospacing="0" w:line="240" w:lineRule="auto"/>
              <w:ind w:left="0" w:right="0"/>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+4.3</w:t>
            </w:r>
          </w:p>
        </w:tc>
      </w:tr>
      <w:tr w14:paraId="6DB4AA9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1304" w:type="dxa"/>
            <w:vMerge w:val="restart"/>
            <w:noWrap w:val="0"/>
            <w:vAlign w:val="center"/>
          </w:tcPr>
          <w:p w14:paraId="611C5839">
            <w:pPr>
              <w:pStyle w:val="93"/>
              <w:keepNext w:val="0"/>
              <w:keepLines w:val="0"/>
              <w:pageBreakBefore w:val="0"/>
              <w:suppressLineNumbers w:val="0"/>
              <w:kinsoku/>
              <w:wordWrap/>
              <w:overflowPunct/>
              <w:topLinePunct w:val="0"/>
              <w:autoSpaceDE/>
              <w:autoSpaceDN/>
              <w:bidi w:val="0"/>
              <w:spacing w:before="0" w:beforeLines="0" w:beforeAutospacing="0" w:after="0" w:afterLines="0" w:afterAutospacing="0" w:line="240" w:lineRule="auto"/>
              <w:ind w:left="0" w:right="0"/>
              <w:textAlignment w:val="auto"/>
              <w:rPr>
                <w:rFonts w:hint="eastAsia" w:ascii="Times New Roman" w:hAnsi="Times New Roman" w:cs="Times New Roman"/>
                <w:snapToGrid w:val="0"/>
                <w:kern w:val="21"/>
                <w:sz w:val="21"/>
                <w:szCs w:val="21"/>
                <w:lang w:val="en-US" w:eastAsia="zh-CN"/>
              </w:rPr>
            </w:pPr>
            <w:r>
              <w:rPr>
                <w:rFonts w:hint="eastAsia" w:ascii="Times New Roman" w:cs="Times New Roman"/>
                <w:snapToGrid w:val="0"/>
                <w:kern w:val="21"/>
                <w:sz w:val="21"/>
                <w:szCs w:val="21"/>
                <w:lang w:val="en-US" w:eastAsia="zh-CN"/>
              </w:rPr>
              <w:t>危险废物</w:t>
            </w:r>
          </w:p>
        </w:tc>
        <w:tc>
          <w:tcPr>
            <w:tcW w:w="1940" w:type="dxa"/>
            <w:noWrap w:val="0"/>
            <w:vAlign w:val="center"/>
          </w:tcPr>
          <w:p w14:paraId="7EB7D019">
            <w:pPr>
              <w:pStyle w:val="244"/>
              <w:keepNext w:val="0"/>
              <w:keepLines w:val="0"/>
              <w:suppressLineNumbers w:val="0"/>
              <w:spacing w:before="0" w:beforeAutospacing="0" w:after="0" w:afterAutospacing="0"/>
              <w:ind w:left="0" w:right="0"/>
              <w:rPr>
                <w:rFonts w:hint="eastAsia" w:ascii="Times New Roman" w:hAnsi="Times New Roman" w:cs="Times New Roman"/>
                <w:snapToGrid w:val="0"/>
                <w:color w:val="auto"/>
                <w:kern w:val="2"/>
                <w:sz w:val="21"/>
                <w:szCs w:val="21"/>
                <w:lang w:val="en-US" w:eastAsia="zh-CN" w:bidi="ar-SA"/>
              </w:rPr>
            </w:pPr>
            <w:r>
              <w:rPr>
                <w:rFonts w:hint="eastAsia" w:cs="Times New Roman"/>
                <w:snapToGrid w:val="0"/>
                <w:color w:val="auto"/>
                <w:kern w:val="2"/>
                <w:sz w:val="21"/>
                <w:szCs w:val="21"/>
                <w:lang w:val="en-US" w:eastAsia="zh-CN" w:bidi="ar-SA"/>
              </w:rPr>
              <w:t>废水性油墨桶</w:t>
            </w:r>
          </w:p>
        </w:tc>
        <w:tc>
          <w:tcPr>
            <w:tcW w:w="1462" w:type="dxa"/>
            <w:noWrap w:val="0"/>
            <w:vAlign w:val="center"/>
          </w:tcPr>
          <w:p w14:paraId="7383BEF0">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Cs w:val="21"/>
                <w:lang w:val="en-US" w:eastAsia="zh-CN"/>
              </w:rPr>
            </w:pPr>
            <w:r>
              <w:rPr>
                <w:rFonts w:hint="eastAsia" w:cs="Times New Roman"/>
                <w:szCs w:val="21"/>
                <w:lang w:val="en-US" w:eastAsia="zh-CN"/>
              </w:rPr>
              <w:t>1.5</w:t>
            </w:r>
          </w:p>
        </w:tc>
        <w:tc>
          <w:tcPr>
            <w:tcW w:w="1276" w:type="dxa"/>
            <w:noWrap w:val="0"/>
            <w:vAlign w:val="center"/>
          </w:tcPr>
          <w:p w14:paraId="29FA864B">
            <w:pPr>
              <w:pStyle w:val="119"/>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textAlignment w:val="auto"/>
              <w:rPr>
                <w:rFonts w:hint="default"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w:t>
            </w:r>
          </w:p>
        </w:tc>
        <w:tc>
          <w:tcPr>
            <w:tcW w:w="1701" w:type="dxa"/>
            <w:noWrap w:val="0"/>
            <w:vAlign w:val="center"/>
          </w:tcPr>
          <w:p w14:paraId="6F032F06">
            <w:pPr>
              <w:pStyle w:val="119"/>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textAlignment w:val="auto"/>
              <w:rPr>
                <w:rFonts w:hint="eastAsia"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w:t>
            </w:r>
          </w:p>
        </w:tc>
        <w:tc>
          <w:tcPr>
            <w:tcW w:w="1559" w:type="dxa"/>
            <w:noWrap w:val="0"/>
            <w:vAlign w:val="center"/>
          </w:tcPr>
          <w:p w14:paraId="07F356B7">
            <w:pPr>
              <w:pStyle w:val="119"/>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textAlignment w:val="auto"/>
              <w:rPr>
                <w:rFonts w:hint="default"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w:t>
            </w:r>
          </w:p>
        </w:tc>
        <w:tc>
          <w:tcPr>
            <w:tcW w:w="1761" w:type="dxa"/>
            <w:noWrap w:val="0"/>
            <w:vAlign w:val="center"/>
          </w:tcPr>
          <w:p w14:paraId="1563DA3C">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bCs/>
                <w:color w:val="auto"/>
                <w:szCs w:val="21"/>
                <w:lang w:val="en-US" w:eastAsia="zh-CN"/>
              </w:rPr>
            </w:pPr>
            <w:r>
              <w:rPr>
                <w:rFonts w:hint="eastAsia" w:cs="Times New Roman"/>
                <w:bCs/>
                <w:color w:val="auto"/>
                <w:szCs w:val="21"/>
                <w:lang w:val="en-US" w:eastAsia="zh-CN"/>
              </w:rPr>
              <w:t>/</w:t>
            </w:r>
          </w:p>
        </w:tc>
        <w:tc>
          <w:tcPr>
            <w:tcW w:w="1564" w:type="dxa"/>
            <w:shd w:val="clear" w:color="auto" w:fill="auto"/>
            <w:noWrap w:val="0"/>
            <w:vAlign w:val="center"/>
          </w:tcPr>
          <w:p w14:paraId="7F4E8E47">
            <w:pPr>
              <w:pStyle w:val="119"/>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textAlignment w:val="auto"/>
              <w:rPr>
                <w:rFonts w:hint="default" w:ascii="Times New Roman" w:hAnsi="Times New Roman" w:eastAsia="宋体" w:cs="Times New Roman"/>
                <w:bCs/>
                <w:kern w:val="2"/>
                <w:sz w:val="21"/>
                <w:szCs w:val="21"/>
                <w:lang w:val="en-US" w:eastAsia="zh-CN" w:bidi="ar-SA"/>
              </w:rPr>
            </w:pPr>
            <w:r>
              <w:rPr>
                <w:rFonts w:hint="eastAsia" w:ascii="Times New Roman" w:hAnsi="Times New Roman" w:eastAsia="宋体" w:cs="Times New Roman"/>
                <w:bCs/>
                <w:sz w:val="21"/>
                <w:szCs w:val="21"/>
                <w:lang w:val="en-US" w:eastAsia="zh-CN"/>
              </w:rPr>
              <w:t>1.5</w:t>
            </w:r>
          </w:p>
        </w:tc>
        <w:tc>
          <w:tcPr>
            <w:tcW w:w="1221" w:type="dxa"/>
            <w:noWrap w:val="0"/>
            <w:vAlign w:val="center"/>
          </w:tcPr>
          <w:p w14:paraId="531B8FF4">
            <w:pPr>
              <w:pStyle w:val="93"/>
              <w:keepNext w:val="0"/>
              <w:keepLines w:val="0"/>
              <w:pageBreakBefore w:val="0"/>
              <w:suppressLineNumbers w:val="0"/>
              <w:kinsoku/>
              <w:wordWrap/>
              <w:overflowPunct/>
              <w:topLinePunct w:val="0"/>
              <w:autoSpaceDE/>
              <w:autoSpaceDN/>
              <w:bidi w:val="0"/>
              <w:spacing w:before="0" w:beforeLines="0" w:beforeAutospacing="0" w:after="0" w:afterLines="0" w:afterAutospacing="0" w:line="240" w:lineRule="auto"/>
              <w:ind w:left="0" w:right="0"/>
              <w:textAlignment w:val="auto"/>
              <w:rPr>
                <w:rFonts w:hint="default" w:ascii="Times New Roman" w:hAnsi="Times New Roman" w:eastAsia="宋体" w:cs="Times New Roman"/>
                <w:color w:val="auto"/>
                <w:sz w:val="21"/>
                <w:szCs w:val="21"/>
                <w:lang w:val="en-US" w:eastAsia="zh-CN"/>
              </w:rPr>
            </w:pPr>
            <w:r>
              <w:rPr>
                <w:rFonts w:hint="eastAsia" w:ascii="Times New Roman" w:cs="Times New Roman"/>
                <w:color w:val="auto"/>
                <w:sz w:val="21"/>
                <w:szCs w:val="21"/>
                <w:lang w:val="en-US" w:eastAsia="zh-CN"/>
              </w:rPr>
              <w:t>0</w:t>
            </w:r>
          </w:p>
        </w:tc>
      </w:tr>
      <w:tr w14:paraId="79A55D4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1304" w:type="dxa"/>
            <w:vMerge w:val="continue"/>
            <w:noWrap w:val="0"/>
            <w:vAlign w:val="center"/>
          </w:tcPr>
          <w:p w14:paraId="7BEADFC1">
            <w:pPr>
              <w:pStyle w:val="93"/>
              <w:keepNext w:val="0"/>
              <w:keepLines w:val="0"/>
              <w:pageBreakBefore w:val="0"/>
              <w:suppressLineNumbers w:val="0"/>
              <w:kinsoku/>
              <w:wordWrap/>
              <w:overflowPunct/>
              <w:topLinePunct w:val="0"/>
              <w:autoSpaceDE/>
              <w:autoSpaceDN/>
              <w:bidi w:val="0"/>
              <w:spacing w:before="0" w:beforeLines="0" w:beforeAutospacing="0" w:after="0" w:afterLines="0" w:afterAutospacing="0" w:line="240" w:lineRule="auto"/>
              <w:ind w:left="0" w:right="0"/>
              <w:textAlignment w:val="auto"/>
              <w:rPr>
                <w:rFonts w:hint="eastAsia" w:ascii="Times New Roman" w:hAnsi="Times New Roman" w:cs="Times New Roman"/>
                <w:snapToGrid w:val="0"/>
                <w:kern w:val="21"/>
                <w:sz w:val="21"/>
                <w:szCs w:val="21"/>
                <w:lang w:val="en-US" w:eastAsia="zh-CN"/>
              </w:rPr>
            </w:pPr>
          </w:p>
        </w:tc>
        <w:tc>
          <w:tcPr>
            <w:tcW w:w="1940" w:type="dxa"/>
            <w:noWrap w:val="0"/>
            <w:vAlign w:val="center"/>
          </w:tcPr>
          <w:p w14:paraId="0A682A0A">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kern w:val="2"/>
                <w:sz w:val="21"/>
                <w:szCs w:val="21"/>
                <w:lang w:val="en-US" w:eastAsia="zh-CN" w:bidi="ar-SA"/>
              </w:rPr>
            </w:pPr>
            <w:r>
              <w:rPr>
                <w:rFonts w:hint="eastAsia" w:cs="Times New Roman"/>
                <w:szCs w:val="21"/>
                <w:lang w:val="en-US" w:eastAsia="zh-CN"/>
              </w:rPr>
              <w:t>废抹布</w:t>
            </w:r>
          </w:p>
        </w:tc>
        <w:tc>
          <w:tcPr>
            <w:tcW w:w="1462" w:type="dxa"/>
            <w:noWrap w:val="0"/>
            <w:vAlign w:val="center"/>
          </w:tcPr>
          <w:p w14:paraId="187FD5D1">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lang w:val="en-US" w:eastAsia="zh-CN"/>
              </w:rPr>
              <w:t>0</w:t>
            </w:r>
          </w:p>
        </w:tc>
        <w:tc>
          <w:tcPr>
            <w:tcW w:w="1276" w:type="dxa"/>
            <w:noWrap w:val="0"/>
            <w:vAlign w:val="center"/>
          </w:tcPr>
          <w:p w14:paraId="1231518D">
            <w:pPr>
              <w:pStyle w:val="119"/>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textAlignment w:val="auto"/>
              <w:rPr>
                <w:rFonts w:hint="eastAsia" w:ascii="Times New Roman" w:hAnsi="Times New Roman" w:eastAsia="宋体" w:cs="Times New Roman"/>
                <w:bCs/>
                <w:kern w:val="2"/>
                <w:sz w:val="21"/>
                <w:szCs w:val="21"/>
                <w:lang w:val="en-US" w:eastAsia="zh-CN" w:bidi="ar-SA"/>
              </w:rPr>
            </w:pPr>
            <w:r>
              <w:rPr>
                <w:rFonts w:hint="eastAsia" w:ascii="Times New Roman" w:hAnsi="Times New Roman" w:eastAsia="宋体" w:cs="Times New Roman"/>
                <w:bCs/>
                <w:sz w:val="21"/>
                <w:szCs w:val="21"/>
                <w:lang w:val="en-US" w:eastAsia="zh-CN"/>
              </w:rPr>
              <w:t>/</w:t>
            </w:r>
          </w:p>
        </w:tc>
        <w:tc>
          <w:tcPr>
            <w:tcW w:w="1701" w:type="dxa"/>
            <w:noWrap w:val="0"/>
            <w:vAlign w:val="center"/>
          </w:tcPr>
          <w:p w14:paraId="33A2408B">
            <w:pPr>
              <w:pStyle w:val="119"/>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textAlignment w:val="auto"/>
              <w:rPr>
                <w:rFonts w:hint="eastAsia" w:ascii="Times New Roman" w:hAnsi="Times New Roman" w:eastAsia="宋体" w:cs="Times New Roman"/>
                <w:bCs/>
                <w:kern w:val="2"/>
                <w:sz w:val="21"/>
                <w:szCs w:val="21"/>
                <w:lang w:val="en-US" w:eastAsia="zh-CN" w:bidi="ar-SA"/>
              </w:rPr>
            </w:pPr>
            <w:r>
              <w:rPr>
                <w:rFonts w:hint="eastAsia" w:ascii="Times New Roman" w:hAnsi="Times New Roman" w:eastAsia="宋体" w:cs="Times New Roman"/>
                <w:bCs/>
                <w:sz w:val="21"/>
                <w:szCs w:val="21"/>
                <w:lang w:val="en-US" w:eastAsia="zh-CN"/>
              </w:rPr>
              <w:t>/</w:t>
            </w:r>
          </w:p>
        </w:tc>
        <w:tc>
          <w:tcPr>
            <w:tcW w:w="1559" w:type="dxa"/>
            <w:noWrap w:val="0"/>
            <w:vAlign w:val="center"/>
          </w:tcPr>
          <w:p w14:paraId="5DE07E89">
            <w:pPr>
              <w:pStyle w:val="119"/>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textAlignment w:val="auto"/>
              <w:rPr>
                <w:rFonts w:hint="default" w:ascii="Times New Roman" w:hAnsi="Times New Roman" w:eastAsia="宋体" w:cs="Times New Roman"/>
                <w:bCs/>
                <w:kern w:val="2"/>
                <w:sz w:val="21"/>
                <w:szCs w:val="21"/>
                <w:lang w:val="en-US" w:eastAsia="zh-CN" w:bidi="ar-SA"/>
              </w:rPr>
            </w:pPr>
            <w:r>
              <w:rPr>
                <w:rFonts w:hint="eastAsia" w:ascii="Times New Roman" w:hAnsi="Times New Roman" w:eastAsia="宋体" w:cs="Times New Roman"/>
                <w:bCs/>
                <w:sz w:val="21"/>
                <w:szCs w:val="21"/>
                <w:lang w:val="en-US" w:eastAsia="zh-CN"/>
              </w:rPr>
              <w:t>0.01</w:t>
            </w:r>
          </w:p>
        </w:tc>
        <w:tc>
          <w:tcPr>
            <w:tcW w:w="1761" w:type="dxa"/>
            <w:noWrap w:val="0"/>
            <w:vAlign w:val="center"/>
          </w:tcPr>
          <w:p w14:paraId="7F7E455C">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bCs/>
                <w:color w:val="auto"/>
                <w:kern w:val="2"/>
                <w:sz w:val="21"/>
                <w:szCs w:val="21"/>
                <w:lang w:val="en-US" w:eastAsia="zh-CN" w:bidi="ar-SA"/>
              </w:rPr>
            </w:pPr>
            <w:r>
              <w:rPr>
                <w:rFonts w:hint="eastAsia" w:ascii="Times New Roman" w:hAnsi="Times New Roman" w:cs="Times New Roman"/>
                <w:bCs/>
                <w:color w:val="auto"/>
                <w:szCs w:val="21"/>
                <w:lang w:val="en-US" w:eastAsia="zh-CN"/>
              </w:rPr>
              <w:t>0</w:t>
            </w:r>
          </w:p>
        </w:tc>
        <w:tc>
          <w:tcPr>
            <w:tcW w:w="1564" w:type="dxa"/>
            <w:shd w:val="clear" w:color="auto" w:fill="auto"/>
            <w:noWrap w:val="0"/>
            <w:vAlign w:val="center"/>
          </w:tcPr>
          <w:p w14:paraId="38235898">
            <w:pPr>
              <w:pStyle w:val="119"/>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textAlignment w:val="auto"/>
              <w:rPr>
                <w:rFonts w:hint="default" w:ascii="Times New Roman" w:hAnsi="Times New Roman" w:eastAsia="宋体" w:cs="Times New Roman"/>
                <w:bCs/>
                <w:kern w:val="2"/>
                <w:sz w:val="21"/>
                <w:szCs w:val="21"/>
                <w:lang w:val="en-US" w:eastAsia="zh-CN" w:bidi="ar-SA"/>
              </w:rPr>
            </w:pPr>
            <w:r>
              <w:rPr>
                <w:rFonts w:hint="eastAsia" w:ascii="Times New Roman" w:hAnsi="Times New Roman" w:eastAsia="宋体" w:cs="Times New Roman"/>
                <w:bCs/>
                <w:sz w:val="21"/>
                <w:szCs w:val="21"/>
                <w:lang w:val="en-US" w:eastAsia="zh-CN"/>
              </w:rPr>
              <w:t>0.01</w:t>
            </w:r>
          </w:p>
        </w:tc>
        <w:tc>
          <w:tcPr>
            <w:tcW w:w="1221" w:type="dxa"/>
            <w:noWrap w:val="0"/>
            <w:vAlign w:val="center"/>
          </w:tcPr>
          <w:p w14:paraId="17260C92">
            <w:pPr>
              <w:pStyle w:val="93"/>
              <w:keepNext w:val="0"/>
              <w:keepLines w:val="0"/>
              <w:pageBreakBefore w:val="0"/>
              <w:suppressLineNumbers w:val="0"/>
              <w:kinsoku/>
              <w:wordWrap/>
              <w:overflowPunct/>
              <w:topLinePunct w:val="0"/>
              <w:autoSpaceDE/>
              <w:autoSpaceDN/>
              <w:bidi w:val="0"/>
              <w:spacing w:before="0" w:beforeLines="0" w:beforeAutospacing="0" w:after="0" w:afterLines="0" w:afterAutospacing="0" w:line="240" w:lineRule="auto"/>
              <w:ind w:left="0" w:right="0"/>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+0.01</w:t>
            </w:r>
          </w:p>
        </w:tc>
      </w:tr>
      <w:tr w14:paraId="178D675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1304" w:type="dxa"/>
            <w:vMerge w:val="continue"/>
            <w:noWrap w:val="0"/>
            <w:vAlign w:val="center"/>
          </w:tcPr>
          <w:p w14:paraId="75C9BBEA">
            <w:pPr>
              <w:pStyle w:val="93"/>
              <w:keepNext w:val="0"/>
              <w:keepLines w:val="0"/>
              <w:pageBreakBefore w:val="0"/>
              <w:suppressLineNumbers w:val="0"/>
              <w:kinsoku/>
              <w:wordWrap/>
              <w:overflowPunct/>
              <w:topLinePunct w:val="0"/>
              <w:autoSpaceDE/>
              <w:autoSpaceDN/>
              <w:bidi w:val="0"/>
              <w:spacing w:before="0" w:beforeLines="0" w:beforeAutospacing="0" w:after="0" w:afterLines="0" w:afterAutospacing="0" w:line="240" w:lineRule="auto"/>
              <w:ind w:left="0" w:right="0"/>
              <w:textAlignment w:val="auto"/>
              <w:rPr>
                <w:rFonts w:hint="eastAsia" w:ascii="Times New Roman" w:hAnsi="Times New Roman" w:cs="Times New Roman"/>
                <w:snapToGrid w:val="0"/>
                <w:kern w:val="21"/>
                <w:sz w:val="21"/>
                <w:szCs w:val="21"/>
                <w:lang w:val="en-US" w:eastAsia="zh-CN"/>
              </w:rPr>
            </w:pPr>
          </w:p>
        </w:tc>
        <w:tc>
          <w:tcPr>
            <w:tcW w:w="1940" w:type="dxa"/>
            <w:noWrap w:val="0"/>
            <w:vAlign w:val="center"/>
          </w:tcPr>
          <w:p w14:paraId="0D38F27F">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cs="Times New Roman"/>
                <w:szCs w:val="21"/>
                <w:lang w:val="en-US" w:eastAsia="zh-CN"/>
              </w:rPr>
            </w:pPr>
            <w:r>
              <w:rPr>
                <w:rFonts w:hint="eastAsia" w:cs="Times New Roman"/>
                <w:szCs w:val="21"/>
                <w:lang w:val="en-US" w:eastAsia="zh-CN"/>
              </w:rPr>
              <w:t>废胶粘剂桶</w:t>
            </w:r>
          </w:p>
        </w:tc>
        <w:tc>
          <w:tcPr>
            <w:tcW w:w="1462" w:type="dxa"/>
            <w:noWrap w:val="0"/>
            <w:vAlign w:val="center"/>
          </w:tcPr>
          <w:p w14:paraId="470AB9CF">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Cs w:val="21"/>
                <w:lang w:val="en-US" w:eastAsia="zh-CN"/>
              </w:rPr>
            </w:pPr>
            <w:r>
              <w:rPr>
                <w:rFonts w:hint="eastAsia" w:cs="Times New Roman"/>
                <w:szCs w:val="21"/>
                <w:lang w:val="en-US" w:eastAsia="zh-CN"/>
              </w:rPr>
              <w:t>1.0</w:t>
            </w:r>
          </w:p>
        </w:tc>
        <w:tc>
          <w:tcPr>
            <w:tcW w:w="1276" w:type="dxa"/>
            <w:noWrap w:val="0"/>
            <w:vAlign w:val="center"/>
          </w:tcPr>
          <w:p w14:paraId="7B2F705D">
            <w:pPr>
              <w:pStyle w:val="119"/>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textAlignment w:val="auto"/>
              <w:rPr>
                <w:rFonts w:hint="default"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w:t>
            </w:r>
          </w:p>
        </w:tc>
        <w:tc>
          <w:tcPr>
            <w:tcW w:w="1701" w:type="dxa"/>
            <w:noWrap w:val="0"/>
            <w:vAlign w:val="center"/>
          </w:tcPr>
          <w:p w14:paraId="6AA7389E">
            <w:pPr>
              <w:pStyle w:val="119"/>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textAlignment w:val="auto"/>
              <w:rPr>
                <w:rFonts w:hint="default"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w:t>
            </w:r>
          </w:p>
        </w:tc>
        <w:tc>
          <w:tcPr>
            <w:tcW w:w="1559" w:type="dxa"/>
            <w:noWrap w:val="0"/>
            <w:vAlign w:val="center"/>
          </w:tcPr>
          <w:p w14:paraId="5C17D290">
            <w:pPr>
              <w:pStyle w:val="119"/>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textAlignment w:val="auto"/>
              <w:rPr>
                <w:rFonts w:hint="default"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w:t>
            </w:r>
          </w:p>
        </w:tc>
        <w:tc>
          <w:tcPr>
            <w:tcW w:w="1761" w:type="dxa"/>
            <w:noWrap w:val="0"/>
            <w:vAlign w:val="center"/>
          </w:tcPr>
          <w:p w14:paraId="30841E37">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bCs/>
                <w:color w:val="auto"/>
                <w:szCs w:val="21"/>
                <w:lang w:val="en-US" w:eastAsia="zh-CN"/>
              </w:rPr>
            </w:pPr>
            <w:r>
              <w:rPr>
                <w:rFonts w:hint="eastAsia" w:cs="Times New Roman"/>
                <w:bCs/>
                <w:color w:val="auto"/>
                <w:szCs w:val="21"/>
                <w:lang w:val="en-US" w:eastAsia="zh-CN"/>
              </w:rPr>
              <w:t>/</w:t>
            </w:r>
          </w:p>
        </w:tc>
        <w:tc>
          <w:tcPr>
            <w:tcW w:w="1564" w:type="dxa"/>
            <w:shd w:val="clear" w:color="auto" w:fill="auto"/>
            <w:noWrap w:val="0"/>
            <w:vAlign w:val="center"/>
          </w:tcPr>
          <w:p w14:paraId="46B3229D">
            <w:pPr>
              <w:pStyle w:val="119"/>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textAlignment w:val="auto"/>
              <w:rPr>
                <w:rFonts w:hint="default"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1.0</w:t>
            </w:r>
          </w:p>
        </w:tc>
        <w:tc>
          <w:tcPr>
            <w:tcW w:w="1221" w:type="dxa"/>
            <w:noWrap w:val="0"/>
            <w:vAlign w:val="center"/>
          </w:tcPr>
          <w:p w14:paraId="0731DBF6">
            <w:pPr>
              <w:pStyle w:val="93"/>
              <w:keepNext w:val="0"/>
              <w:keepLines w:val="0"/>
              <w:pageBreakBefore w:val="0"/>
              <w:suppressLineNumbers w:val="0"/>
              <w:kinsoku/>
              <w:wordWrap/>
              <w:overflowPunct/>
              <w:topLinePunct w:val="0"/>
              <w:autoSpaceDE/>
              <w:autoSpaceDN/>
              <w:bidi w:val="0"/>
              <w:spacing w:before="0" w:beforeLines="0" w:beforeAutospacing="0" w:after="0" w:afterLines="0" w:afterAutospacing="0" w:line="240" w:lineRule="auto"/>
              <w:ind w:left="0" w:right="0"/>
              <w:textAlignment w:val="auto"/>
              <w:rPr>
                <w:rFonts w:hint="default" w:ascii="Times New Roman" w:hAnsi="Times New Roman" w:eastAsia="宋体" w:cs="Times New Roman"/>
                <w:color w:val="auto"/>
                <w:sz w:val="21"/>
                <w:szCs w:val="21"/>
                <w:lang w:val="en-US" w:eastAsia="zh-CN"/>
              </w:rPr>
            </w:pPr>
            <w:r>
              <w:rPr>
                <w:rFonts w:hint="eastAsia" w:ascii="Times New Roman" w:cs="Times New Roman"/>
                <w:color w:val="auto"/>
                <w:sz w:val="21"/>
                <w:szCs w:val="21"/>
                <w:lang w:val="en-US" w:eastAsia="zh-CN"/>
              </w:rPr>
              <w:t>0</w:t>
            </w:r>
          </w:p>
        </w:tc>
      </w:tr>
      <w:tr w14:paraId="36945C0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1304" w:type="dxa"/>
            <w:vMerge w:val="continue"/>
            <w:noWrap w:val="0"/>
            <w:vAlign w:val="center"/>
          </w:tcPr>
          <w:p w14:paraId="6B8EA179">
            <w:pPr>
              <w:pStyle w:val="93"/>
              <w:keepNext w:val="0"/>
              <w:keepLines w:val="0"/>
              <w:pageBreakBefore w:val="0"/>
              <w:suppressLineNumbers w:val="0"/>
              <w:kinsoku/>
              <w:wordWrap/>
              <w:overflowPunct/>
              <w:topLinePunct w:val="0"/>
              <w:autoSpaceDE/>
              <w:autoSpaceDN/>
              <w:bidi w:val="0"/>
              <w:spacing w:before="0" w:beforeLines="0" w:beforeAutospacing="0" w:after="0" w:afterLines="0" w:afterAutospacing="0" w:line="240" w:lineRule="auto"/>
              <w:ind w:left="0" w:right="0"/>
              <w:textAlignment w:val="auto"/>
              <w:rPr>
                <w:rFonts w:hint="default" w:ascii="Times New Roman" w:hAnsi="Times New Roman" w:cs="Times New Roman"/>
                <w:snapToGrid w:val="0"/>
                <w:kern w:val="21"/>
                <w:sz w:val="21"/>
                <w:szCs w:val="21"/>
                <w:lang w:val="en-US" w:eastAsia="zh-CN"/>
              </w:rPr>
            </w:pPr>
          </w:p>
        </w:tc>
        <w:tc>
          <w:tcPr>
            <w:tcW w:w="1940" w:type="dxa"/>
            <w:noWrap w:val="0"/>
            <w:vAlign w:val="center"/>
          </w:tcPr>
          <w:p w14:paraId="4CC6B485">
            <w:pPr>
              <w:pStyle w:val="244"/>
              <w:keepNext w:val="0"/>
              <w:keepLines w:val="0"/>
              <w:suppressLineNumbers w:val="0"/>
              <w:spacing w:before="0" w:beforeAutospacing="0" w:after="0" w:afterAutospacing="0"/>
              <w:ind w:left="0" w:right="0"/>
              <w:rPr>
                <w:rFonts w:hint="eastAsia" w:ascii="Times New Roman" w:hAnsi="Times New Roman" w:cs="Times New Roman"/>
                <w:snapToGrid w:val="0"/>
                <w:color w:val="auto"/>
                <w:kern w:val="2"/>
                <w:sz w:val="21"/>
                <w:szCs w:val="21"/>
                <w:lang w:val="en-US" w:eastAsia="zh-CN" w:bidi="ar-SA"/>
              </w:rPr>
            </w:pPr>
            <w:r>
              <w:rPr>
                <w:rFonts w:hint="default" w:ascii="Times New Roman" w:hAnsi="Times New Roman" w:cs="Times New Roman"/>
                <w:color w:val="auto"/>
                <w:sz w:val="21"/>
                <w:szCs w:val="21"/>
                <w:lang w:val="en-US" w:eastAsia="zh-CN"/>
              </w:rPr>
              <w:t>废活性炭</w:t>
            </w:r>
          </w:p>
        </w:tc>
        <w:tc>
          <w:tcPr>
            <w:tcW w:w="1462" w:type="dxa"/>
            <w:noWrap w:val="0"/>
            <w:vAlign w:val="center"/>
          </w:tcPr>
          <w:p w14:paraId="372E159C">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kern w:val="2"/>
                <w:sz w:val="21"/>
                <w:szCs w:val="21"/>
                <w:lang w:val="en-US" w:eastAsia="zh-CN" w:bidi="ar-SA"/>
              </w:rPr>
            </w:pPr>
            <w:r>
              <w:rPr>
                <w:rFonts w:hint="eastAsia" w:ascii="Times New Roman" w:hAnsi="Times New Roman" w:cs="Times New Roman"/>
                <w:szCs w:val="21"/>
                <w:lang w:val="en-US" w:eastAsia="zh-CN"/>
              </w:rPr>
              <w:t>18.68</w:t>
            </w:r>
          </w:p>
        </w:tc>
        <w:tc>
          <w:tcPr>
            <w:tcW w:w="1276" w:type="dxa"/>
            <w:noWrap w:val="0"/>
            <w:vAlign w:val="center"/>
          </w:tcPr>
          <w:p w14:paraId="68600B95">
            <w:pPr>
              <w:pStyle w:val="93"/>
              <w:keepNext w:val="0"/>
              <w:keepLines w:val="0"/>
              <w:pageBreakBefore w:val="0"/>
              <w:suppressLineNumbers w:val="0"/>
              <w:kinsoku/>
              <w:wordWrap/>
              <w:overflowPunct/>
              <w:topLinePunct w:val="0"/>
              <w:autoSpaceDE/>
              <w:autoSpaceDN/>
              <w:bidi w:val="0"/>
              <w:spacing w:before="0" w:beforeLines="0" w:beforeAutospacing="0" w:after="0" w:afterLines="0" w:afterAutospacing="0" w:line="240" w:lineRule="auto"/>
              <w:ind w:left="0" w:right="0"/>
              <w:textAlignment w:val="auto"/>
              <w:rPr>
                <w:rFonts w:hint="default" w:ascii="Times New Roman" w:hAnsi="Times New Roman" w:cs="Times New Roman"/>
                <w:bCs/>
                <w:kern w:val="2"/>
                <w:sz w:val="21"/>
                <w:szCs w:val="21"/>
                <w:lang w:val="en-US" w:eastAsia="zh-CN" w:bidi="ar-SA"/>
              </w:rPr>
            </w:pPr>
            <w:r>
              <w:rPr>
                <w:rFonts w:hint="eastAsia" w:ascii="Times New Roman" w:cs="Times New Roman"/>
                <w:bCs/>
                <w:kern w:val="2"/>
                <w:sz w:val="21"/>
                <w:szCs w:val="21"/>
                <w:lang w:val="en-US" w:eastAsia="zh-CN"/>
              </w:rPr>
              <w:t>/</w:t>
            </w:r>
          </w:p>
        </w:tc>
        <w:tc>
          <w:tcPr>
            <w:tcW w:w="1701" w:type="dxa"/>
            <w:noWrap w:val="0"/>
            <w:vAlign w:val="center"/>
          </w:tcPr>
          <w:p w14:paraId="23D88EBD">
            <w:pPr>
              <w:pStyle w:val="119"/>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textAlignment w:val="auto"/>
              <w:rPr>
                <w:rFonts w:hint="eastAsia" w:ascii="Times New Roman" w:hAnsi="Times New Roman" w:eastAsia="宋体" w:cs="Times New Roman"/>
                <w:bCs/>
                <w:kern w:val="2"/>
                <w:sz w:val="21"/>
                <w:szCs w:val="21"/>
                <w:lang w:val="en-US" w:eastAsia="zh-CN" w:bidi="ar-SA"/>
              </w:rPr>
            </w:pPr>
            <w:r>
              <w:rPr>
                <w:rFonts w:hint="eastAsia" w:ascii="Times New Roman"/>
                <w:bCs/>
                <w:kern w:val="2"/>
                <w:sz w:val="21"/>
                <w:szCs w:val="21"/>
                <w:lang w:val="en-US" w:eastAsia="zh-CN"/>
              </w:rPr>
              <w:t>/</w:t>
            </w:r>
          </w:p>
        </w:tc>
        <w:tc>
          <w:tcPr>
            <w:tcW w:w="1559" w:type="dxa"/>
            <w:noWrap w:val="0"/>
            <w:vAlign w:val="center"/>
          </w:tcPr>
          <w:p w14:paraId="677D6B5F">
            <w:pPr>
              <w:pStyle w:val="119"/>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textAlignment w:val="auto"/>
              <w:rPr>
                <w:rFonts w:hint="default" w:ascii="Times New Roman" w:hAnsi="Times New Roman" w:eastAsia="宋体" w:cs="Times New Roman"/>
                <w:bCs/>
                <w:kern w:val="2"/>
                <w:sz w:val="21"/>
                <w:szCs w:val="21"/>
                <w:lang w:val="en-US" w:eastAsia="zh-CN" w:bidi="ar-SA"/>
              </w:rPr>
            </w:pPr>
            <w:r>
              <w:rPr>
                <w:rFonts w:hint="eastAsia" w:ascii="Times New Roman" w:hAnsi="Times New Roman" w:eastAsia="宋体" w:cs="Times New Roman"/>
                <w:bCs/>
                <w:sz w:val="21"/>
                <w:szCs w:val="21"/>
                <w:lang w:val="en-US" w:eastAsia="zh-CN"/>
              </w:rPr>
              <w:t>19.012</w:t>
            </w:r>
          </w:p>
        </w:tc>
        <w:tc>
          <w:tcPr>
            <w:tcW w:w="1761" w:type="dxa"/>
            <w:noWrap w:val="0"/>
            <w:vAlign w:val="center"/>
          </w:tcPr>
          <w:p w14:paraId="6AEEF447">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bCs/>
                <w:color w:val="auto"/>
                <w:kern w:val="2"/>
                <w:sz w:val="21"/>
                <w:szCs w:val="21"/>
                <w:lang w:val="en-US" w:eastAsia="zh-CN" w:bidi="ar-SA"/>
              </w:rPr>
            </w:pPr>
            <w:r>
              <w:rPr>
                <w:rFonts w:hint="eastAsia" w:ascii="Times New Roman" w:hAnsi="Times New Roman" w:cs="Times New Roman"/>
                <w:bCs/>
                <w:color w:val="auto"/>
                <w:szCs w:val="21"/>
                <w:lang w:val="en-US" w:eastAsia="zh-CN"/>
              </w:rPr>
              <w:t>18.68</w:t>
            </w:r>
          </w:p>
        </w:tc>
        <w:tc>
          <w:tcPr>
            <w:tcW w:w="1564" w:type="dxa"/>
            <w:shd w:val="clear" w:color="auto" w:fill="auto"/>
            <w:noWrap w:val="0"/>
            <w:vAlign w:val="center"/>
          </w:tcPr>
          <w:p w14:paraId="65110A47">
            <w:pPr>
              <w:pStyle w:val="119"/>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textAlignment w:val="auto"/>
              <w:rPr>
                <w:rFonts w:hint="default" w:ascii="Times New Roman" w:hAnsi="Times New Roman" w:eastAsia="宋体" w:cs="Times New Roman"/>
                <w:bCs/>
                <w:kern w:val="2"/>
                <w:sz w:val="21"/>
                <w:szCs w:val="21"/>
                <w:lang w:val="en-US" w:eastAsia="zh-CN" w:bidi="ar-SA"/>
              </w:rPr>
            </w:pPr>
            <w:r>
              <w:rPr>
                <w:rFonts w:hint="eastAsia" w:ascii="Times New Roman" w:hAnsi="Times New Roman" w:eastAsia="宋体" w:cs="Times New Roman"/>
                <w:bCs/>
                <w:sz w:val="21"/>
                <w:szCs w:val="21"/>
                <w:lang w:val="en-US" w:eastAsia="zh-CN"/>
              </w:rPr>
              <w:t>19.012</w:t>
            </w:r>
          </w:p>
        </w:tc>
        <w:tc>
          <w:tcPr>
            <w:tcW w:w="1221" w:type="dxa"/>
            <w:noWrap w:val="0"/>
            <w:vAlign w:val="center"/>
          </w:tcPr>
          <w:p w14:paraId="4813E63C">
            <w:pPr>
              <w:pStyle w:val="93"/>
              <w:keepNext w:val="0"/>
              <w:keepLines w:val="0"/>
              <w:pageBreakBefore w:val="0"/>
              <w:suppressLineNumbers w:val="0"/>
              <w:kinsoku/>
              <w:wordWrap/>
              <w:overflowPunct/>
              <w:topLinePunct w:val="0"/>
              <w:autoSpaceDE/>
              <w:autoSpaceDN/>
              <w:bidi w:val="0"/>
              <w:spacing w:before="0" w:beforeLines="0" w:beforeAutospacing="0" w:after="0" w:afterLines="0" w:afterAutospacing="0" w:line="240" w:lineRule="auto"/>
              <w:ind w:left="0" w:right="0"/>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cs="Times New Roman"/>
                <w:color w:val="auto"/>
                <w:sz w:val="21"/>
                <w:szCs w:val="21"/>
                <w:lang w:val="en-US" w:eastAsia="zh-CN"/>
              </w:rPr>
              <w:t>+0.332</w:t>
            </w:r>
          </w:p>
        </w:tc>
      </w:tr>
      <w:tr w14:paraId="1F998D0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1304" w:type="dxa"/>
            <w:vMerge w:val="continue"/>
            <w:noWrap w:val="0"/>
            <w:vAlign w:val="center"/>
          </w:tcPr>
          <w:p w14:paraId="45858A7A">
            <w:pPr>
              <w:pStyle w:val="93"/>
              <w:keepNext w:val="0"/>
              <w:keepLines w:val="0"/>
              <w:pageBreakBefore w:val="0"/>
              <w:suppressLineNumbers w:val="0"/>
              <w:kinsoku/>
              <w:wordWrap/>
              <w:overflowPunct/>
              <w:topLinePunct w:val="0"/>
              <w:autoSpaceDE/>
              <w:autoSpaceDN/>
              <w:bidi w:val="0"/>
              <w:spacing w:before="0" w:beforeLines="0" w:beforeAutospacing="0" w:after="0" w:afterLines="0" w:afterAutospacing="0" w:line="240" w:lineRule="auto"/>
              <w:ind w:left="0" w:right="0"/>
              <w:textAlignment w:val="auto"/>
              <w:rPr>
                <w:rFonts w:hint="default" w:ascii="Times New Roman" w:hAnsi="Times New Roman" w:cs="Times New Roman"/>
                <w:snapToGrid w:val="0"/>
                <w:kern w:val="21"/>
                <w:sz w:val="21"/>
                <w:szCs w:val="21"/>
                <w:lang w:val="en-US" w:eastAsia="zh-CN"/>
              </w:rPr>
            </w:pPr>
          </w:p>
        </w:tc>
        <w:tc>
          <w:tcPr>
            <w:tcW w:w="1940" w:type="dxa"/>
            <w:noWrap w:val="0"/>
            <w:vAlign w:val="center"/>
          </w:tcPr>
          <w:p w14:paraId="5A44ACB6">
            <w:pPr>
              <w:pStyle w:val="244"/>
              <w:keepNext w:val="0"/>
              <w:keepLines w:val="0"/>
              <w:suppressLineNumbers w:val="0"/>
              <w:spacing w:before="0" w:beforeAutospacing="0" w:after="0" w:afterAutospacing="0"/>
              <w:ind w:left="0" w:right="0"/>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废过滤介质</w:t>
            </w:r>
          </w:p>
        </w:tc>
        <w:tc>
          <w:tcPr>
            <w:tcW w:w="1462" w:type="dxa"/>
            <w:noWrap w:val="0"/>
            <w:vAlign w:val="center"/>
          </w:tcPr>
          <w:p w14:paraId="1357CB92">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szCs w:val="21"/>
                <w:highlight w:val="none"/>
                <w:lang w:val="en-US" w:eastAsia="zh-CN"/>
              </w:rPr>
            </w:pPr>
            <w:r>
              <w:rPr>
                <w:rFonts w:hint="eastAsia" w:cs="Times New Roman"/>
                <w:szCs w:val="21"/>
                <w:highlight w:val="none"/>
                <w:lang w:val="en-US" w:eastAsia="zh-CN"/>
              </w:rPr>
              <w:t>0</w:t>
            </w:r>
          </w:p>
        </w:tc>
        <w:tc>
          <w:tcPr>
            <w:tcW w:w="1276" w:type="dxa"/>
            <w:noWrap w:val="0"/>
            <w:vAlign w:val="center"/>
          </w:tcPr>
          <w:p w14:paraId="18198B3A">
            <w:pPr>
              <w:pStyle w:val="93"/>
              <w:keepNext w:val="0"/>
              <w:keepLines w:val="0"/>
              <w:pageBreakBefore w:val="0"/>
              <w:suppressLineNumbers w:val="0"/>
              <w:kinsoku/>
              <w:wordWrap/>
              <w:overflowPunct/>
              <w:topLinePunct w:val="0"/>
              <w:autoSpaceDE/>
              <w:autoSpaceDN/>
              <w:bidi w:val="0"/>
              <w:spacing w:before="0" w:beforeLines="0" w:beforeAutospacing="0" w:after="0" w:afterLines="0" w:afterAutospacing="0" w:line="240" w:lineRule="auto"/>
              <w:ind w:left="0" w:right="0"/>
              <w:textAlignment w:val="auto"/>
              <w:rPr>
                <w:rFonts w:hint="default" w:ascii="Times New Roman" w:cs="Times New Roman"/>
                <w:bCs/>
                <w:kern w:val="2"/>
                <w:sz w:val="21"/>
                <w:szCs w:val="21"/>
                <w:highlight w:val="none"/>
                <w:lang w:val="en-US" w:eastAsia="zh-CN"/>
              </w:rPr>
            </w:pPr>
            <w:r>
              <w:rPr>
                <w:rFonts w:hint="eastAsia" w:ascii="Times New Roman" w:cs="Times New Roman"/>
                <w:bCs/>
                <w:kern w:val="2"/>
                <w:sz w:val="21"/>
                <w:szCs w:val="21"/>
                <w:highlight w:val="none"/>
                <w:lang w:val="en-US" w:eastAsia="zh-CN"/>
              </w:rPr>
              <w:t>/</w:t>
            </w:r>
          </w:p>
        </w:tc>
        <w:tc>
          <w:tcPr>
            <w:tcW w:w="1701" w:type="dxa"/>
            <w:noWrap w:val="0"/>
            <w:vAlign w:val="center"/>
          </w:tcPr>
          <w:p w14:paraId="641E3BBA">
            <w:pPr>
              <w:pStyle w:val="119"/>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textAlignment w:val="auto"/>
              <w:rPr>
                <w:rFonts w:hint="default" w:ascii="Times New Roman"/>
                <w:bCs/>
                <w:kern w:val="2"/>
                <w:sz w:val="21"/>
                <w:szCs w:val="21"/>
                <w:highlight w:val="none"/>
                <w:lang w:val="en-US" w:eastAsia="zh-CN"/>
              </w:rPr>
            </w:pPr>
            <w:r>
              <w:rPr>
                <w:rFonts w:hint="eastAsia" w:ascii="Times New Roman"/>
                <w:bCs/>
                <w:kern w:val="2"/>
                <w:sz w:val="21"/>
                <w:szCs w:val="21"/>
                <w:highlight w:val="none"/>
                <w:lang w:val="en-US" w:eastAsia="zh-CN"/>
              </w:rPr>
              <w:t>/</w:t>
            </w:r>
          </w:p>
        </w:tc>
        <w:tc>
          <w:tcPr>
            <w:tcW w:w="1559" w:type="dxa"/>
            <w:noWrap w:val="0"/>
            <w:vAlign w:val="center"/>
          </w:tcPr>
          <w:p w14:paraId="5F1D0F92">
            <w:pPr>
              <w:pStyle w:val="119"/>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textAlignment w:val="auto"/>
              <w:rPr>
                <w:rFonts w:hint="default" w:ascii="Times New Roman" w:hAnsi="Times New Roman" w:eastAsia="宋体" w:cs="Times New Roman"/>
                <w:bCs/>
                <w:sz w:val="21"/>
                <w:szCs w:val="21"/>
                <w:highlight w:val="none"/>
                <w:lang w:val="en-US" w:eastAsia="zh-CN"/>
              </w:rPr>
            </w:pPr>
            <w:r>
              <w:rPr>
                <w:rFonts w:hint="eastAsia" w:ascii="Times New Roman" w:hAnsi="Times New Roman" w:eastAsia="宋体" w:cs="Times New Roman"/>
                <w:bCs/>
                <w:sz w:val="21"/>
                <w:szCs w:val="21"/>
                <w:highlight w:val="none"/>
                <w:lang w:val="en-US" w:eastAsia="zh-CN"/>
              </w:rPr>
              <w:t>0.1</w:t>
            </w:r>
          </w:p>
        </w:tc>
        <w:tc>
          <w:tcPr>
            <w:tcW w:w="1761" w:type="dxa"/>
            <w:noWrap w:val="0"/>
            <w:vAlign w:val="center"/>
          </w:tcPr>
          <w:p w14:paraId="42FB37BE">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bCs/>
                <w:color w:val="auto"/>
                <w:szCs w:val="21"/>
                <w:highlight w:val="none"/>
                <w:lang w:val="en-US" w:eastAsia="zh-CN"/>
              </w:rPr>
            </w:pPr>
            <w:r>
              <w:rPr>
                <w:rFonts w:hint="eastAsia" w:cs="Times New Roman"/>
                <w:bCs/>
                <w:color w:val="auto"/>
                <w:szCs w:val="21"/>
                <w:highlight w:val="none"/>
                <w:lang w:val="en-US" w:eastAsia="zh-CN"/>
              </w:rPr>
              <w:t>0</w:t>
            </w:r>
          </w:p>
        </w:tc>
        <w:tc>
          <w:tcPr>
            <w:tcW w:w="1564" w:type="dxa"/>
            <w:shd w:val="clear" w:color="auto" w:fill="auto"/>
            <w:noWrap w:val="0"/>
            <w:vAlign w:val="center"/>
          </w:tcPr>
          <w:p w14:paraId="18D355D0">
            <w:pPr>
              <w:pStyle w:val="119"/>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textAlignment w:val="auto"/>
              <w:rPr>
                <w:rFonts w:hint="default" w:ascii="Times New Roman" w:hAnsi="Times New Roman" w:eastAsia="宋体" w:cs="Times New Roman"/>
                <w:bCs/>
                <w:sz w:val="21"/>
                <w:szCs w:val="21"/>
                <w:highlight w:val="none"/>
                <w:lang w:val="en-US" w:eastAsia="zh-CN"/>
              </w:rPr>
            </w:pPr>
            <w:r>
              <w:rPr>
                <w:rFonts w:hint="eastAsia" w:ascii="Times New Roman" w:hAnsi="Times New Roman" w:eastAsia="宋体" w:cs="Times New Roman"/>
                <w:bCs/>
                <w:sz w:val="21"/>
                <w:szCs w:val="21"/>
                <w:highlight w:val="none"/>
                <w:lang w:val="en-US" w:eastAsia="zh-CN"/>
              </w:rPr>
              <w:t>0.1</w:t>
            </w:r>
          </w:p>
        </w:tc>
        <w:tc>
          <w:tcPr>
            <w:tcW w:w="1221" w:type="dxa"/>
            <w:noWrap w:val="0"/>
            <w:vAlign w:val="center"/>
          </w:tcPr>
          <w:p w14:paraId="159582A2">
            <w:pPr>
              <w:pStyle w:val="93"/>
              <w:keepNext w:val="0"/>
              <w:keepLines w:val="0"/>
              <w:pageBreakBefore w:val="0"/>
              <w:suppressLineNumbers w:val="0"/>
              <w:kinsoku/>
              <w:wordWrap/>
              <w:overflowPunct/>
              <w:topLinePunct w:val="0"/>
              <w:autoSpaceDE/>
              <w:autoSpaceDN/>
              <w:bidi w:val="0"/>
              <w:spacing w:before="0" w:beforeLines="0" w:beforeAutospacing="0" w:after="0" w:afterLines="0" w:afterAutospacing="0" w:line="240" w:lineRule="auto"/>
              <w:ind w:left="0" w:right="0"/>
              <w:textAlignment w:val="auto"/>
              <w:rPr>
                <w:rFonts w:hint="default" w:ascii="Times New Roman" w:cs="Times New Roman"/>
                <w:color w:val="auto"/>
                <w:sz w:val="21"/>
                <w:szCs w:val="21"/>
                <w:highlight w:val="none"/>
                <w:lang w:val="en-US" w:eastAsia="zh-CN"/>
              </w:rPr>
            </w:pPr>
            <w:r>
              <w:rPr>
                <w:rFonts w:hint="eastAsia" w:ascii="Times New Roman" w:cs="Times New Roman"/>
                <w:color w:val="auto"/>
                <w:sz w:val="21"/>
                <w:szCs w:val="21"/>
                <w:highlight w:val="none"/>
                <w:lang w:val="en-US" w:eastAsia="zh-CN"/>
              </w:rPr>
              <w:t>+0.1</w:t>
            </w:r>
          </w:p>
        </w:tc>
      </w:tr>
      <w:tr w14:paraId="404EF5B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1304" w:type="dxa"/>
            <w:noWrap w:val="0"/>
            <w:vAlign w:val="center"/>
          </w:tcPr>
          <w:p w14:paraId="55251640">
            <w:pPr>
              <w:pStyle w:val="93"/>
              <w:keepNext w:val="0"/>
              <w:keepLines w:val="0"/>
              <w:pageBreakBefore w:val="0"/>
              <w:suppressLineNumbers w:val="0"/>
              <w:kinsoku/>
              <w:wordWrap/>
              <w:overflowPunct/>
              <w:topLinePunct w:val="0"/>
              <w:autoSpaceDE/>
              <w:autoSpaceDN/>
              <w:bidi w:val="0"/>
              <w:spacing w:before="0" w:beforeLines="0" w:beforeAutospacing="0" w:after="0" w:afterLines="0" w:afterAutospacing="0" w:line="240" w:lineRule="auto"/>
              <w:ind w:left="0" w:right="0"/>
              <w:textAlignment w:val="auto"/>
              <w:rPr>
                <w:rFonts w:hint="eastAsia" w:ascii="Times New Roman" w:hAnsi="Times New Roman" w:cs="Times New Roman"/>
                <w:snapToGrid w:val="0"/>
                <w:kern w:val="21"/>
                <w:sz w:val="21"/>
                <w:szCs w:val="21"/>
                <w:lang w:val="en-US" w:eastAsia="zh-CN" w:bidi="ar-SA"/>
              </w:rPr>
            </w:pPr>
            <w:r>
              <w:rPr>
                <w:rFonts w:hint="eastAsia" w:ascii="Times New Roman" w:hAnsi="Times New Roman" w:cs="Times New Roman"/>
                <w:snapToGrid w:val="0"/>
                <w:kern w:val="21"/>
                <w:sz w:val="21"/>
                <w:szCs w:val="21"/>
                <w:lang w:val="en-US" w:eastAsia="zh-CN"/>
              </w:rPr>
              <w:t>生活垃圾</w:t>
            </w:r>
          </w:p>
        </w:tc>
        <w:tc>
          <w:tcPr>
            <w:tcW w:w="1940" w:type="dxa"/>
            <w:noWrap w:val="0"/>
            <w:vAlign w:val="center"/>
          </w:tcPr>
          <w:p w14:paraId="596B3079">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Times New Roman" w:hAnsi="Times New Roman" w:eastAsia="宋体" w:cs="Times New Roman"/>
                <w:kern w:val="2"/>
                <w:sz w:val="21"/>
                <w:szCs w:val="21"/>
                <w:lang w:val="en-US" w:eastAsia="zh-CN" w:bidi="ar-SA"/>
              </w:rPr>
            </w:pPr>
            <w:r>
              <w:rPr>
                <w:rFonts w:hint="default" w:ascii="Times New Roman" w:hAnsi="Times New Roman" w:cs="Times New Roman"/>
                <w:kern w:val="0"/>
                <w:szCs w:val="21"/>
              </w:rPr>
              <w:t>生活垃圾</w:t>
            </w:r>
          </w:p>
        </w:tc>
        <w:tc>
          <w:tcPr>
            <w:tcW w:w="1462" w:type="dxa"/>
            <w:noWrap w:val="0"/>
            <w:vAlign w:val="center"/>
          </w:tcPr>
          <w:p w14:paraId="21BC348D">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Times New Roman" w:hAnsi="Times New Roman" w:eastAsia="宋体" w:cs="Times New Roman"/>
                <w:bCs/>
                <w:kern w:val="2"/>
                <w:sz w:val="21"/>
                <w:szCs w:val="21"/>
                <w:lang w:val="en-US" w:eastAsia="zh-CN" w:bidi="ar-SA"/>
              </w:rPr>
            </w:pPr>
            <w:r>
              <w:rPr>
                <w:rFonts w:hint="eastAsia" w:ascii="Times New Roman" w:hAnsi="Times New Roman" w:eastAsia="宋体" w:cs="Times New Roman"/>
                <w:szCs w:val="21"/>
                <w:lang w:val="en-US" w:eastAsia="zh-CN"/>
              </w:rPr>
              <w:t>8.4</w:t>
            </w:r>
          </w:p>
        </w:tc>
        <w:tc>
          <w:tcPr>
            <w:tcW w:w="1276" w:type="dxa"/>
            <w:noWrap w:val="0"/>
            <w:vAlign w:val="center"/>
          </w:tcPr>
          <w:p w14:paraId="7992EE4B">
            <w:pPr>
              <w:pStyle w:val="119"/>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textAlignment w:val="auto"/>
              <w:rPr>
                <w:rFonts w:hint="default" w:ascii="Times New Roman" w:hAnsi="Times New Roman" w:eastAsia="宋体" w:cs="Times New Roman"/>
                <w:bCs/>
                <w:kern w:val="2"/>
                <w:sz w:val="21"/>
                <w:szCs w:val="21"/>
                <w:lang w:val="en-US" w:eastAsia="zh-CN" w:bidi="ar-SA"/>
              </w:rPr>
            </w:pPr>
            <w:r>
              <w:rPr>
                <w:rFonts w:hint="eastAsia" w:ascii="Times New Roman" w:hAnsi="Times New Roman" w:eastAsia="宋体" w:cs="Times New Roman"/>
                <w:bCs/>
                <w:sz w:val="21"/>
                <w:szCs w:val="21"/>
                <w:lang w:val="en-US" w:eastAsia="zh-CN"/>
              </w:rPr>
              <w:t>/</w:t>
            </w:r>
          </w:p>
        </w:tc>
        <w:tc>
          <w:tcPr>
            <w:tcW w:w="1701" w:type="dxa"/>
            <w:noWrap w:val="0"/>
            <w:vAlign w:val="center"/>
          </w:tcPr>
          <w:p w14:paraId="362E312C">
            <w:pPr>
              <w:pStyle w:val="119"/>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textAlignment w:val="auto"/>
              <w:rPr>
                <w:rFonts w:hint="eastAsia" w:ascii="Times New Roman" w:hAnsi="Times New Roman" w:eastAsia="宋体" w:cs="Times New Roman"/>
                <w:bCs/>
                <w:kern w:val="2"/>
                <w:sz w:val="21"/>
                <w:szCs w:val="21"/>
                <w:lang w:val="en-US" w:eastAsia="zh-CN" w:bidi="ar-SA"/>
              </w:rPr>
            </w:pPr>
            <w:r>
              <w:rPr>
                <w:rFonts w:hint="eastAsia" w:ascii="Times New Roman" w:hAnsi="Times New Roman" w:eastAsia="宋体" w:cs="Times New Roman"/>
                <w:bCs/>
                <w:sz w:val="21"/>
                <w:szCs w:val="21"/>
              </w:rPr>
              <w:t>/</w:t>
            </w:r>
          </w:p>
        </w:tc>
        <w:tc>
          <w:tcPr>
            <w:tcW w:w="1559" w:type="dxa"/>
            <w:noWrap w:val="0"/>
            <w:vAlign w:val="center"/>
          </w:tcPr>
          <w:p w14:paraId="4DCB6ED5">
            <w:pPr>
              <w:pStyle w:val="119"/>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textAlignment w:val="auto"/>
              <w:rPr>
                <w:rFonts w:hint="eastAsia" w:ascii="Times New Roman" w:hAnsi="Times New Roman" w:eastAsia="宋体" w:cs="Times New Roman"/>
                <w:bCs/>
                <w:kern w:val="2"/>
                <w:sz w:val="21"/>
                <w:szCs w:val="21"/>
                <w:lang w:val="en-US" w:eastAsia="zh-CN" w:bidi="ar-SA"/>
              </w:rPr>
            </w:pPr>
            <w:r>
              <w:rPr>
                <w:rFonts w:hint="eastAsia" w:ascii="Times New Roman" w:hAnsi="Times New Roman" w:eastAsia="宋体" w:cs="Times New Roman"/>
                <w:bCs/>
                <w:sz w:val="21"/>
                <w:szCs w:val="21"/>
                <w:lang w:val="en-US" w:eastAsia="zh-CN"/>
              </w:rPr>
              <w:t>/</w:t>
            </w:r>
          </w:p>
        </w:tc>
        <w:tc>
          <w:tcPr>
            <w:tcW w:w="1761" w:type="dxa"/>
            <w:noWrap w:val="0"/>
            <w:vAlign w:val="center"/>
          </w:tcPr>
          <w:p w14:paraId="537DFAF9">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Times New Roman" w:hAnsi="Times New Roman" w:cs="Times New Roman"/>
                <w:bCs/>
                <w:kern w:val="2"/>
                <w:sz w:val="21"/>
                <w:szCs w:val="21"/>
                <w:lang w:val="en-US" w:eastAsia="zh-CN" w:bidi="ar-SA"/>
              </w:rPr>
            </w:pPr>
            <w:r>
              <w:rPr>
                <w:rFonts w:hint="eastAsia" w:cs="Times New Roman"/>
                <w:bCs/>
                <w:color w:val="auto"/>
                <w:szCs w:val="21"/>
                <w:lang w:val="en-US" w:eastAsia="zh-CN"/>
              </w:rPr>
              <w:t>/</w:t>
            </w:r>
          </w:p>
        </w:tc>
        <w:tc>
          <w:tcPr>
            <w:tcW w:w="1564" w:type="dxa"/>
            <w:shd w:val="clear" w:color="auto" w:fill="auto"/>
            <w:noWrap w:val="0"/>
            <w:vAlign w:val="center"/>
          </w:tcPr>
          <w:p w14:paraId="5D4ECE0E">
            <w:pPr>
              <w:pStyle w:val="119"/>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textAlignment w:val="auto"/>
              <w:rPr>
                <w:rFonts w:hint="eastAsia" w:ascii="Times New Roman" w:hAnsi="Times New Roman" w:eastAsia="宋体" w:cs="Times New Roman"/>
                <w:bCs/>
                <w:kern w:val="2"/>
                <w:sz w:val="21"/>
                <w:szCs w:val="21"/>
                <w:lang w:val="en-US" w:eastAsia="zh-CN" w:bidi="ar-SA"/>
              </w:rPr>
            </w:pPr>
            <w:r>
              <w:rPr>
                <w:rFonts w:hint="eastAsia" w:ascii="Times New Roman" w:hAnsi="Times New Roman" w:eastAsia="宋体" w:cs="Times New Roman"/>
                <w:bCs/>
                <w:sz w:val="21"/>
                <w:szCs w:val="21"/>
                <w:lang w:val="en-US" w:eastAsia="zh-CN"/>
              </w:rPr>
              <w:t>8.4</w:t>
            </w:r>
          </w:p>
        </w:tc>
        <w:tc>
          <w:tcPr>
            <w:tcW w:w="1221" w:type="dxa"/>
            <w:noWrap w:val="0"/>
            <w:vAlign w:val="center"/>
          </w:tcPr>
          <w:p w14:paraId="7B9E6779">
            <w:pPr>
              <w:pStyle w:val="93"/>
              <w:keepNext w:val="0"/>
              <w:keepLines w:val="0"/>
              <w:pageBreakBefore w:val="0"/>
              <w:suppressLineNumbers w:val="0"/>
              <w:kinsoku/>
              <w:wordWrap/>
              <w:overflowPunct/>
              <w:topLinePunct w:val="0"/>
              <w:autoSpaceDE/>
              <w:autoSpaceDN/>
              <w:bidi w:val="0"/>
              <w:spacing w:before="0" w:beforeLines="0" w:beforeAutospacing="0" w:after="0" w:afterLines="0" w:afterAutospacing="0" w:line="240" w:lineRule="auto"/>
              <w:ind w:left="0" w:right="0"/>
              <w:textAlignment w:val="auto"/>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0</w:t>
            </w:r>
          </w:p>
        </w:tc>
      </w:tr>
    </w:tbl>
    <w:p w14:paraId="75E44165">
      <w:pPr>
        <w:pStyle w:val="93"/>
        <w:spacing w:before="192" w:beforeLines="80" w:after="24"/>
        <w:ind w:left="-619" w:leftChars="-295"/>
        <w:jc w:val="left"/>
        <w:rPr>
          <w:rFonts w:ascii="Times New Roman" w:hAnsi="Times New Roman"/>
          <w:color w:val="auto"/>
          <w:sz w:val="21"/>
          <w:szCs w:val="21"/>
        </w:rPr>
      </w:pPr>
      <w:r>
        <w:rPr>
          <w:rFonts w:ascii="Times New Roman"/>
          <w:snapToGrid w:val="0"/>
          <w:kern w:val="21"/>
          <w:sz w:val="21"/>
          <w:szCs w:val="21"/>
        </w:rPr>
        <w:t>注：</w:t>
      </w:r>
      <w:r>
        <w:rPr>
          <w:rFonts w:ascii="Times New Roman"/>
          <w:snapToGrid w:val="0"/>
          <w:spacing w:val="-16"/>
          <w:kern w:val="21"/>
          <w:sz w:val="21"/>
          <w:szCs w:val="21"/>
        </w:rPr>
        <w:fldChar w:fldCharType="begin"/>
      </w:r>
      <w:r>
        <w:rPr>
          <w:rFonts w:ascii="Times New Roman"/>
          <w:snapToGrid w:val="0"/>
          <w:spacing w:val="-16"/>
          <w:kern w:val="21"/>
          <w:sz w:val="21"/>
          <w:szCs w:val="21"/>
        </w:rPr>
        <w:instrText xml:space="preserve"> = 6 \* GB3 \* MERGEFORMAT </w:instrText>
      </w:r>
      <w:r>
        <w:rPr>
          <w:rFonts w:ascii="Times New Roman"/>
          <w:snapToGrid w:val="0"/>
          <w:spacing w:val="-16"/>
          <w:kern w:val="21"/>
          <w:sz w:val="21"/>
          <w:szCs w:val="21"/>
        </w:rPr>
        <w:fldChar w:fldCharType="separate"/>
      </w:r>
      <w:r>
        <w:rPr>
          <w:rFonts w:hint="eastAsia" w:hAnsi="宋体" w:cs="宋体"/>
          <w:sz w:val="21"/>
          <w:szCs w:val="21"/>
        </w:rPr>
        <w:t>⑥</w:t>
      </w:r>
      <w:r>
        <w:rPr>
          <w:rFonts w:ascii="Times New Roman"/>
          <w:snapToGrid w:val="0"/>
          <w:spacing w:val="-16"/>
          <w:kern w:val="21"/>
          <w:sz w:val="21"/>
          <w:szCs w:val="21"/>
        </w:rPr>
        <w:fldChar w:fldCharType="end"/>
      </w:r>
      <w:r>
        <w:rPr>
          <w:rFonts w:ascii="Times New Roman"/>
          <w:snapToGrid w:val="0"/>
          <w:spacing w:val="-16"/>
          <w:kern w:val="21"/>
          <w:sz w:val="21"/>
          <w:szCs w:val="21"/>
        </w:rPr>
        <w:t>=</w:t>
      </w:r>
      <w:r>
        <w:rPr>
          <w:rFonts w:ascii="Times New Roman"/>
          <w:snapToGrid w:val="0"/>
          <w:spacing w:val="-6"/>
          <w:kern w:val="21"/>
          <w:sz w:val="21"/>
          <w:szCs w:val="21"/>
        </w:rPr>
        <w:fldChar w:fldCharType="begin"/>
      </w:r>
      <w:r>
        <w:rPr>
          <w:rFonts w:ascii="Times New Roman"/>
          <w:snapToGrid w:val="0"/>
          <w:spacing w:val="-6"/>
          <w:kern w:val="21"/>
          <w:sz w:val="21"/>
          <w:szCs w:val="21"/>
        </w:rPr>
        <w:instrText xml:space="preserve"> = 1 \* GB3 \* MERGEFORMAT </w:instrText>
      </w:r>
      <w:r>
        <w:rPr>
          <w:rFonts w:ascii="Times New Roman"/>
          <w:snapToGrid w:val="0"/>
          <w:spacing w:val="-6"/>
          <w:kern w:val="21"/>
          <w:sz w:val="21"/>
          <w:szCs w:val="21"/>
        </w:rPr>
        <w:fldChar w:fldCharType="separate"/>
      </w:r>
      <w:r>
        <w:rPr>
          <w:rFonts w:hint="eastAsia" w:hAnsi="宋体" w:cs="宋体"/>
          <w:sz w:val="21"/>
          <w:szCs w:val="21"/>
        </w:rPr>
        <w:t>①</w:t>
      </w:r>
      <w:r>
        <w:rPr>
          <w:rFonts w:ascii="Times New Roman"/>
          <w:snapToGrid w:val="0"/>
          <w:spacing w:val="-6"/>
          <w:kern w:val="21"/>
          <w:sz w:val="21"/>
          <w:szCs w:val="21"/>
        </w:rPr>
        <w:fldChar w:fldCharType="end"/>
      </w:r>
      <w:r>
        <w:rPr>
          <w:rFonts w:ascii="Times New Roman"/>
          <w:snapToGrid w:val="0"/>
          <w:spacing w:val="-6"/>
          <w:kern w:val="21"/>
          <w:sz w:val="21"/>
          <w:szCs w:val="21"/>
        </w:rPr>
        <w:t>+</w:t>
      </w:r>
      <w:r>
        <w:rPr>
          <w:rFonts w:ascii="Times New Roman"/>
          <w:snapToGrid w:val="0"/>
          <w:spacing w:val="-6"/>
          <w:kern w:val="21"/>
          <w:sz w:val="21"/>
          <w:szCs w:val="21"/>
        </w:rPr>
        <w:fldChar w:fldCharType="begin"/>
      </w:r>
      <w:r>
        <w:rPr>
          <w:rFonts w:ascii="Times New Roman"/>
          <w:snapToGrid w:val="0"/>
          <w:spacing w:val="-6"/>
          <w:kern w:val="21"/>
          <w:sz w:val="21"/>
          <w:szCs w:val="21"/>
        </w:rPr>
        <w:instrText xml:space="preserve"> = 3 \* GB3 \* MERGEFORMAT </w:instrText>
      </w:r>
      <w:r>
        <w:rPr>
          <w:rFonts w:ascii="Times New Roman"/>
          <w:snapToGrid w:val="0"/>
          <w:spacing w:val="-6"/>
          <w:kern w:val="21"/>
          <w:sz w:val="21"/>
          <w:szCs w:val="21"/>
        </w:rPr>
        <w:fldChar w:fldCharType="separate"/>
      </w:r>
      <w:r>
        <w:rPr>
          <w:rFonts w:hint="eastAsia" w:hAnsi="宋体" w:cs="宋体"/>
          <w:sz w:val="21"/>
          <w:szCs w:val="21"/>
        </w:rPr>
        <w:t>③</w:t>
      </w:r>
      <w:r>
        <w:rPr>
          <w:rFonts w:ascii="Times New Roman"/>
          <w:snapToGrid w:val="0"/>
          <w:spacing w:val="-6"/>
          <w:kern w:val="21"/>
          <w:sz w:val="21"/>
          <w:szCs w:val="21"/>
        </w:rPr>
        <w:fldChar w:fldCharType="end"/>
      </w:r>
      <w:r>
        <w:rPr>
          <w:rFonts w:ascii="Times New Roman"/>
          <w:snapToGrid w:val="0"/>
          <w:spacing w:val="-6"/>
          <w:kern w:val="21"/>
          <w:sz w:val="21"/>
          <w:szCs w:val="21"/>
        </w:rPr>
        <w:t>+</w:t>
      </w:r>
      <w:r>
        <w:rPr>
          <w:rFonts w:ascii="Times New Roman"/>
          <w:snapToGrid w:val="0"/>
          <w:spacing w:val="-6"/>
          <w:kern w:val="21"/>
          <w:sz w:val="21"/>
          <w:szCs w:val="21"/>
        </w:rPr>
        <w:fldChar w:fldCharType="begin"/>
      </w:r>
      <w:r>
        <w:rPr>
          <w:rFonts w:ascii="Times New Roman"/>
          <w:snapToGrid w:val="0"/>
          <w:spacing w:val="-6"/>
          <w:kern w:val="21"/>
          <w:sz w:val="21"/>
          <w:szCs w:val="21"/>
        </w:rPr>
        <w:instrText xml:space="preserve"> = 4 \* GB3 \* MERGEFORMAT </w:instrText>
      </w:r>
      <w:r>
        <w:rPr>
          <w:rFonts w:ascii="Times New Roman"/>
          <w:snapToGrid w:val="0"/>
          <w:spacing w:val="-6"/>
          <w:kern w:val="21"/>
          <w:sz w:val="21"/>
          <w:szCs w:val="21"/>
        </w:rPr>
        <w:fldChar w:fldCharType="separate"/>
      </w:r>
      <w:r>
        <w:rPr>
          <w:rFonts w:hint="eastAsia" w:hAnsi="宋体" w:cs="宋体"/>
          <w:sz w:val="21"/>
          <w:szCs w:val="21"/>
        </w:rPr>
        <w:t>④</w:t>
      </w:r>
      <w:r>
        <w:rPr>
          <w:rFonts w:ascii="Times New Roman"/>
          <w:snapToGrid w:val="0"/>
          <w:spacing w:val="-6"/>
          <w:kern w:val="21"/>
          <w:sz w:val="21"/>
          <w:szCs w:val="21"/>
        </w:rPr>
        <w:fldChar w:fldCharType="end"/>
      </w:r>
      <w:r>
        <w:rPr>
          <w:rFonts w:ascii="Times New Roman"/>
          <w:snapToGrid w:val="0"/>
          <w:spacing w:val="-6"/>
          <w:kern w:val="21"/>
          <w:sz w:val="21"/>
          <w:szCs w:val="21"/>
        </w:rPr>
        <w:t>-</w:t>
      </w:r>
      <w:r>
        <w:rPr>
          <w:rFonts w:ascii="Times New Roman"/>
          <w:snapToGrid w:val="0"/>
          <w:spacing w:val="-16"/>
          <w:kern w:val="21"/>
          <w:sz w:val="21"/>
          <w:szCs w:val="21"/>
        </w:rPr>
        <w:fldChar w:fldCharType="begin"/>
      </w:r>
      <w:r>
        <w:rPr>
          <w:rFonts w:ascii="Times New Roman"/>
          <w:snapToGrid w:val="0"/>
          <w:spacing w:val="-16"/>
          <w:kern w:val="21"/>
          <w:sz w:val="21"/>
          <w:szCs w:val="21"/>
        </w:rPr>
        <w:instrText xml:space="preserve"> = 5 \* GB3 \* MERGEFORMAT </w:instrText>
      </w:r>
      <w:r>
        <w:rPr>
          <w:rFonts w:ascii="Times New Roman"/>
          <w:snapToGrid w:val="0"/>
          <w:spacing w:val="-16"/>
          <w:kern w:val="21"/>
          <w:sz w:val="21"/>
          <w:szCs w:val="21"/>
        </w:rPr>
        <w:fldChar w:fldCharType="separate"/>
      </w:r>
      <w:r>
        <w:rPr>
          <w:rFonts w:hint="eastAsia" w:hAnsi="宋体" w:cs="宋体"/>
          <w:sz w:val="21"/>
          <w:szCs w:val="21"/>
        </w:rPr>
        <w:t>⑤</w:t>
      </w:r>
      <w:r>
        <w:rPr>
          <w:rFonts w:ascii="Times New Roman"/>
          <w:snapToGrid w:val="0"/>
          <w:spacing w:val="-16"/>
          <w:kern w:val="21"/>
          <w:sz w:val="21"/>
          <w:szCs w:val="21"/>
        </w:rPr>
        <w:fldChar w:fldCharType="end"/>
      </w:r>
      <w:r>
        <w:rPr>
          <w:rFonts w:ascii="Times New Roman"/>
          <w:snapToGrid w:val="0"/>
          <w:spacing w:val="-16"/>
          <w:kern w:val="21"/>
          <w:sz w:val="21"/>
          <w:szCs w:val="21"/>
        </w:rPr>
        <w:t>；</w:t>
      </w:r>
      <w:r>
        <w:rPr>
          <w:rFonts w:ascii="Times New Roman"/>
          <w:snapToGrid w:val="0"/>
          <w:spacing w:val="-6"/>
          <w:kern w:val="21"/>
          <w:sz w:val="21"/>
          <w:szCs w:val="21"/>
        </w:rPr>
        <w:fldChar w:fldCharType="begin"/>
      </w:r>
      <w:r>
        <w:rPr>
          <w:rFonts w:ascii="Times New Roman"/>
          <w:snapToGrid w:val="0"/>
          <w:spacing w:val="-6"/>
          <w:kern w:val="21"/>
          <w:sz w:val="21"/>
          <w:szCs w:val="21"/>
        </w:rPr>
        <w:instrText xml:space="preserve"> = 7 \* GB3 \* MERGEFORMAT </w:instrText>
      </w:r>
      <w:r>
        <w:rPr>
          <w:rFonts w:ascii="Times New Roman"/>
          <w:snapToGrid w:val="0"/>
          <w:spacing w:val="-6"/>
          <w:kern w:val="21"/>
          <w:sz w:val="21"/>
          <w:szCs w:val="21"/>
        </w:rPr>
        <w:fldChar w:fldCharType="separate"/>
      </w:r>
      <w:r>
        <w:rPr>
          <w:rFonts w:hint="eastAsia" w:hAnsi="宋体" w:cs="宋体"/>
          <w:sz w:val="21"/>
          <w:szCs w:val="21"/>
        </w:rPr>
        <w:t>⑦</w:t>
      </w:r>
      <w:r>
        <w:rPr>
          <w:rFonts w:ascii="Times New Roman"/>
          <w:snapToGrid w:val="0"/>
          <w:spacing w:val="-6"/>
          <w:kern w:val="21"/>
          <w:sz w:val="21"/>
          <w:szCs w:val="21"/>
        </w:rPr>
        <w:fldChar w:fldCharType="end"/>
      </w:r>
      <w:r>
        <w:rPr>
          <w:rFonts w:ascii="Times New Roman"/>
          <w:snapToGrid w:val="0"/>
          <w:spacing w:val="-6"/>
          <w:kern w:val="21"/>
          <w:sz w:val="21"/>
          <w:szCs w:val="21"/>
        </w:rPr>
        <w:t>=</w:t>
      </w:r>
      <w:r>
        <w:rPr>
          <w:rFonts w:ascii="Times New Roman"/>
          <w:snapToGrid w:val="0"/>
          <w:spacing w:val="-16"/>
          <w:kern w:val="21"/>
          <w:sz w:val="21"/>
          <w:szCs w:val="21"/>
        </w:rPr>
        <w:fldChar w:fldCharType="begin"/>
      </w:r>
      <w:r>
        <w:rPr>
          <w:rFonts w:ascii="Times New Roman"/>
          <w:snapToGrid w:val="0"/>
          <w:spacing w:val="-16"/>
          <w:kern w:val="21"/>
          <w:sz w:val="21"/>
          <w:szCs w:val="21"/>
        </w:rPr>
        <w:instrText xml:space="preserve"> = 6 \* GB3 \* MERGEFORMAT </w:instrText>
      </w:r>
      <w:r>
        <w:rPr>
          <w:rFonts w:ascii="Times New Roman"/>
          <w:snapToGrid w:val="0"/>
          <w:spacing w:val="-16"/>
          <w:kern w:val="21"/>
          <w:sz w:val="21"/>
          <w:szCs w:val="21"/>
        </w:rPr>
        <w:fldChar w:fldCharType="separate"/>
      </w:r>
      <w:r>
        <w:rPr>
          <w:rFonts w:hint="eastAsia" w:hAnsi="宋体" w:cs="宋体"/>
          <w:sz w:val="21"/>
          <w:szCs w:val="21"/>
        </w:rPr>
        <w:t>⑥</w:t>
      </w:r>
      <w:r>
        <w:rPr>
          <w:rFonts w:ascii="Times New Roman"/>
          <w:snapToGrid w:val="0"/>
          <w:spacing w:val="-16"/>
          <w:kern w:val="21"/>
          <w:sz w:val="21"/>
          <w:szCs w:val="21"/>
        </w:rPr>
        <w:fldChar w:fldCharType="end"/>
      </w:r>
      <w:r>
        <w:rPr>
          <w:rFonts w:ascii="Times New Roman"/>
          <w:snapToGrid w:val="0"/>
          <w:spacing w:val="-16"/>
          <w:kern w:val="21"/>
          <w:sz w:val="21"/>
          <w:szCs w:val="21"/>
        </w:rPr>
        <w:t>-</w:t>
      </w:r>
      <w:r>
        <w:rPr>
          <w:rFonts w:ascii="Times New Roman"/>
          <w:snapToGrid w:val="0"/>
          <w:spacing w:val="-6"/>
          <w:kern w:val="21"/>
          <w:sz w:val="21"/>
          <w:szCs w:val="21"/>
        </w:rPr>
        <w:fldChar w:fldCharType="begin"/>
      </w:r>
      <w:r>
        <w:rPr>
          <w:rFonts w:ascii="Times New Roman"/>
          <w:snapToGrid w:val="0"/>
          <w:spacing w:val="-6"/>
          <w:kern w:val="21"/>
          <w:sz w:val="21"/>
          <w:szCs w:val="21"/>
        </w:rPr>
        <w:instrText xml:space="preserve"> = 1 \* GB3 \* MERGEFORMAT </w:instrText>
      </w:r>
      <w:r>
        <w:rPr>
          <w:rFonts w:ascii="Times New Roman"/>
          <w:snapToGrid w:val="0"/>
          <w:spacing w:val="-6"/>
          <w:kern w:val="21"/>
          <w:sz w:val="21"/>
          <w:szCs w:val="21"/>
        </w:rPr>
        <w:fldChar w:fldCharType="separate"/>
      </w:r>
      <w:r>
        <w:rPr>
          <w:rFonts w:hint="eastAsia" w:hAnsi="宋体" w:cs="宋体"/>
          <w:sz w:val="21"/>
          <w:szCs w:val="21"/>
        </w:rPr>
        <w:t>①</w:t>
      </w:r>
      <w:r>
        <w:rPr>
          <w:rFonts w:ascii="Times New Roman"/>
          <w:snapToGrid w:val="0"/>
          <w:spacing w:val="-6"/>
          <w:kern w:val="21"/>
          <w:sz w:val="21"/>
          <w:szCs w:val="21"/>
        </w:rPr>
        <w:fldChar w:fldCharType="end"/>
      </w:r>
      <w:r>
        <w:rPr>
          <w:rFonts w:ascii="Times New Roman"/>
          <w:snapToGrid w:val="0"/>
          <w:spacing w:val="-6"/>
          <w:kern w:val="21"/>
          <w:sz w:val="21"/>
          <w:szCs w:val="21"/>
        </w:rPr>
        <w:t>；单位：吨</w:t>
      </w:r>
      <w:r>
        <w:rPr>
          <w:rFonts w:hint="eastAsia" w:ascii="Times New Roman"/>
          <w:snapToGrid w:val="0"/>
          <w:spacing w:val="-6"/>
          <w:kern w:val="21"/>
          <w:sz w:val="21"/>
          <w:szCs w:val="21"/>
          <w:lang w:eastAsia="zh-CN"/>
        </w:rPr>
        <w:t>/</w:t>
      </w:r>
      <w:r>
        <w:rPr>
          <w:rFonts w:ascii="Times New Roman" w:hAnsi="Times New Roman"/>
          <w:color w:val="auto"/>
          <w:sz w:val="21"/>
          <w:szCs w:val="21"/>
        </w:rPr>
        <w:t>a</w:t>
      </w:r>
    </w:p>
    <w:p w14:paraId="39E096DE">
      <w:pPr>
        <w:pStyle w:val="93"/>
        <w:spacing w:before="192" w:beforeLines="80" w:after="24"/>
        <w:ind w:left="-619" w:leftChars="-295"/>
        <w:jc w:val="left"/>
        <w:rPr>
          <w:rFonts w:ascii="Times New Roman" w:hAnsi="Times New Roman"/>
          <w:color w:val="auto"/>
          <w:sz w:val="21"/>
          <w:szCs w:val="21"/>
        </w:rPr>
      </w:pPr>
    </w:p>
    <w:p w14:paraId="5BE8AF05"/>
    <w:p w14:paraId="5DEA8B01"/>
    <w:sectPr>
      <w:footerReference r:id="rId5" w:type="default"/>
      <w:pgSz w:w="16838" w:h="11906" w:orient="landscape"/>
      <w:pgMar w:top="1531" w:right="1701" w:bottom="1531" w:left="1701" w:header="851" w:footer="850" w:gutter="0"/>
      <w:pgBorders>
        <w:top w:val="none" w:sz="0" w:space="0"/>
        <w:left w:val="none" w:sz="0" w:space="0"/>
        <w:bottom w:val="none" w:sz="0" w:space="0"/>
        <w:right w:val="none" w:sz="0" w:space="0"/>
      </w:pgBorders>
      <w:cols w:space="72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auto"/>
    <w:pitch w:val="default"/>
    <w:sig w:usb0="E0002AFF" w:usb1="C0007841" w:usb2="00000009" w:usb3="00000000" w:csb0="400001FF" w:csb1="FFFF0000"/>
  </w:font>
  <w:font w:name="宋体">
    <w:panose1 w:val="02010600030101010101"/>
    <w:charset w:val="52"/>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MingLiU">
    <w:panose1 w:val="02020509000000000000"/>
    <w:charset w:val="88"/>
    <w:family w:val="modern"/>
    <w:pitch w:val="default"/>
    <w:sig w:usb0="A00002FF" w:usb1="28CFFCFA" w:usb2="00000016" w:usb3="00000000" w:csb0="00100001" w:csb1="00000000"/>
  </w:font>
  <w:font w:name="Arial Unicode MS">
    <w:panose1 w:val="020B0604020202020204"/>
    <w:charset w:val="86"/>
    <w:family w:val="roman"/>
    <w:pitch w:val="default"/>
    <w:sig w:usb0="FFFFFFFF" w:usb1="E9FFFFFF" w:usb2="0000003F" w:usb3="00000000" w:csb0="603F01FF" w:csb1="FFFF0000"/>
  </w:font>
  <w:font w:name="汉鼎简书宋">
    <w:altName w:val="宋体"/>
    <w:panose1 w:val="00000000000000000000"/>
    <w:charset w:val="86"/>
    <w:family w:val="modern"/>
    <w:pitch w:val="default"/>
    <w:sig w:usb0="00000000" w:usb1="00000000" w:usb2="00000010" w:usb3="00000000" w:csb0="00040000" w:csb1="00000000"/>
  </w:font>
  <w:font w:name="Microsoft YaHei UI">
    <w:panose1 w:val="020B0503020204020204"/>
    <w:charset w:val="86"/>
    <w:family w:val="swiss"/>
    <w:pitch w:val="default"/>
    <w:sig w:usb0="80000287" w:usb1="2ACF3C50" w:usb2="00000016" w:usb3="00000000" w:csb0="0004001F" w:csb1="00000000"/>
  </w:font>
  <w:font w:name="等线 Light">
    <w:altName w:val="宋体"/>
    <w:panose1 w:val="02010600030101010101"/>
    <w:charset w:val="86"/>
    <w:family w:val="auto"/>
    <w:pitch w:val="default"/>
    <w:sig w:usb0="00000000" w:usb1="00000000" w:usb2="00000016" w:usb3="00000000" w:csb0="0004000F" w:csb1="00000000"/>
  </w:font>
  <w:font w:name="等线">
    <w:altName w:val="Arial Unicode MS"/>
    <w:panose1 w:val="02010600030101010101"/>
    <w:charset w:val="86"/>
    <w:family w:val="auto"/>
    <w:pitch w:val="default"/>
    <w:sig w:usb0="00000000" w:usb1="00000000" w:usb2="00000016" w:usb3="00000000" w:csb0="0004000F" w:csb1="00000000"/>
  </w:font>
  <w:font w:name="Tahoma">
    <w:panose1 w:val="020B0604030504040204"/>
    <w:charset w:val="00"/>
    <w:family w:val="swiss"/>
    <w:pitch w:val="default"/>
    <w:sig w:usb0="E1002EFF" w:usb1="C000605B" w:usb2="00000029" w:usb3="00000000" w:csb0="200101FF" w:csb1="20280000"/>
  </w:font>
  <w:font w:name="Cambria Math">
    <w:panose1 w:val="02040503050406030204"/>
    <w:charset w:val="00"/>
    <w:family w:val="roman"/>
    <w:pitch w:val="default"/>
    <w:sig w:usb0="E00002FF" w:usb1="420024FF" w:usb2="00000000" w:usb3="00000000" w:csb0="2000019F" w:csb1="00000000"/>
  </w:font>
  <w:font w:name="华文中宋">
    <w:panose1 w:val="02010600040101010101"/>
    <w:charset w:val="86"/>
    <w:family w:val="auto"/>
    <w:pitch w:val="default"/>
    <w:sig w:usb0="00000287" w:usb1="080F0000" w:usb2="00000000" w:usb3="00000000" w:csb0="0004009F" w:csb1="DFD70000"/>
  </w:font>
  <w:font w:name="Verdana">
    <w:panose1 w:val="020B0604030504040204"/>
    <w:charset w:val="00"/>
    <w:family w:val="swiss"/>
    <w:pitch w:val="default"/>
    <w:sig w:usb0="A10006FF" w:usb1="4000205B" w:usb2="00000010" w:usb3="00000000" w:csb0="2000019F" w:csb1="00000000"/>
  </w:font>
  <w:font w:name="Calibri Light">
    <w:panose1 w:val="020F0302020204030204"/>
    <w:charset w:val="00"/>
    <w:family w:val="swiss"/>
    <w:pitch w:val="default"/>
    <w:sig w:usb0="A00002EF" w:usb1="4000207B"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_GBK">
    <w:altName w:val="微软雅黑"/>
    <w:panose1 w:val="02000000000000000000"/>
    <w:charset w:val="86"/>
    <w:family w:val="script"/>
    <w:pitch w:val="default"/>
    <w:sig w:usb0="00000000" w:usb1="00000000" w:usb2="00082016" w:usb3="00000000" w:csb0="00040001" w:csb1="00000000"/>
  </w:font>
  <w:font w:name="微软雅黑">
    <w:panose1 w:val="020B0503020204020204"/>
    <w:charset w:val="86"/>
    <w:family w:val="auto"/>
    <w:pitch w:val="default"/>
    <w:sig w:usb0="80000287" w:usb1="280F3C52" w:usb2="00000016" w:usb3="00000000" w:csb0="0004001F"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5830D6">
    <w:pPr>
      <w:pStyle w:val="26"/>
      <w:ind w:right="360"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25A8C6">
    <w:pPr>
      <w:pStyle w:val="26"/>
      <w:jc w:val="center"/>
    </w:pPr>
    <w:r>
      <w:fldChar w:fldCharType="begin"/>
    </w:r>
    <w:r>
      <w:instrText xml:space="preserve">PAGE   \* MERGEFORMAT</w:instrText>
    </w:r>
    <w:r>
      <w:fldChar w:fldCharType="separate"/>
    </w:r>
    <w:r>
      <w:rPr>
        <w:lang w:val="zh-CN" w:eastAsia="zh-CN"/>
      </w:rPr>
      <w:t>37</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58DDE8">
    <w:pPr>
      <w:pStyle w:val="26"/>
      <w:jc w:val="center"/>
    </w:pPr>
    <w:r>
      <w:fldChar w:fldCharType="begin"/>
    </w:r>
    <w:r>
      <w:instrText xml:space="preserve">PAGE   \* MERGEFORMAT</w:instrText>
    </w:r>
    <w:r>
      <w:fldChar w:fldCharType="separate"/>
    </w:r>
    <w:r>
      <w:rPr>
        <w:lang w:val="zh-CN" w:eastAsia="zh-CN"/>
      </w:rPr>
      <w:t>38</w:t>
    </w:r>
    <w: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CE4C46"/>
    <w:multiLevelType w:val="singleLevel"/>
    <w:tmpl w:val="86CE4C46"/>
    <w:lvl w:ilvl="0" w:tentative="0">
      <w:start w:val="2"/>
      <w:numFmt w:val="decimal"/>
      <w:suff w:val="nothing"/>
      <w:lvlText w:val="（%1）"/>
      <w:lvlJc w:val="left"/>
    </w:lvl>
  </w:abstractNum>
  <w:abstractNum w:abstractNumId="1">
    <w:nsid w:val="B070AED1"/>
    <w:multiLevelType w:val="singleLevel"/>
    <w:tmpl w:val="B070AED1"/>
    <w:lvl w:ilvl="0" w:tentative="0">
      <w:start w:val="2"/>
      <w:numFmt w:val="chineseCounting"/>
      <w:suff w:val="nothing"/>
      <w:lvlText w:val="%1、"/>
      <w:lvlJc w:val="left"/>
      <w:rPr>
        <w:rFonts w:hint="eastAsia"/>
      </w:rPr>
    </w:lvl>
  </w:abstractNum>
  <w:abstractNum w:abstractNumId="2">
    <w:nsid w:val="081DA9A4"/>
    <w:multiLevelType w:val="singleLevel"/>
    <w:tmpl w:val="081DA9A4"/>
    <w:lvl w:ilvl="0" w:tentative="0">
      <w:start w:val="2"/>
      <w:numFmt w:val="decimal"/>
      <w:suff w:val="nothing"/>
      <w:lvlText w:val="%1、"/>
      <w:lvlJc w:val="left"/>
    </w:lvl>
  </w:abstractNum>
  <w:abstractNum w:abstractNumId="3">
    <w:nsid w:val="2AAF4713"/>
    <w:multiLevelType w:val="singleLevel"/>
    <w:tmpl w:val="2AAF4713"/>
    <w:lvl w:ilvl="0" w:tentative="0">
      <w:start w:val="2"/>
      <w:numFmt w:val="decimal"/>
      <w:suff w:val="nothing"/>
      <w:lvlText w:val="（%1）"/>
      <w:lvlJc w:val="left"/>
    </w:lvl>
  </w:abstractNum>
  <w:abstractNum w:abstractNumId="4">
    <w:nsid w:val="60822EE5"/>
    <w:multiLevelType w:val="multilevel"/>
    <w:tmpl w:val="60822EE5"/>
    <w:lvl w:ilvl="0" w:tentative="0">
      <w:start w:val="1"/>
      <w:numFmt w:val="decimal"/>
      <w:pStyle w:val="31"/>
      <w:lvlText w:val="表%1 "/>
      <w:lvlJc w:val="left"/>
      <w:pPr>
        <w:tabs>
          <w:tab w:val="left" w:pos="1365"/>
        </w:tabs>
        <w:ind w:left="8640" w:firstLine="0"/>
      </w:pPr>
      <w:rPr>
        <w:rFonts w:hint="eastAsia"/>
      </w:rPr>
    </w:lvl>
    <w:lvl w:ilvl="1" w:tentative="0">
      <w:start w:val="1"/>
      <w:numFmt w:val="lowerLetter"/>
      <w:lvlText w:val="%2)"/>
      <w:lvlJc w:val="left"/>
      <w:pPr>
        <w:tabs>
          <w:tab w:val="left" w:pos="1125"/>
        </w:tabs>
        <w:ind w:left="7320" w:hanging="420"/>
      </w:pPr>
    </w:lvl>
    <w:lvl w:ilvl="2" w:tentative="0">
      <w:start w:val="1"/>
      <w:numFmt w:val="lowerRoman"/>
      <w:lvlText w:val="%3."/>
      <w:lvlJc w:val="right"/>
      <w:pPr>
        <w:tabs>
          <w:tab w:val="left" w:pos="1545"/>
        </w:tabs>
        <w:ind w:left="7740" w:hanging="420"/>
      </w:pPr>
    </w:lvl>
    <w:lvl w:ilvl="3" w:tentative="0">
      <w:start w:val="1"/>
      <w:numFmt w:val="decimal"/>
      <w:lvlText w:val="%4."/>
      <w:lvlJc w:val="left"/>
      <w:pPr>
        <w:tabs>
          <w:tab w:val="left" w:pos="1965"/>
        </w:tabs>
        <w:ind w:left="8160" w:hanging="420"/>
      </w:pPr>
    </w:lvl>
    <w:lvl w:ilvl="4" w:tentative="0">
      <w:start w:val="1"/>
      <w:numFmt w:val="lowerLetter"/>
      <w:lvlText w:val="%5)"/>
      <w:lvlJc w:val="left"/>
      <w:pPr>
        <w:tabs>
          <w:tab w:val="left" w:pos="2385"/>
        </w:tabs>
        <w:ind w:left="8580" w:hanging="420"/>
      </w:pPr>
    </w:lvl>
    <w:lvl w:ilvl="5" w:tentative="0">
      <w:start w:val="1"/>
      <w:numFmt w:val="lowerRoman"/>
      <w:lvlText w:val="%6."/>
      <w:lvlJc w:val="right"/>
      <w:pPr>
        <w:tabs>
          <w:tab w:val="left" w:pos="2805"/>
        </w:tabs>
        <w:ind w:left="9000" w:hanging="420"/>
      </w:pPr>
    </w:lvl>
    <w:lvl w:ilvl="6" w:tentative="0">
      <w:start w:val="1"/>
      <w:numFmt w:val="decimal"/>
      <w:lvlText w:val="%7."/>
      <w:lvlJc w:val="left"/>
      <w:pPr>
        <w:tabs>
          <w:tab w:val="left" w:pos="3225"/>
        </w:tabs>
        <w:ind w:left="9420" w:hanging="420"/>
      </w:pPr>
    </w:lvl>
    <w:lvl w:ilvl="7" w:tentative="0">
      <w:start w:val="1"/>
      <w:numFmt w:val="lowerLetter"/>
      <w:lvlText w:val="%8)"/>
      <w:lvlJc w:val="left"/>
      <w:pPr>
        <w:tabs>
          <w:tab w:val="left" w:pos="3645"/>
        </w:tabs>
        <w:ind w:left="9840" w:hanging="420"/>
      </w:pPr>
    </w:lvl>
    <w:lvl w:ilvl="8" w:tentative="0">
      <w:start w:val="1"/>
      <w:numFmt w:val="lowerRoman"/>
      <w:lvlText w:val="%9."/>
      <w:lvlJc w:val="right"/>
      <w:pPr>
        <w:tabs>
          <w:tab w:val="left" w:pos="4065"/>
        </w:tabs>
        <w:ind w:left="10260" w:hanging="420"/>
      </w:pPr>
    </w:lvl>
  </w:abstractNum>
  <w:abstractNum w:abstractNumId="5">
    <w:nsid w:val="7A235D1A"/>
    <w:multiLevelType w:val="multilevel"/>
    <w:tmpl w:val="7A235D1A"/>
    <w:lvl w:ilvl="0" w:tentative="0">
      <w:start w:val="1"/>
      <w:numFmt w:val="decimal"/>
      <w:pStyle w:val="123"/>
      <w:lvlText w:val="表%1"/>
      <w:lvlJc w:val="left"/>
      <w:pPr>
        <w:ind w:left="902" w:hanging="420"/>
      </w:pPr>
      <w:rPr>
        <w:rFonts w:hint="default" w:ascii="Arial Unicode MS" w:hAnsi="Arial Unicode MS" w:eastAsia="MingLiU"/>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num w:numId="1">
    <w:abstractNumId w:val="4"/>
  </w:num>
  <w:num w:numId="2">
    <w:abstractNumId w:val="5"/>
  </w:num>
  <w:num w:numId="3">
    <w:abstractNumId w:val="2"/>
  </w:num>
  <w:num w:numId="4">
    <w:abstractNumId w:val="1"/>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281"/>
  <w:hyphenationZone w:val="36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I2MDNmNTBiZTQ3ODU2YTYyZGUxNGZmZGY4MmJhNmYifQ=="/>
  </w:docVars>
  <w:rsids>
    <w:rsidRoot w:val="00172A27"/>
    <w:rsid w:val="00001A53"/>
    <w:rsid w:val="000060B3"/>
    <w:rsid w:val="000072C1"/>
    <w:rsid w:val="000078C8"/>
    <w:rsid w:val="00010E97"/>
    <w:rsid w:val="000129CD"/>
    <w:rsid w:val="000134C7"/>
    <w:rsid w:val="00013800"/>
    <w:rsid w:val="000158EC"/>
    <w:rsid w:val="00016DBC"/>
    <w:rsid w:val="000173A7"/>
    <w:rsid w:val="00021ADD"/>
    <w:rsid w:val="00022006"/>
    <w:rsid w:val="00024710"/>
    <w:rsid w:val="00026260"/>
    <w:rsid w:val="00026C26"/>
    <w:rsid w:val="00027C98"/>
    <w:rsid w:val="0003437F"/>
    <w:rsid w:val="00036EA0"/>
    <w:rsid w:val="00041A58"/>
    <w:rsid w:val="0004364B"/>
    <w:rsid w:val="0004512B"/>
    <w:rsid w:val="000467D7"/>
    <w:rsid w:val="00047E78"/>
    <w:rsid w:val="0005109F"/>
    <w:rsid w:val="00051B2E"/>
    <w:rsid w:val="00052E49"/>
    <w:rsid w:val="0005345D"/>
    <w:rsid w:val="00053673"/>
    <w:rsid w:val="00054FB5"/>
    <w:rsid w:val="0005605D"/>
    <w:rsid w:val="000565A2"/>
    <w:rsid w:val="000613CA"/>
    <w:rsid w:val="00061B1F"/>
    <w:rsid w:val="00063919"/>
    <w:rsid w:val="000652A8"/>
    <w:rsid w:val="00070071"/>
    <w:rsid w:val="0007060C"/>
    <w:rsid w:val="00070A59"/>
    <w:rsid w:val="000733C4"/>
    <w:rsid w:val="00074650"/>
    <w:rsid w:val="00074783"/>
    <w:rsid w:val="000764D0"/>
    <w:rsid w:val="0008070B"/>
    <w:rsid w:val="000810AC"/>
    <w:rsid w:val="00081A02"/>
    <w:rsid w:val="00082231"/>
    <w:rsid w:val="00082850"/>
    <w:rsid w:val="00082BBD"/>
    <w:rsid w:val="0008393E"/>
    <w:rsid w:val="0008581C"/>
    <w:rsid w:val="000860D2"/>
    <w:rsid w:val="000923DA"/>
    <w:rsid w:val="00092D38"/>
    <w:rsid w:val="0009377B"/>
    <w:rsid w:val="00097B3C"/>
    <w:rsid w:val="000A0740"/>
    <w:rsid w:val="000A20C9"/>
    <w:rsid w:val="000A46FC"/>
    <w:rsid w:val="000A5326"/>
    <w:rsid w:val="000A74D7"/>
    <w:rsid w:val="000B058F"/>
    <w:rsid w:val="000B0CDB"/>
    <w:rsid w:val="000B2380"/>
    <w:rsid w:val="000B4467"/>
    <w:rsid w:val="000B4DB9"/>
    <w:rsid w:val="000B5CD6"/>
    <w:rsid w:val="000C01CA"/>
    <w:rsid w:val="000C0956"/>
    <w:rsid w:val="000C09AC"/>
    <w:rsid w:val="000C1119"/>
    <w:rsid w:val="000C1718"/>
    <w:rsid w:val="000C1A11"/>
    <w:rsid w:val="000C59E9"/>
    <w:rsid w:val="000C5F62"/>
    <w:rsid w:val="000C767F"/>
    <w:rsid w:val="000D5A44"/>
    <w:rsid w:val="000D5BBD"/>
    <w:rsid w:val="000E153C"/>
    <w:rsid w:val="000E1F1A"/>
    <w:rsid w:val="000E1F33"/>
    <w:rsid w:val="000E35ED"/>
    <w:rsid w:val="000E3ED2"/>
    <w:rsid w:val="000E5894"/>
    <w:rsid w:val="000E7D68"/>
    <w:rsid w:val="000F0701"/>
    <w:rsid w:val="000F415A"/>
    <w:rsid w:val="000F542B"/>
    <w:rsid w:val="00102B7C"/>
    <w:rsid w:val="001153D2"/>
    <w:rsid w:val="0011571B"/>
    <w:rsid w:val="00117F34"/>
    <w:rsid w:val="00120E31"/>
    <w:rsid w:val="00123404"/>
    <w:rsid w:val="001241A0"/>
    <w:rsid w:val="00124271"/>
    <w:rsid w:val="001243CA"/>
    <w:rsid w:val="00125D92"/>
    <w:rsid w:val="00126081"/>
    <w:rsid w:val="001271EB"/>
    <w:rsid w:val="001274AC"/>
    <w:rsid w:val="00131F42"/>
    <w:rsid w:val="00133581"/>
    <w:rsid w:val="001357F1"/>
    <w:rsid w:val="00136706"/>
    <w:rsid w:val="00136728"/>
    <w:rsid w:val="00136D37"/>
    <w:rsid w:val="00140FA8"/>
    <w:rsid w:val="00142EED"/>
    <w:rsid w:val="00142FEB"/>
    <w:rsid w:val="00143707"/>
    <w:rsid w:val="001437B0"/>
    <w:rsid w:val="00143A2D"/>
    <w:rsid w:val="00145A41"/>
    <w:rsid w:val="001469A2"/>
    <w:rsid w:val="00151675"/>
    <w:rsid w:val="00151CF7"/>
    <w:rsid w:val="0015337F"/>
    <w:rsid w:val="00153DFF"/>
    <w:rsid w:val="00154145"/>
    <w:rsid w:val="001564BB"/>
    <w:rsid w:val="00157435"/>
    <w:rsid w:val="00163356"/>
    <w:rsid w:val="00163AA3"/>
    <w:rsid w:val="0016482B"/>
    <w:rsid w:val="001665DA"/>
    <w:rsid w:val="00174E81"/>
    <w:rsid w:val="0017504D"/>
    <w:rsid w:val="0017671A"/>
    <w:rsid w:val="00177422"/>
    <w:rsid w:val="00180AA3"/>
    <w:rsid w:val="001820A8"/>
    <w:rsid w:val="00183DFB"/>
    <w:rsid w:val="0018410F"/>
    <w:rsid w:val="00184590"/>
    <w:rsid w:val="00184631"/>
    <w:rsid w:val="001863FC"/>
    <w:rsid w:val="001870D1"/>
    <w:rsid w:val="0018781E"/>
    <w:rsid w:val="0019262D"/>
    <w:rsid w:val="00194393"/>
    <w:rsid w:val="00196B8B"/>
    <w:rsid w:val="00196E22"/>
    <w:rsid w:val="001A1B35"/>
    <w:rsid w:val="001A20C7"/>
    <w:rsid w:val="001A48A2"/>
    <w:rsid w:val="001A6F37"/>
    <w:rsid w:val="001A6F61"/>
    <w:rsid w:val="001B5768"/>
    <w:rsid w:val="001B72B8"/>
    <w:rsid w:val="001C0DAB"/>
    <w:rsid w:val="001C10A7"/>
    <w:rsid w:val="001C1E26"/>
    <w:rsid w:val="001C25E9"/>
    <w:rsid w:val="001C4F0C"/>
    <w:rsid w:val="001C5534"/>
    <w:rsid w:val="001C6296"/>
    <w:rsid w:val="001C69B3"/>
    <w:rsid w:val="001D0C59"/>
    <w:rsid w:val="001D151F"/>
    <w:rsid w:val="001D1787"/>
    <w:rsid w:val="001D4EC9"/>
    <w:rsid w:val="001D5595"/>
    <w:rsid w:val="001D5D24"/>
    <w:rsid w:val="001D7874"/>
    <w:rsid w:val="001D7F22"/>
    <w:rsid w:val="001E008F"/>
    <w:rsid w:val="001E1B0A"/>
    <w:rsid w:val="001E2E5C"/>
    <w:rsid w:val="001E3397"/>
    <w:rsid w:val="001E3968"/>
    <w:rsid w:val="001E5B94"/>
    <w:rsid w:val="001F05E7"/>
    <w:rsid w:val="001F0F17"/>
    <w:rsid w:val="001F3347"/>
    <w:rsid w:val="001F35DA"/>
    <w:rsid w:val="001F5637"/>
    <w:rsid w:val="001F69E4"/>
    <w:rsid w:val="0020412F"/>
    <w:rsid w:val="00206A03"/>
    <w:rsid w:val="00210B4A"/>
    <w:rsid w:val="002125B4"/>
    <w:rsid w:val="00214569"/>
    <w:rsid w:val="0021466C"/>
    <w:rsid w:val="002146BA"/>
    <w:rsid w:val="00214DD3"/>
    <w:rsid w:val="002155B8"/>
    <w:rsid w:val="002159E1"/>
    <w:rsid w:val="00215A7A"/>
    <w:rsid w:val="00215EA3"/>
    <w:rsid w:val="0021643A"/>
    <w:rsid w:val="0021733A"/>
    <w:rsid w:val="0022245C"/>
    <w:rsid w:val="00224839"/>
    <w:rsid w:val="002249B2"/>
    <w:rsid w:val="00225A81"/>
    <w:rsid w:val="00226574"/>
    <w:rsid w:val="00226F46"/>
    <w:rsid w:val="0022733F"/>
    <w:rsid w:val="002274AB"/>
    <w:rsid w:val="002278EC"/>
    <w:rsid w:val="0023280E"/>
    <w:rsid w:val="00236C95"/>
    <w:rsid w:val="002377D1"/>
    <w:rsid w:val="002414D8"/>
    <w:rsid w:val="0024209E"/>
    <w:rsid w:val="00242108"/>
    <w:rsid w:val="002427F3"/>
    <w:rsid w:val="002442EE"/>
    <w:rsid w:val="002504BF"/>
    <w:rsid w:val="002506BC"/>
    <w:rsid w:val="00254345"/>
    <w:rsid w:val="00254F29"/>
    <w:rsid w:val="002559E4"/>
    <w:rsid w:val="00257525"/>
    <w:rsid w:val="002577A3"/>
    <w:rsid w:val="002608F7"/>
    <w:rsid w:val="00261D21"/>
    <w:rsid w:val="00262473"/>
    <w:rsid w:val="002635A1"/>
    <w:rsid w:val="00264557"/>
    <w:rsid w:val="002645BE"/>
    <w:rsid w:val="00267153"/>
    <w:rsid w:val="002672D6"/>
    <w:rsid w:val="00270000"/>
    <w:rsid w:val="002702EC"/>
    <w:rsid w:val="00270A63"/>
    <w:rsid w:val="00272CC8"/>
    <w:rsid w:val="00272DAB"/>
    <w:rsid w:val="002736C5"/>
    <w:rsid w:val="00274C91"/>
    <w:rsid w:val="002774B5"/>
    <w:rsid w:val="002805AB"/>
    <w:rsid w:val="00280ADA"/>
    <w:rsid w:val="0028270E"/>
    <w:rsid w:val="00284204"/>
    <w:rsid w:val="00284F17"/>
    <w:rsid w:val="00285085"/>
    <w:rsid w:val="00285D19"/>
    <w:rsid w:val="00285E87"/>
    <w:rsid w:val="002876A9"/>
    <w:rsid w:val="00291773"/>
    <w:rsid w:val="0029329A"/>
    <w:rsid w:val="00295EFD"/>
    <w:rsid w:val="00296DEE"/>
    <w:rsid w:val="002A1512"/>
    <w:rsid w:val="002A1515"/>
    <w:rsid w:val="002A168C"/>
    <w:rsid w:val="002A3DC7"/>
    <w:rsid w:val="002A5A2A"/>
    <w:rsid w:val="002A690C"/>
    <w:rsid w:val="002A79AF"/>
    <w:rsid w:val="002B25EF"/>
    <w:rsid w:val="002B2CE9"/>
    <w:rsid w:val="002B375F"/>
    <w:rsid w:val="002B420C"/>
    <w:rsid w:val="002B49E2"/>
    <w:rsid w:val="002B4A90"/>
    <w:rsid w:val="002B67D2"/>
    <w:rsid w:val="002B6BB1"/>
    <w:rsid w:val="002B70A2"/>
    <w:rsid w:val="002B762B"/>
    <w:rsid w:val="002B7776"/>
    <w:rsid w:val="002B7B00"/>
    <w:rsid w:val="002B7C44"/>
    <w:rsid w:val="002C2A9A"/>
    <w:rsid w:val="002C2B17"/>
    <w:rsid w:val="002C303A"/>
    <w:rsid w:val="002C3D89"/>
    <w:rsid w:val="002C4A6E"/>
    <w:rsid w:val="002D0A6A"/>
    <w:rsid w:val="002D2643"/>
    <w:rsid w:val="002D3DD0"/>
    <w:rsid w:val="002D40C4"/>
    <w:rsid w:val="002D5BC6"/>
    <w:rsid w:val="002D6622"/>
    <w:rsid w:val="002E1F3A"/>
    <w:rsid w:val="002E2864"/>
    <w:rsid w:val="002E298A"/>
    <w:rsid w:val="002E377E"/>
    <w:rsid w:val="002E5322"/>
    <w:rsid w:val="002E5781"/>
    <w:rsid w:val="002F2686"/>
    <w:rsid w:val="002F33F7"/>
    <w:rsid w:val="002F3600"/>
    <w:rsid w:val="002F3753"/>
    <w:rsid w:val="002F4FDD"/>
    <w:rsid w:val="002F67B2"/>
    <w:rsid w:val="002F79BF"/>
    <w:rsid w:val="002F7AA7"/>
    <w:rsid w:val="00301978"/>
    <w:rsid w:val="0030303A"/>
    <w:rsid w:val="0030332C"/>
    <w:rsid w:val="00304512"/>
    <w:rsid w:val="003051C2"/>
    <w:rsid w:val="003052AF"/>
    <w:rsid w:val="00305A12"/>
    <w:rsid w:val="00312296"/>
    <w:rsid w:val="003136B6"/>
    <w:rsid w:val="00314362"/>
    <w:rsid w:val="00314F0E"/>
    <w:rsid w:val="0031539E"/>
    <w:rsid w:val="00317846"/>
    <w:rsid w:val="00321BA3"/>
    <w:rsid w:val="00321D8E"/>
    <w:rsid w:val="003232A1"/>
    <w:rsid w:val="0032422F"/>
    <w:rsid w:val="00324DFC"/>
    <w:rsid w:val="00325696"/>
    <w:rsid w:val="00325928"/>
    <w:rsid w:val="0032696E"/>
    <w:rsid w:val="00330289"/>
    <w:rsid w:val="003306F8"/>
    <w:rsid w:val="00332863"/>
    <w:rsid w:val="00332AD7"/>
    <w:rsid w:val="0033684D"/>
    <w:rsid w:val="00337B42"/>
    <w:rsid w:val="00341B42"/>
    <w:rsid w:val="0034348F"/>
    <w:rsid w:val="0034554A"/>
    <w:rsid w:val="00345DDA"/>
    <w:rsid w:val="00346C00"/>
    <w:rsid w:val="00356653"/>
    <w:rsid w:val="003566F0"/>
    <w:rsid w:val="00356B00"/>
    <w:rsid w:val="0035743F"/>
    <w:rsid w:val="00357BE2"/>
    <w:rsid w:val="00357C50"/>
    <w:rsid w:val="003614DC"/>
    <w:rsid w:val="0036170C"/>
    <w:rsid w:val="00362F0E"/>
    <w:rsid w:val="003634DE"/>
    <w:rsid w:val="0036445E"/>
    <w:rsid w:val="00365D7D"/>
    <w:rsid w:val="00366E0F"/>
    <w:rsid w:val="003671EF"/>
    <w:rsid w:val="0036775B"/>
    <w:rsid w:val="00372E45"/>
    <w:rsid w:val="003749A1"/>
    <w:rsid w:val="003765DC"/>
    <w:rsid w:val="00381A72"/>
    <w:rsid w:val="00381DC3"/>
    <w:rsid w:val="003839B5"/>
    <w:rsid w:val="00384676"/>
    <w:rsid w:val="00384F00"/>
    <w:rsid w:val="00390857"/>
    <w:rsid w:val="00392CED"/>
    <w:rsid w:val="00393385"/>
    <w:rsid w:val="00395C49"/>
    <w:rsid w:val="003965A7"/>
    <w:rsid w:val="00396A08"/>
    <w:rsid w:val="003A3D89"/>
    <w:rsid w:val="003A46F2"/>
    <w:rsid w:val="003A4BF3"/>
    <w:rsid w:val="003A4D6C"/>
    <w:rsid w:val="003A505C"/>
    <w:rsid w:val="003A6F99"/>
    <w:rsid w:val="003B3A02"/>
    <w:rsid w:val="003B4051"/>
    <w:rsid w:val="003B420D"/>
    <w:rsid w:val="003C3372"/>
    <w:rsid w:val="003C67BA"/>
    <w:rsid w:val="003C6C16"/>
    <w:rsid w:val="003C7210"/>
    <w:rsid w:val="003C77DF"/>
    <w:rsid w:val="003D42E1"/>
    <w:rsid w:val="003D4CCC"/>
    <w:rsid w:val="003D4CEC"/>
    <w:rsid w:val="003D4E83"/>
    <w:rsid w:val="003D794D"/>
    <w:rsid w:val="003E02D7"/>
    <w:rsid w:val="003E0A38"/>
    <w:rsid w:val="003E188E"/>
    <w:rsid w:val="003E3058"/>
    <w:rsid w:val="003E76A9"/>
    <w:rsid w:val="003F0809"/>
    <w:rsid w:val="003F13C0"/>
    <w:rsid w:val="003F1C44"/>
    <w:rsid w:val="003F6A8C"/>
    <w:rsid w:val="003F755C"/>
    <w:rsid w:val="004011E8"/>
    <w:rsid w:val="00403316"/>
    <w:rsid w:val="00404170"/>
    <w:rsid w:val="00405579"/>
    <w:rsid w:val="0040579C"/>
    <w:rsid w:val="004057ED"/>
    <w:rsid w:val="00405DD0"/>
    <w:rsid w:val="00406F01"/>
    <w:rsid w:val="00411927"/>
    <w:rsid w:val="00413A51"/>
    <w:rsid w:val="00415AAB"/>
    <w:rsid w:val="00416D50"/>
    <w:rsid w:val="00416FD5"/>
    <w:rsid w:val="00417772"/>
    <w:rsid w:val="00420E6A"/>
    <w:rsid w:val="00421173"/>
    <w:rsid w:val="00421B8E"/>
    <w:rsid w:val="00423C69"/>
    <w:rsid w:val="004240DE"/>
    <w:rsid w:val="00425A9E"/>
    <w:rsid w:val="00425C09"/>
    <w:rsid w:val="00426D6B"/>
    <w:rsid w:val="00427D93"/>
    <w:rsid w:val="004313F0"/>
    <w:rsid w:val="00431C88"/>
    <w:rsid w:val="00431E6C"/>
    <w:rsid w:val="00433CE7"/>
    <w:rsid w:val="00435E2D"/>
    <w:rsid w:val="0043775A"/>
    <w:rsid w:val="00437D4A"/>
    <w:rsid w:val="00441E08"/>
    <w:rsid w:val="00441EAA"/>
    <w:rsid w:val="004422C1"/>
    <w:rsid w:val="00443190"/>
    <w:rsid w:val="00447E61"/>
    <w:rsid w:val="004501A8"/>
    <w:rsid w:val="00450ECF"/>
    <w:rsid w:val="00450F3F"/>
    <w:rsid w:val="00452738"/>
    <w:rsid w:val="00453CF6"/>
    <w:rsid w:val="00456091"/>
    <w:rsid w:val="00463DFA"/>
    <w:rsid w:val="004649E3"/>
    <w:rsid w:val="00464F5D"/>
    <w:rsid w:val="0046595B"/>
    <w:rsid w:val="00465DA6"/>
    <w:rsid w:val="004661B2"/>
    <w:rsid w:val="00466321"/>
    <w:rsid w:val="00467171"/>
    <w:rsid w:val="004671E3"/>
    <w:rsid w:val="00474C64"/>
    <w:rsid w:val="00474FA1"/>
    <w:rsid w:val="00483EFB"/>
    <w:rsid w:val="00484B9B"/>
    <w:rsid w:val="0048555D"/>
    <w:rsid w:val="004855F6"/>
    <w:rsid w:val="0048661E"/>
    <w:rsid w:val="00487BB7"/>
    <w:rsid w:val="00494670"/>
    <w:rsid w:val="00496DA7"/>
    <w:rsid w:val="004A3823"/>
    <w:rsid w:val="004A4995"/>
    <w:rsid w:val="004A5254"/>
    <w:rsid w:val="004B152B"/>
    <w:rsid w:val="004B6C4D"/>
    <w:rsid w:val="004C127D"/>
    <w:rsid w:val="004C1FE9"/>
    <w:rsid w:val="004C2EFD"/>
    <w:rsid w:val="004C563D"/>
    <w:rsid w:val="004C6CB5"/>
    <w:rsid w:val="004C7CD6"/>
    <w:rsid w:val="004D0D46"/>
    <w:rsid w:val="004D4582"/>
    <w:rsid w:val="004D5C6D"/>
    <w:rsid w:val="004D7168"/>
    <w:rsid w:val="004E17A4"/>
    <w:rsid w:val="004E6946"/>
    <w:rsid w:val="004F09E9"/>
    <w:rsid w:val="004F1AD8"/>
    <w:rsid w:val="004F41EE"/>
    <w:rsid w:val="004F5164"/>
    <w:rsid w:val="00500EDD"/>
    <w:rsid w:val="00502F7B"/>
    <w:rsid w:val="005039CB"/>
    <w:rsid w:val="0050558F"/>
    <w:rsid w:val="00505BEC"/>
    <w:rsid w:val="00506286"/>
    <w:rsid w:val="005072BC"/>
    <w:rsid w:val="00507836"/>
    <w:rsid w:val="00510813"/>
    <w:rsid w:val="00511990"/>
    <w:rsid w:val="00511DE0"/>
    <w:rsid w:val="0051277C"/>
    <w:rsid w:val="0051382A"/>
    <w:rsid w:val="005147E3"/>
    <w:rsid w:val="00514870"/>
    <w:rsid w:val="00514B9B"/>
    <w:rsid w:val="00517F02"/>
    <w:rsid w:val="0052069F"/>
    <w:rsid w:val="00521876"/>
    <w:rsid w:val="00523794"/>
    <w:rsid w:val="00524303"/>
    <w:rsid w:val="00524921"/>
    <w:rsid w:val="00524FB8"/>
    <w:rsid w:val="005258A2"/>
    <w:rsid w:val="00532708"/>
    <w:rsid w:val="00534638"/>
    <w:rsid w:val="005353B9"/>
    <w:rsid w:val="005401AE"/>
    <w:rsid w:val="00542E07"/>
    <w:rsid w:val="00543B65"/>
    <w:rsid w:val="0054517E"/>
    <w:rsid w:val="00545424"/>
    <w:rsid w:val="005468D2"/>
    <w:rsid w:val="00554A7B"/>
    <w:rsid w:val="0055572C"/>
    <w:rsid w:val="0056106A"/>
    <w:rsid w:val="005617AC"/>
    <w:rsid w:val="005643AC"/>
    <w:rsid w:val="00571D9A"/>
    <w:rsid w:val="005720AE"/>
    <w:rsid w:val="00572C9F"/>
    <w:rsid w:val="00574720"/>
    <w:rsid w:val="005764FE"/>
    <w:rsid w:val="00580B54"/>
    <w:rsid w:val="00581BAF"/>
    <w:rsid w:val="0058561E"/>
    <w:rsid w:val="00587420"/>
    <w:rsid w:val="0059157D"/>
    <w:rsid w:val="0059431F"/>
    <w:rsid w:val="00594D77"/>
    <w:rsid w:val="005955E8"/>
    <w:rsid w:val="005969E4"/>
    <w:rsid w:val="00596D3D"/>
    <w:rsid w:val="005A06B7"/>
    <w:rsid w:val="005A1759"/>
    <w:rsid w:val="005A1EE0"/>
    <w:rsid w:val="005A3306"/>
    <w:rsid w:val="005A53FD"/>
    <w:rsid w:val="005A68A7"/>
    <w:rsid w:val="005A7C65"/>
    <w:rsid w:val="005B13A2"/>
    <w:rsid w:val="005B27D0"/>
    <w:rsid w:val="005B4E07"/>
    <w:rsid w:val="005B52E0"/>
    <w:rsid w:val="005B73A6"/>
    <w:rsid w:val="005C0D97"/>
    <w:rsid w:val="005C2CD1"/>
    <w:rsid w:val="005C60A7"/>
    <w:rsid w:val="005C7126"/>
    <w:rsid w:val="005D109E"/>
    <w:rsid w:val="005D144F"/>
    <w:rsid w:val="005D36AB"/>
    <w:rsid w:val="005E12C4"/>
    <w:rsid w:val="005E79E0"/>
    <w:rsid w:val="005E7E24"/>
    <w:rsid w:val="005F1DB5"/>
    <w:rsid w:val="005F696D"/>
    <w:rsid w:val="005F7063"/>
    <w:rsid w:val="00600205"/>
    <w:rsid w:val="00602975"/>
    <w:rsid w:val="00611335"/>
    <w:rsid w:val="00612978"/>
    <w:rsid w:val="00617CC3"/>
    <w:rsid w:val="00622819"/>
    <w:rsid w:val="00622B1A"/>
    <w:rsid w:val="00623149"/>
    <w:rsid w:val="0062430F"/>
    <w:rsid w:val="00632060"/>
    <w:rsid w:val="0063276B"/>
    <w:rsid w:val="0063414A"/>
    <w:rsid w:val="00635241"/>
    <w:rsid w:val="006377A6"/>
    <w:rsid w:val="00637A3D"/>
    <w:rsid w:val="006402BD"/>
    <w:rsid w:val="006411EF"/>
    <w:rsid w:val="006535CF"/>
    <w:rsid w:val="006543DC"/>
    <w:rsid w:val="0065642B"/>
    <w:rsid w:val="00661E54"/>
    <w:rsid w:val="006620F0"/>
    <w:rsid w:val="00662587"/>
    <w:rsid w:val="00663241"/>
    <w:rsid w:val="00664E3E"/>
    <w:rsid w:val="006668AD"/>
    <w:rsid w:val="00670B2A"/>
    <w:rsid w:val="006711C6"/>
    <w:rsid w:val="0067195A"/>
    <w:rsid w:val="00672A99"/>
    <w:rsid w:val="00673B33"/>
    <w:rsid w:val="006748B8"/>
    <w:rsid w:val="00675523"/>
    <w:rsid w:val="006769C6"/>
    <w:rsid w:val="006775C3"/>
    <w:rsid w:val="00680AF7"/>
    <w:rsid w:val="00681CF9"/>
    <w:rsid w:val="00692289"/>
    <w:rsid w:val="0069290A"/>
    <w:rsid w:val="00692B4B"/>
    <w:rsid w:val="0069358C"/>
    <w:rsid w:val="00693A92"/>
    <w:rsid w:val="0069507F"/>
    <w:rsid w:val="00696FC2"/>
    <w:rsid w:val="0069775A"/>
    <w:rsid w:val="00697813"/>
    <w:rsid w:val="006A0194"/>
    <w:rsid w:val="006A1DA6"/>
    <w:rsid w:val="006A3EE8"/>
    <w:rsid w:val="006A4112"/>
    <w:rsid w:val="006A4FEE"/>
    <w:rsid w:val="006A5217"/>
    <w:rsid w:val="006A72BF"/>
    <w:rsid w:val="006A74A6"/>
    <w:rsid w:val="006A7970"/>
    <w:rsid w:val="006A7E80"/>
    <w:rsid w:val="006B03F2"/>
    <w:rsid w:val="006B0FCB"/>
    <w:rsid w:val="006B302A"/>
    <w:rsid w:val="006B3281"/>
    <w:rsid w:val="006B37DC"/>
    <w:rsid w:val="006B4F68"/>
    <w:rsid w:val="006B5683"/>
    <w:rsid w:val="006B5E3C"/>
    <w:rsid w:val="006C0592"/>
    <w:rsid w:val="006C07FA"/>
    <w:rsid w:val="006C19FD"/>
    <w:rsid w:val="006C2178"/>
    <w:rsid w:val="006C272E"/>
    <w:rsid w:val="006C3CEE"/>
    <w:rsid w:val="006C5479"/>
    <w:rsid w:val="006D07D1"/>
    <w:rsid w:val="006D126B"/>
    <w:rsid w:val="006D13B5"/>
    <w:rsid w:val="006D531C"/>
    <w:rsid w:val="006D6B1B"/>
    <w:rsid w:val="006D7E7F"/>
    <w:rsid w:val="006E12FF"/>
    <w:rsid w:val="006E589E"/>
    <w:rsid w:val="006E595C"/>
    <w:rsid w:val="006E607E"/>
    <w:rsid w:val="006F0396"/>
    <w:rsid w:val="006F17B4"/>
    <w:rsid w:val="006F4636"/>
    <w:rsid w:val="007011B6"/>
    <w:rsid w:val="00701C7C"/>
    <w:rsid w:val="00703AD1"/>
    <w:rsid w:val="007041EC"/>
    <w:rsid w:val="007044D0"/>
    <w:rsid w:val="00704C6D"/>
    <w:rsid w:val="0070676B"/>
    <w:rsid w:val="00706C5D"/>
    <w:rsid w:val="007078A8"/>
    <w:rsid w:val="00710457"/>
    <w:rsid w:val="00714433"/>
    <w:rsid w:val="007145F7"/>
    <w:rsid w:val="00714A7A"/>
    <w:rsid w:val="00714DE2"/>
    <w:rsid w:val="00716636"/>
    <w:rsid w:val="00717059"/>
    <w:rsid w:val="0071792D"/>
    <w:rsid w:val="00722024"/>
    <w:rsid w:val="007231B3"/>
    <w:rsid w:val="00726676"/>
    <w:rsid w:val="00730A2A"/>
    <w:rsid w:val="00732922"/>
    <w:rsid w:val="00733D99"/>
    <w:rsid w:val="00737CE9"/>
    <w:rsid w:val="0074086B"/>
    <w:rsid w:val="007444D1"/>
    <w:rsid w:val="007451DC"/>
    <w:rsid w:val="00747010"/>
    <w:rsid w:val="00747265"/>
    <w:rsid w:val="00750668"/>
    <w:rsid w:val="00750ECC"/>
    <w:rsid w:val="0075162E"/>
    <w:rsid w:val="00752D38"/>
    <w:rsid w:val="00753E42"/>
    <w:rsid w:val="00753F95"/>
    <w:rsid w:val="00754034"/>
    <w:rsid w:val="00756556"/>
    <w:rsid w:val="0075786C"/>
    <w:rsid w:val="00757BF0"/>
    <w:rsid w:val="007617AE"/>
    <w:rsid w:val="007618C4"/>
    <w:rsid w:val="00761A84"/>
    <w:rsid w:val="00764052"/>
    <w:rsid w:val="00765330"/>
    <w:rsid w:val="00766C7F"/>
    <w:rsid w:val="00767980"/>
    <w:rsid w:val="00770A58"/>
    <w:rsid w:val="00770B19"/>
    <w:rsid w:val="007711E7"/>
    <w:rsid w:val="00771642"/>
    <w:rsid w:val="00772B40"/>
    <w:rsid w:val="00774269"/>
    <w:rsid w:val="0077463F"/>
    <w:rsid w:val="00775E0E"/>
    <w:rsid w:val="00776241"/>
    <w:rsid w:val="00781A3D"/>
    <w:rsid w:val="00782078"/>
    <w:rsid w:val="007836EA"/>
    <w:rsid w:val="00783A6C"/>
    <w:rsid w:val="00784CDA"/>
    <w:rsid w:val="00787565"/>
    <w:rsid w:val="007906C4"/>
    <w:rsid w:val="00790EF3"/>
    <w:rsid w:val="00791478"/>
    <w:rsid w:val="00792A8D"/>
    <w:rsid w:val="007931BB"/>
    <w:rsid w:val="007935B7"/>
    <w:rsid w:val="007940EA"/>
    <w:rsid w:val="007956DB"/>
    <w:rsid w:val="00795F13"/>
    <w:rsid w:val="007967E8"/>
    <w:rsid w:val="00797603"/>
    <w:rsid w:val="007A1411"/>
    <w:rsid w:val="007A2170"/>
    <w:rsid w:val="007A22BF"/>
    <w:rsid w:val="007A255F"/>
    <w:rsid w:val="007A3323"/>
    <w:rsid w:val="007A4668"/>
    <w:rsid w:val="007A5A85"/>
    <w:rsid w:val="007A7622"/>
    <w:rsid w:val="007A7EB7"/>
    <w:rsid w:val="007B6383"/>
    <w:rsid w:val="007B72B8"/>
    <w:rsid w:val="007B7A58"/>
    <w:rsid w:val="007C21B5"/>
    <w:rsid w:val="007C5209"/>
    <w:rsid w:val="007C5309"/>
    <w:rsid w:val="007D00FE"/>
    <w:rsid w:val="007D43AF"/>
    <w:rsid w:val="007E3652"/>
    <w:rsid w:val="007E4BD2"/>
    <w:rsid w:val="007E5807"/>
    <w:rsid w:val="007E6E1F"/>
    <w:rsid w:val="007E7074"/>
    <w:rsid w:val="007F2157"/>
    <w:rsid w:val="007F4822"/>
    <w:rsid w:val="007F71C5"/>
    <w:rsid w:val="00801393"/>
    <w:rsid w:val="00802F88"/>
    <w:rsid w:val="00803893"/>
    <w:rsid w:val="00803A64"/>
    <w:rsid w:val="00811A48"/>
    <w:rsid w:val="00811DAE"/>
    <w:rsid w:val="0081293E"/>
    <w:rsid w:val="008143E3"/>
    <w:rsid w:val="00815465"/>
    <w:rsid w:val="00817E9A"/>
    <w:rsid w:val="00823E32"/>
    <w:rsid w:val="008306BD"/>
    <w:rsid w:val="00831A80"/>
    <w:rsid w:val="00833743"/>
    <w:rsid w:val="008340A4"/>
    <w:rsid w:val="0083446B"/>
    <w:rsid w:val="00835547"/>
    <w:rsid w:val="008400D9"/>
    <w:rsid w:val="008417D6"/>
    <w:rsid w:val="0084266D"/>
    <w:rsid w:val="00844FD9"/>
    <w:rsid w:val="008453AE"/>
    <w:rsid w:val="0085003C"/>
    <w:rsid w:val="00850886"/>
    <w:rsid w:val="00852CE7"/>
    <w:rsid w:val="00855C38"/>
    <w:rsid w:val="00856D02"/>
    <w:rsid w:val="00857D0D"/>
    <w:rsid w:val="00861DF3"/>
    <w:rsid w:val="00864A9E"/>
    <w:rsid w:val="00865604"/>
    <w:rsid w:val="0086622B"/>
    <w:rsid w:val="008707F4"/>
    <w:rsid w:val="0087135F"/>
    <w:rsid w:val="00872D94"/>
    <w:rsid w:val="00874402"/>
    <w:rsid w:val="008766D2"/>
    <w:rsid w:val="00880364"/>
    <w:rsid w:val="0088228B"/>
    <w:rsid w:val="008875E6"/>
    <w:rsid w:val="00887A59"/>
    <w:rsid w:val="008912B0"/>
    <w:rsid w:val="00891592"/>
    <w:rsid w:val="00891CFC"/>
    <w:rsid w:val="00891E9E"/>
    <w:rsid w:val="00893CB6"/>
    <w:rsid w:val="00894933"/>
    <w:rsid w:val="008A0495"/>
    <w:rsid w:val="008A1A9B"/>
    <w:rsid w:val="008A1C6E"/>
    <w:rsid w:val="008A2F0D"/>
    <w:rsid w:val="008A2F68"/>
    <w:rsid w:val="008A41B7"/>
    <w:rsid w:val="008A6564"/>
    <w:rsid w:val="008A7D3B"/>
    <w:rsid w:val="008B0FCA"/>
    <w:rsid w:val="008B35E0"/>
    <w:rsid w:val="008B3A71"/>
    <w:rsid w:val="008B4FA6"/>
    <w:rsid w:val="008B5282"/>
    <w:rsid w:val="008B7C17"/>
    <w:rsid w:val="008C007F"/>
    <w:rsid w:val="008C2696"/>
    <w:rsid w:val="008C2D01"/>
    <w:rsid w:val="008C2DCE"/>
    <w:rsid w:val="008C4002"/>
    <w:rsid w:val="008C40E6"/>
    <w:rsid w:val="008C49A7"/>
    <w:rsid w:val="008C6066"/>
    <w:rsid w:val="008D049A"/>
    <w:rsid w:val="008D0F7A"/>
    <w:rsid w:val="008D2FF2"/>
    <w:rsid w:val="008D5573"/>
    <w:rsid w:val="008D68E4"/>
    <w:rsid w:val="008E0506"/>
    <w:rsid w:val="008E0CFF"/>
    <w:rsid w:val="008E1523"/>
    <w:rsid w:val="008E2EC5"/>
    <w:rsid w:val="008E5133"/>
    <w:rsid w:val="008E5D6B"/>
    <w:rsid w:val="008E6388"/>
    <w:rsid w:val="008E76F0"/>
    <w:rsid w:val="008F15FE"/>
    <w:rsid w:val="008F27CF"/>
    <w:rsid w:val="008F2D29"/>
    <w:rsid w:val="008F517F"/>
    <w:rsid w:val="008F5187"/>
    <w:rsid w:val="008F60D8"/>
    <w:rsid w:val="008F6FD2"/>
    <w:rsid w:val="008F7CDE"/>
    <w:rsid w:val="00900F8E"/>
    <w:rsid w:val="009019AC"/>
    <w:rsid w:val="00901F1A"/>
    <w:rsid w:val="00902727"/>
    <w:rsid w:val="00902876"/>
    <w:rsid w:val="0090312B"/>
    <w:rsid w:val="00903A62"/>
    <w:rsid w:val="00903D9C"/>
    <w:rsid w:val="00904310"/>
    <w:rsid w:val="009048BC"/>
    <w:rsid w:val="00907322"/>
    <w:rsid w:val="00910534"/>
    <w:rsid w:val="009124E2"/>
    <w:rsid w:val="009126D3"/>
    <w:rsid w:val="0091391B"/>
    <w:rsid w:val="00917187"/>
    <w:rsid w:val="0091736D"/>
    <w:rsid w:val="00921114"/>
    <w:rsid w:val="00921ACA"/>
    <w:rsid w:val="00922178"/>
    <w:rsid w:val="00923371"/>
    <w:rsid w:val="00924457"/>
    <w:rsid w:val="0092467A"/>
    <w:rsid w:val="00925C4F"/>
    <w:rsid w:val="00927892"/>
    <w:rsid w:val="0093037A"/>
    <w:rsid w:val="009303D2"/>
    <w:rsid w:val="00931C6B"/>
    <w:rsid w:val="00931DF8"/>
    <w:rsid w:val="00933A23"/>
    <w:rsid w:val="0093406D"/>
    <w:rsid w:val="0094154D"/>
    <w:rsid w:val="00942497"/>
    <w:rsid w:val="00942774"/>
    <w:rsid w:val="00946C30"/>
    <w:rsid w:val="00950110"/>
    <w:rsid w:val="0095155F"/>
    <w:rsid w:val="00954429"/>
    <w:rsid w:val="00954D41"/>
    <w:rsid w:val="00956012"/>
    <w:rsid w:val="009563CE"/>
    <w:rsid w:val="0096065F"/>
    <w:rsid w:val="00960F21"/>
    <w:rsid w:val="00964861"/>
    <w:rsid w:val="0096779B"/>
    <w:rsid w:val="00976328"/>
    <w:rsid w:val="0097680D"/>
    <w:rsid w:val="00976AEB"/>
    <w:rsid w:val="0097768A"/>
    <w:rsid w:val="00977E66"/>
    <w:rsid w:val="00980E9E"/>
    <w:rsid w:val="009817AD"/>
    <w:rsid w:val="0098189E"/>
    <w:rsid w:val="00982438"/>
    <w:rsid w:val="0098404C"/>
    <w:rsid w:val="00984E02"/>
    <w:rsid w:val="00985283"/>
    <w:rsid w:val="009914C1"/>
    <w:rsid w:val="0099253F"/>
    <w:rsid w:val="009929EE"/>
    <w:rsid w:val="00995992"/>
    <w:rsid w:val="009970B7"/>
    <w:rsid w:val="009A03E5"/>
    <w:rsid w:val="009A0F3B"/>
    <w:rsid w:val="009A1714"/>
    <w:rsid w:val="009A1BB4"/>
    <w:rsid w:val="009A2628"/>
    <w:rsid w:val="009A3200"/>
    <w:rsid w:val="009A40BF"/>
    <w:rsid w:val="009B0897"/>
    <w:rsid w:val="009B20C1"/>
    <w:rsid w:val="009B2989"/>
    <w:rsid w:val="009B2DED"/>
    <w:rsid w:val="009B33FE"/>
    <w:rsid w:val="009B4C07"/>
    <w:rsid w:val="009B4FCA"/>
    <w:rsid w:val="009B5F2D"/>
    <w:rsid w:val="009B6323"/>
    <w:rsid w:val="009B7BD9"/>
    <w:rsid w:val="009C0E15"/>
    <w:rsid w:val="009C1023"/>
    <w:rsid w:val="009C6FF4"/>
    <w:rsid w:val="009C740D"/>
    <w:rsid w:val="009C7C35"/>
    <w:rsid w:val="009C7DD5"/>
    <w:rsid w:val="009D094E"/>
    <w:rsid w:val="009D215D"/>
    <w:rsid w:val="009D3104"/>
    <w:rsid w:val="009D4B93"/>
    <w:rsid w:val="009D4FA2"/>
    <w:rsid w:val="009D63FC"/>
    <w:rsid w:val="009D67FA"/>
    <w:rsid w:val="009E1378"/>
    <w:rsid w:val="009E227D"/>
    <w:rsid w:val="009E5019"/>
    <w:rsid w:val="009E6F66"/>
    <w:rsid w:val="009E71A4"/>
    <w:rsid w:val="009F2255"/>
    <w:rsid w:val="009F258D"/>
    <w:rsid w:val="009F70DA"/>
    <w:rsid w:val="009F7C69"/>
    <w:rsid w:val="00A028C8"/>
    <w:rsid w:val="00A04F1B"/>
    <w:rsid w:val="00A0501B"/>
    <w:rsid w:val="00A05E7B"/>
    <w:rsid w:val="00A1009D"/>
    <w:rsid w:val="00A120D9"/>
    <w:rsid w:val="00A12D9F"/>
    <w:rsid w:val="00A1313A"/>
    <w:rsid w:val="00A14947"/>
    <w:rsid w:val="00A14AFB"/>
    <w:rsid w:val="00A17802"/>
    <w:rsid w:val="00A209AD"/>
    <w:rsid w:val="00A21623"/>
    <w:rsid w:val="00A21F57"/>
    <w:rsid w:val="00A246A5"/>
    <w:rsid w:val="00A24F1E"/>
    <w:rsid w:val="00A25201"/>
    <w:rsid w:val="00A30011"/>
    <w:rsid w:val="00A31295"/>
    <w:rsid w:val="00A314DE"/>
    <w:rsid w:val="00A329FE"/>
    <w:rsid w:val="00A32A83"/>
    <w:rsid w:val="00A32DA1"/>
    <w:rsid w:val="00A340B8"/>
    <w:rsid w:val="00A360FD"/>
    <w:rsid w:val="00A368DB"/>
    <w:rsid w:val="00A36C18"/>
    <w:rsid w:val="00A373AA"/>
    <w:rsid w:val="00A423AA"/>
    <w:rsid w:val="00A4314F"/>
    <w:rsid w:val="00A44671"/>
    <w:rsid w:val="00A477DA"/>
    <w:rsid w:val="00A52808"/>
    <w:rsid w:val="00A5288F"/>
    <w:rsid w:val="00A53EC6"/>
    <w:rsid w:val="00A54083"/>
    <w:rsid w:val="00A5455D"/>
    <w:rsid w:val="00A55615"/>
    <w:rsid w:val="00A55721"/>
    <w:rsid w:val="00A55C0F"/>
    <w:rsid w:val="00A561BC"/>
    <w:rsid w:val="00A578DD"/>
    <w:rsid w:val="00A60F41"/>
    <w:rsid w:val="00A63A21"/>
    <w:rsid w:val="00A71454"/>
    <w:rsid w:val="00A72175"/>
    <w:rsid w:val="00A7265D"/>
    <w:rsid w:val="00A74FCB"/>
    <w:rsid w:val="00A815B8"/>
    <w:rsid w:val="00A82DE9"/>
    <w:rsid w:val="00A86341"/>
    <w:rsid w:val="00A8713F"/>
    <w:rsid w:val="00A87AC3"/>
    <w:rsid w:val="00A87F92"/>
    <w:rsid w:val="00A90BA1"/>
    <w:rsid w:val="00A93925"/>
    <w:rsid w:val="00A95B2A"/>
    <w:rsid w:val="00A96F17"/>
    <w:rsid w:val="00A97A9A"/>
    <w:rsid w:val="00AA02B0"/>
    <w:rsid w:val="00AA0671"/>
    <w:rsid w:val="00AA1997"/>
    <w:rsid w:val="00AA1B5B"/>
    <w:rsid w:val="00AA2531"/>
    <w:rsid w:val="00AA3EC8"/>
    <w:rsid w:val="00AA4176"/>
    <w:rsid w:val="00AA78DB"/>
    <w:rsid w:val="00AB1620"/>
    <w:rsid w:val="00AB1E09"/>
    <w:rsid w:val="00AB2870"/>
    <w:rsid w:val="00AB3BC9"/>
    <w:rsid w:val="00AB5330"/>
    <w:rsid w:val="00AB64A8"/>
    <w:rsid w:val="00AB6747"/>
    <w:rsid w:val="00AB7747"/>
    <w:rsid w:val="00AC007A"/>
    <w:rsid w:val="00AC14CE"/>
    <w:rsid w:val="00AC2431"/>
    <w:rsid w:val="00AC2A56"/>
    <w:rsid w:val="00AC471C"/>
    <w:rsid w:val="00AC520D"/>
    <w:rsid w:val="00AC564C"/>
    <w:rsid w:val="00AD055E"/>
    <w:rsid w:val="00AD0C6A"/>
    <w:rsid w:val="00AD1F65"/>
    <w:rsid w:val="00AD289D"/>
    <w:rsid w:val="00AD3228"/>
    <w:rsid w:val="00AD47A7"/>
    <w:rsid w:val="00AD4B1D"/>
    <w:rsid w:val="00AD75F8"/>
    <w:rsid w:val="00AE24D2"/>
    <w:rsid w:val="00AE4CA3"/>
    <w:rsid w:val="00AE5231"/>
    <w:rsid w:val="00AE56AA"/>
    <w:rsid w:val="00AE6C18"/>
    <w:rsid w:val="00AF0CBF"/>
    <w:rsid w:val="00AF257F"/>
    <w:rsid w:val="00AF33CF"/>
    <w:rsid w:val="00AF4D50"/>
    <w:rsid w:val="00AF5A74"/>
    <w:rsid w:val="00AF6179"/>
    <w:rsid w:val="00B01D8B"/>
    <w:rsid w:val="00B028A0"/>
    <w:rsid w:val="00B02DAD"/>
    <w:rsid w:val="00B048C0"/>
    <w:rsid w:val="00B057F2"/>
    <w:rsid w:val="00B1295A"/>
    <w:rsid w:val="00B12E54"/>
    <w:rsid w:val="00B13578"/>
    <w:rsid w:val="00B20A45"/>
    <w:rsid w:val="00B22C5C"/>
    <w:rsid w:val="00B22E40"/>
    <w:rsid w:val="00B24F30"/>
    <w:rsid w:val="00B270B8"/>
    <w:rsid w:val="00B27C91"/>
    <w:rsid w:val="00B31169"/>
    <w:rsid w:val="00B314B9"/>
    <w:rsid w:val="00B31ABF"/>
    <w:rsid w:val="00B33BE3"/>
    <w:rsid w:val="00B35FAD"/>
    <w:rsid w:val="00B3714D"/>
    <w:rsid w:val="00B43F8C"/>
    <w:rsid w:val="00B4520A"/>
    <w:rsid w:val="00B47AB6"/>
    <w:rsid w:val="00B538D5"/>
    <w:rsid w:val="00B53B5D"/>
    <w:rsid w:val="00B55612"/>
    <w:rsid w:val="00B560B7"/>
    <w:rsid w:val="00B57281"/>
    <w:rsid w:val="00B57B9E"/>
    <w:rsid w:val="00B6055E"/>
    <w:rsid w:val="00B61919"/>
    <w:rsid w:val="00B6317D"/>
    <w:rsid w:val="00B63249"/>
    <w:rsid w:val="00B64264"/>
    <w:rsid w:val="00B739A1"/>
    <w:rsid w:val="00B76B12"/>
    <w:rsid w:val="00B771C0"/>
    <w:rsid w:val="00B7723F"/>
    <w:rsid w:val="00B801B9"/>
    <w:rsid w:val="00B80534"/>
    <w:rsid w:val="00B8368F"/>
    <w:rsid w:val="00B8433C"/>
    <w:rsid w:val="00B85EE5"/>
    <w:rsid w:val="00B87491"/>
    <w:rsid w:val="00B90AD0"/>
    <w:rsid w:val="00B92DB5"/>
    <w:rsid w:val="00B93584"/>
    <w:rsid w:val="00B94164"/>
    <w:rsid w:val="00B952EE"/>
    <w:rsid w:val="00B976FC"/>
    <w:rsid w:val="00BA078C"/>
    <w:rsid w:val="00BA09AA"/>
    <w:rsid w:val="00BA1419"/>
    <w:rsid w:val="00BA1894"/>
    <w:rsid w:val="00BA20C8"/>
    <w:rsid w:val="00BA2484"/>
    <w:rsid w:val="00BA29E9"/>
    <w:rsid w:val="00BA449D"/>
    <w:rsid w:val="00BA7142"/>
    <w:rsid w:val="00BB237C"/>
    <w:rsid w:val="00BB24B1"/>
    <w:rsid w:val="00BB41A3"/>
    <w:rsid w:val="00BB4343"/>
    <w:rsid w:val="00BB50FB"/>
    <w:rsid w:val="00BC11FC"/>
    <w:rsid w:val="00BC1545"/>
    <w:rsid w:val="00BC32DC"/>
    <w:rsid w:val="00BC35B6"/>
    <w:rsid w:val="00BD1B51"/>
    <w:rsid w:val="00BD41F0"/>
    <w:rsid w:val="00BD4596"/>
    <w:rsid w:val="00BD4B5C"/>
    <w:rsid w:val="00BE1405"/>
    <w:rsid w:val="00BE312D"/>
    <w:rsid w:val="00BE32F5"/>
    <w:rsid w:val="00BE3C57"/>
    <w:rsid w:val="00BE476B"/>
    <w:rsid w:val="00BF1C20"/>
    <w:rsid w:val="00BF2A28"/>
    <w:rsid w:val="00BF471A"/>
    <w:rsid w:val="00BF6CB6"/>
    <w:rsid w:val="00C01DDD"/>
    <w:rsid w:val="00C03C04"/>
    <w:rsid w:val="00C045FF"/>
    <w:rsid w:val="00C050B3"/>
    <w:rsid w:val="00C0544E"/>
    <w:rsid w:val="00C06173"/>
    <w:rsid w:val="00C06624"/>
    <w:rsid w:val="00C06EA9"/>
    <w:rsid w:val="00C10578"/>
    <w:rsid w:val="00C135BC"/>
    <w:rsid w:val="00C1363A"/>
    <w:rsid w:val="00C14864"/>
    <w:rsid w:val="00C15C95"/>
    <w:rsid w:val="00C16ACF"/>
    <w:rsid w:val="00C20FF5"/>
    <w:rsid w:val="00C23BCE"/>
    <w:rsid w:val="00C2596A"/>
    <w:rsid w:val="00C26D6B"/>
    <w:rsid w:val="00C27537"/>
    <w:rsid w:val="00C328FE"/>
    <w:rsid w:val="00C33507"/>
    <w:rsid w:val="00C335E7"/>
    <w:rsid w:val="00C422BA"/>
    <w:rsid w:val="00C4409D"/>
    <w:rsid w:val="00C4437B"/>
    <w:rsid w:val="00C44887"/>
    <w:rsid w:val="00C44E72"/>
    <w:rsid w:val="00C45A06"/>
    <w:rsid w:val="00C46718"/>
    <w:rsid w:val="00C47E5B"/>
    <w:rsid w:val="00C556FC"/>
    <w:rsid w:val="00C55FBE"/>
    <w:rsid w:val="00C56F5B"/>
    <w:rsid w:val="00C61E4B"/>
    <w:rsid w:val="00C62326"/>
    <w:rsid w:val="00C64BFF"/>
    <w:rsid w:val="00C65EB5"/>
    <w:rsid w:val="00C67AC6"/>
    <w:rsid w:val="00C704E9"/>
    <w:rsid w:val="00C7089B"/>
    <w:rsid w:val="00C70D8E"/>
    <w:rsid w:val="00C7272B"/>
    <w:rsid w:val="00C746F0"/>
    <w:rsid w:val="00C74DBD"/>
    <w:rsid w:val="00C763C9"/>
    <w:rsid w:val="00C80057"/>
    <w:rsid w:val="00C80F09"/>
    <w:rsid w:val="00C82232"/>
    <w:rsid w:val="00C82913"/>
    <w:rsid w:val="00C847E8"/>
    <w:rsid w:val="00C86F33"/>
    <w:rsid w:val="00C87068"/>
    <w:rsid w:val="00C872CA"/>
    <w:rsid w:val="00C9068F"/>
    <w:rsid w:val="00C943D6"/>
    <w:rsid w:val="00C95048"/>
    <w:rsid w:val="00C972B1"/>
    <w:rsid w:val="00CA26DB"/>
    <w:rsid w:val="00CA2CCE"/>
    <w:rsid w:val="00CA43FD"/>
    <w:rsid w:val="00CA4881"/>
    <w:rsid w:val="00CA6B7E"/>
    <w:rsid w:val="00CA7EF8"/>
    <w:rsid w:val="00CB1D61"/>
    <w:rsid w:val="00CB2B2C"/>
    <w:rsid w:val="00CB42D3"/>
    <w:rsid w:val="00CB591C"/>
    <w:rsid w:val="00CB5E74"/>
    <w:rsid w:val="00CB6053"/>
    <w:rsid w:val="00CB665A"/>
    <w:rsid w:val="00CB6F02"/>
    <w:rsid w:val="00CB7840"/>
    <w:rsid w:val="00CC05C4"/>
    <w:rsid w:val="00CC2A53"/>
    <w:rsid w:val="00CC3534"/>
    <w:rsid w:val="00CC489B"/>
    <w:rsid w:val="00CC6529"/>
    <w:rsid w:val="00CD2BCD"/>
    <w:rsid w:val="00CD3A4C"/>
    <w:rsid w:val="00CD6CB7"/>
    <w:rsid w:val="00CE0234"/>
    <w:rsid w:val="00CE10E9"/>
    <w:rsid w:val="00CE206F"/>
    <w:rsid w:val="00CE2910"/>
    <w:rsid w:val="00CE2E09"/>
    <w:rsid w:val="00CE5393"/>
    <w:rsid w:val="00CF18BB"/>
    <w:rsid w:val="00CF36BE"/>
    <w:rsid w:val="00CF527A"/>
    <w:rsid w:val="00CF55CD"/>
    <w:rsid w:val="00CF5931"/>
    <w:rsid w:val="00CF6000"/>
    <w:rsid w:val="00D003F3"/>
    <w:rsid w:val="00D0143B"/>
    <w:rsid w:val="00D021D1"/>
    <w:rsid w:val="00D0364F"/>
    <w:rsid w:val="00D05A41"/>
    <w:rsid w:val="00D06834"/>
    <w:rsid w:val="00D10F08"/>
    <w:rsid w:val="00D130BB"/>
    <w:rsid w:val="00D13F34"/>
    <w:rsid w:val="00D145FC"/>
    <w:rsid w:val="00D157BF"/>
    <w:rsid w:val="00D16B27"/>
    <w:rsid w:val="00D20D1F"/>
    <w:rsid w:val="00D2126E"/>
    <w:rsid w:val="00D228F2"/>
    <w:rsid w:val="00D2448E"/>
    <w:rsid w:val="00D25913"/>
    <w:rsid w:val="00D27473"/>
    <w:rsid w:val="00D308ED"/>
    <w:rsid w:val="00D30B20"/>
    <w:rsid w:val="00D31967"/>
    <w:rsid w:val="00D3246B"/>
    <w:rsid w:val="00D36D86"/>
    <w:rsid w:val="00D37C32"/>
    <w:rsid w:val="00D37EA7"/>
    <w:rsid w:val="00D40228"/>
    <w:rsid w:val="00D428AA"/>
    <w:rsid w:val="00D4645D"/>
    <w:rsid w:val="00D50A34"/>
    <w:rsid w:val="00D518AB"/>
    <w:rsid w:val="00D5274B"/>
    <w:rsid w:val="00D52C2D"/>
    <w:rsid w:val="00D53EFA"/>
    <w:rsid w:val="00D562CD"/>
    <w:rsid w:val="00D61390"/>
    <w:rsid w:val="00D61E00"/>
    <w:rsid w:val="00D63143"/>
    <w:rsid w:val="00D71102"/>
    <w:rsid w:val="00D72A82"/>
    <w:rsid w:val="00D7481A"/>
    <w:rsid w:val="00D82023"/>
    <w:rsid w:val="00D83E41"/>
    <w:rsid w:val="00D854F8"/>
    <w:rsid w:val="00D86F79"/>
    <w:rsid w:val="00D9012D"/>
    <w:rsid w:val="00D90F9E"/>
    <w:rsid w:val="00D917B7"/>
    <w:rsid w:val="00D9394C"/>
    <w:rsid w:val="00D948E2"/>
    <w:rsid w:val="00D94A7C"/>
    <w:rsid w:val="00D95896"/>
    <w:rsid w:val="00D95D42"/>
    <w:rsid w:val="00DA0117"/>
    <w:rsid w:val="00DA1CB7"/>
    <w:rsid w:val="00DA348A"/>
    <w:rsid w:val="00DA3FC4"/>
    <w:rsid w:val="00DB0881"/>
    <w:rsid w:val="00DB2983"/>
    <w:rsid w:val="00DC1257"/>
    <w:rsid w:val="00DC14B1"/>
    <w:rsid w:val="00DC26AF"/>
    <w:rsid w:val="00DC2C98"/>
    <w:rsid w:val="00DC3B3B"/>
    <w:rsid w:val="00DC3DC0"/>
    <w:rsid w:val="00DC4170"/>
    <w:rsid w:val="00DC5B2B"/>
    <w:rsid w:val="00DC6A3C"/>
    <w:rsid w:val="00DD10A8"/>
    <w:rsid w:val="00DD318D"/>
    <w:rsid w:val="00DD7670"/>
    <w:rsid w:val="00DE0A4A"/>
    <w:rsid w:val="00DE2865"/>
    <w:rsid w:val="00DE32EB"/>
    <w:rsid w:val="00DE3A30"/>
    <w:rsid w:val="00DE6D86"/>
    <w:rsid w:val="00DE7556"/>
    <w:rsid w:val="00DF2E12"/>
    <w:rsid w:val="00DF514A"/>
    <w:rsid w:val="00DF6690"/>
    <w:rsid w:val="00DF6804"/>
    <w:rsid w:val="00DF7063"/>
    <w:rsid w:val="00E00E11"/>
    <w:rsid w:val="00E0358D"/>
    <w:rsid w:val="00E04323"/>
    <w:rsid w:val="00E06D0C"/>
    <w:rsid w:val="00E06D3B"/>
    <w:rsid w:val="00E070A2"/>
    <w:rsid w:val="00E07156"/>
    <w:rsid w:val="00E10798"/>
    <w:rsid w:val="00E112FA"/>
    <w:rsid w:val="00E1267D"/>
    <w:rsid w:val="00E136D7"/>
    <w:rsid w:val="00E15A1C"/>
    <w:rsid w:val="00E20699"/>
    <w:rsid w:val="00E234A6"/>
    <w:rsid w:val="00E2656A"/>
    <w:rsid w:val="00E346B7"/>
    <w:rsid w:val="00E405F8"/>
    <w:rsid w:val="00E412D0"/>
    <w:rsid w:val="00E4150D"/>
    <w:rsid w:val="00E4164F"/>
    <w:rsid w:val="00E41656"/>
    <w:rsid w:val="00E44E3E"/>
    <w:rsid w:val="00E51DF7"/>
    <w:rsid w:val="00E539B5"/>
    <w:rsid w:val="00E56322"/>
    <w:rsid w:val="00E60982"/>
    <w:rsid w:val="00E61E88"/>
    <w:rsid w:val="00E62C62"/>
    <w:rsid w:val="00E63A4A"/>
    <w:rsid w:val="00E654C1"/>
    <w:rsid w:val="00E65D97"/>
    <w:rsid w:val="00E7099D"/>
    <w:rsid w:val="00E72A5A"/>
    <w:rsid w:val="00E73354"/>
    <w:rsid w:val="00E74AC4"/>
    <w:rsid w:val="00E77E36"/>
    <w:rsid w:val="00E81D92"/>
    <w:rsid w:val="00E82809"/>
    <w:rsid w:val="00E83F3E"/>
    <w:rsid w:val="00E85042"/>
    <w:rsid w:val="00E8553A"/>
    <w:rsid w:val="00E86C1A"/>
    <w:rsid w:val="00E9242D"/>
    <w:rsid w:val="00E93889"/>
    <w:rsid w:val="00E9388A"/>
    <w:rsid w:val="00E95530"/>
    <w:rsid w:val="00EA2431"/>
    <w:rsid w:val="00EA24E6"/>
    <w:rsid w:val="00EA2BB7"/>
    <w:rsid w:val="00EA347F"/>
    <w:rsid w:val="00EA480C"/>
    <w:rsid w:val="00EA7080"/>
    <w:rsid w:val="00EA764F"/>
    <w:rsid w:val="00EA7691"/>
    <w:rsid w:val="00EB09E7"/>
    <w:rsid w:val="00EB1531"/>
    <w:rsid w:val="00EB1E93"/>
    <w:rsid w:val="00EB34D4"/>
    <w:rsid w:val="00EB5255"/>
    <w:rsid w:val="00EB5C47"/>
    <w:rsid w:val="00EB76BD"/>
    <w:rsid w:val="00EB7E7F"/>
    <w:rsid w:val="00EC68CD"/>
    <w:rsid w:val="00ED0639"/>
    <w:rsid w:val="00ED3569"/>
    <w:rsid w:val="00ED3870"/>
    <w:rsid w:val="00ED46A9"/>
    <w:rsid w:val="00ED768F"/>
    <w:rsid w:val="00EE00B9"/>
    <w:rsid w:val="00EE03A7"/>
    <w:rsid w:val="00EE1E3A"/>
    <w:rsid w:val="00EE2085"/>
    <w:rsid w:val="00EE485C"/>
    <w:rsid w:val="00EE6609"/>
    <w:rsid w:val="00EE72F8"/>
    <w:rsid w:val="00EE7E05"/>
    <w:rsid w:val="00EE7E1B"/>
    <w:rsid w:val="00EF20E5"/>
    <w:rsid w:val="00EF33FB"/>
    <w:rsid w:val="00EF394D"/>
    <w:rsid w:val="00EF4755"/>
    <w:rsid w:val="00EF47F2"/>
    <w:rsid w:val="00EF552D"/>
    <w:rsid w:val="00EF6697"/>
    <w:rsid w:val="00EF6959"/>
    <w:rsid w:val="00EF7135"/>
    <w:rsid w:val="00EF7AB0"/>
    <w:rsid w:val="00F0002F"/>
    <w:rsid w:val="00F027DB"/>
    <w:rsid w:val="00F034AB"/>
    <w:rsid w:val="00F06FA9"/>
    <w:rsid w:val="00F077CA"/>
    <w:rsid w:val="00F10E32"/>
    <w:rsid w:val="00F14A7A"/>
    <w:rsid w:val="00F15B4C"/>
    <w:rsid w:val="00F21C8C"/>
    <w:rsid w:val="00F22985"/>
    <w:rsid w:val="00F25D68"/>
    <w:rsid w:val="00F30E34"/>
    <w:rsid w:val="00F314F4"/>
    <w:rsid w:val="00F3383E"/>
    <w:rsid w:val="00F341DA"/>
    <w:rsid w:val="00F357A2"/>
    <w:rsid w:val="00F3680A"/>
    <w:rsid w:val="00F40DE4"/>
    <w:rsid w:val="00F427F3"/>
    <w:rsid w:val="00F43269"/>
    <w:rsid w:val="00F465A7"/>
    <w:rsid w:val="00F50B7C"/>
    <w:rsid w:val="00F53AAA"/>
    <w:rsid w:val="00F53E72"/>
    <w:rsid w:val="00F550E6"/>
    <w:rsid w:val="00F56F08"/>
    <w:rsid w:val="00F57696"/>
    <w:rsid w:val="00F61DF7"/>
    <w:rsid w:val="00F61FF4"/>
    <w:rsid w:val="00F620AF"/>
    <w:rsid w:val="00F62103"/>
    <w:rsid w:val="00F648FD"/>
    <w:rsid w:val="00F74345"/>
    <w:rsid w:val="00F74D8F"/>
    <w:rsid w:val="00F74FD0"/>
    <w:rsid w:val="00F76216"/>
    <w:rsid w:val="00F76241"/>
    <w:rsid w:val="00F76D2D"/>
    <w:rsid w:val="00F80A0A"/>
    <w:rsid w:val="00F82B19"/>
    <w:rsid w:val="00F8324F"/>
    <w:rsid w:val="00F83AC1"/>
    <w:rsid w:val="00F86E5A"/>
    <w:rsid w:val="00F9212D"/>
    <w:rsid w:val="00F92A0F"/>
    <w:rsid w:val="00F93B6A"/>
    <w:rsid w:val="00F94621"/>
    <w:rsid w:val="00F965DA"/>
    <w:rsid w:val="00F97FE3"/>
    <w:rsid w:val="00FA3883"/>
    <w:rsid w:val="00FA3B75"/>
    <w:rsid w:val="00FA406A"/>
    <w:rsid w:val="00FA4CE1"/>
    <w:rsid w:val="00FA6C85"/>
    <w:rsid w:val="00FA6F67"/>
    <w:rsid w:val="00FB0A32"/>
    <w:rsid w:val="00FB503A"/>
    <w:rsid w:val="00FB516C"/>
    <w:rsid w:val="00FB7247"/>
    <w:rsid w:val="00FC01CA"/>
    <w:rsid w:val="00FC6CB3"/>
    <w:rsid w:val="00FD0236"/>
    <w:rsid w:val="00FD0801"/>
    <w:rsid w:val="00FD18F4"/>
    <w:rsid w:val="00FD54DB"/>
    <w:rsid w:val="00FD619F"/>
    <w:rsid w:val="00FD77BE"/>
    <w:rsid w:val="00FD7D57"/>
    <w:rsid w:val="00FE1670"/>
    <w:rsid w:val="00FE32AD"/>
    <w:rsid w:val="00FE5B72"/>
    <w:rsid w:val="00FE65BF"/>
    <w:rsid w:val="00FE742A"/>
    <w:rsid w:val="00FF0A02"/>
    <w:rsid w:val="00FF157C"/>
    <w:rsid w:val="00FF25AC"/>
    <w:rsid w:val="00FF355F"/>
    <w:rsid w:val="00FF4110"/>
    <w:rsid w:val="00FF4C77"/>
    <w:rsid w:val="00FF783B"/>
    <w:rsid w:val="010D427B"/>
    <w:rsid w:val="01290F7E"/>
    <w:rsid w:val="0132571F"/>
    <w:rsid w:val="013C6B15"/>
    <w:rsid w:val="015D1E09"/>
    <w:rsid w:val="016814B1"/>
    <w:rsid w:val="01821DD3"/>
    <w:rsid w:val="0188347A"/>
    <w:rsid w:val="019B7303"/>
    <w:rsid w:val="01A64E83"/>
    <w:rsid w:val="01F81458"/>
    <w:rsid w:val="02093128"/>
    <w:rsid w:val="021138F7"/>
    <w:rsid w:val="02352A3F"/>
    <w:rsid w:val="02697903"/>
    <w:rsid w:val="02A340EC"/>
    <w:rsid w:val="02C11311"/>
    <w:rsid w:val="02C60FE9"/>
    <w:rsid w:val="02CA0920"/>
    <w:rsid w:val="02DC696E"/>
    <w:rsid w:val="02E5725D"/>
    <w:rsid w:val="02F96569"/>
    <w:rsid w:val="033B3920"/>
    <w:rsid w:val="03433F84"/>
    <w:rsid w:val="034A3564"/>
    <w:rsid w:val="034A7C3F"/>
    <w:rsid w:val="034F0B8D"/>
    <w:rsid w:val="03537341"/>
    <w:rsid w:val="038C6A95"/>
    <w:rsid w:val="03924824"/>
    <w:rsid w:val="03B31B74"/>
    <w:rsid w:val="03E4279E"/>
    <w:rsid w:val="03EA7B21"/>
    <w:rsid w:val="041D2837"/>
    <w:rsid w:val="04296885"/>
    <w:rsid w:val="042E0790"/>
    <w:rsid w:val="0438694B"/>
    <w:rsid w:val="046A0ADD"/>
    <w:rsid w:val="046F7ED9"/>
    <w:rsid w:val="047C599F"/>
    <w:rsid w:val="047E6736"/>
    <w:rsid w:val="04830927"/>
    <w:rsid w:val="0491473C"/>
    <w:rsid w:val="049F57FE"/>
    <w:rsid w:val="04AA42A1"/>
    <w:rsid w:val="04B5376A"/>
    <w:rsid w:val="04C74591"/>
    <w:rsid w:val="04DD7872"/>
    <w:rsid w:val="04E07147"/>
    <w:rsid w:val="05065269"/>
    <w:rsid w:val="05070289"/>
    <w:rsid w:val="053718C6"/>
    <w:rsid w:val="054C1C45"/>
    <w:rsid w:val="05851272"/>
    <w:rsid w:val="05854823"/>
    <w:rsid w:val="05B57C30"/>
    <w:rsid w:val="05B73E65"/>
    <w:rsid w:val="05B81B47"/>
    <w:rsid w:val="05F83EAE"/>
    <w:rsid w:val="060A0277"/>
    <w:rsid w:val="060F18C9"/>
    <w:rsid w:val="061D4188"/>
    <w:rsid w:val="062D6A44"/>
    <w:rsid w:val="06316BCD"/>
    <w:rsid w:val="06353D10"/>
    <w:rsid w:val="063E7D85"/>
    <w:rsid w:val="064E6646"/>
    <w:rsid w:val="065F3805"/>
    <w:rsid w:val="067D59FE"/>
    <w:rsid w:val="06855C8E"/>
    <w:rsid w:val="06877869"/>
    <w:rsid w:val="068A3C77"/>
    <w:rsid w:val="06AC1910"/>
    <w:rsid w:val="06C453DB"/>
    <w:rsid w:val="06CC603E"/>
    <w:rsid w:val="07100F0E"/>
    <w:rsid w:val="071C0D73"/>
    <w:rsid w:val="072414C1"/>
    <w:rsid w:val="07292EE8"/>
    <w:rsid w:val="07293586"/>
    <w:rsid w:val="07295285"/>
    <w:rsid w:val="0754675F"/>
    <w:rsid w:val="07590291"/>
    <w:rsid w:val="075D1847"/>
    <w:rsid w:val="07636392"/>
    <w:rsid w:val="076F2C9D"/>
    <w:rsid w:val="07770C56"/>
    <w:rsid w:val="078762E4"/>
    <w:rsid w:val="079008AC"/>
    <w:rsid w:val="07AB09C6"/>
    <w:rsid w:val="08042053"/>
    <w:rsid w:val="081416C0"/>
    <w:rsid w:val="081705FB"/>
    <w:rsid w:val="082566F7"/>
    <w:rsid w:val="08555A5B"/>
    <w:rsid w:val="087A2C6D"/>
    <w:rsid w:val="087E3F16"/>
    <w:rsid w:val="088C3A14"/>
    <w:rsid w:val="08A16FE4"/>
    <w:rsid w:val="08A549F1"/>
    <w:rsid w:val="08B32191"/>
    <w:rsid w:val="08B60D54"/>
    <w:rsid w:val="08FD6983"/>
    <w:rsid w:val="09074930"/>
    <w:rsid w:val="090E27CB"/>
    <w:rsid w:val="092217DD"/>
    <w:rsid w:val="092F3821"/>
    <w:rsid w:val="093A7294"/>
    <w:rsid w:val="094B54FC"/>
    <w:rsid w:val="09500768"/>
    <w:rsid w:val="095B7EE5"/>
    <w:rsid w:val="097759FD"/>
    <w:rsid w:val="098333B9"/>
    <w:rsid w:val="0989613F"/>
    <w:rsid w:val="09903D48"/>
    <w:rsid w:val="09C203FE"/>
    <w:rsid w:val="09EB697A"/>
    <w:rsid w:val="0A0F01D2"/>
    <w:rsid w:val="0A263993"/>
    <w:rsid w:val="0A2D3AC2"/>
    <w:rsid w:val="0A360BB0"/>
    <w:rsid w:val="0A5824F5"/>
    <w:rsid w:val="0A735F3E"/>
    <w:rsid w:val="0A7F7400"/>
    <w:rsid w:val="0A85461C"/>
    <w:rsid w:val="0A9A6B7F"/>
    <w:rsid w:val="0AA755DF"/>
    <w:rsid w:val="0AB35D19"/>
    <w:rsid w:val="0ABC321E"/>
    <w:rsid w:val="0AC55B94"/>
    <w:rsid w:val="0ACE4B98"/>
    <w:rsid w:val="0B120D44"/>
    <w:rsid w:val="0B1B1FFB"/>
    <w:rsid w:val="0B1C62A6"/>
    <w:rsid w:val="0B512FB6"/>
    <w:rsid w:val="0B563E81"/>
    <w:rsid w:val="0B6156ED"/>
    <w:rsid w:val="0B7C53CD"/>
    <w:rsid w:val="0B7E427C"/>
    <w:rsid w:val="0B8229BD"/>
    <w:rsid w:val="0B86269C"/>
    <w:rsid w:val="0B937231"/>
    <w:rsid w:val="0BAB3C0D"/>
    <w:rsid w:val="0BC575D7"/>
    <w:rsid w:val="0BD27BF6"/>
    <w:rsid w:val="0BEE55AE"/>
    <w:rsid w:val="0C053C37"/>
    <w:rsid w:val="0C19119F"/>
    <w:rsid w:val="0C1F767A"/>
    <w:rsid w:val="0C3B3C7D"/>
    <w:rsid w:val="0C455970"/>
    <w:rsid w:val="0C5916C5"/>
    <w:rsid w:val="0C607EBA"/>
    <w:rsid w:val="0C80132F"/>
    <w:rsid w:val="0C870545"/>
    <w:rsid w:val="0CA667AB"/>
    <w:rsid w:val="0CAB2EAE"/>
    <w:rsid w:val="0CCA3020"/>
    <w:rsid w:val="0CDB0BEB"/>
    <w:rsid w:val="0CDE7E9E"/>
    <w:rsid w:val="0CF236C7"/>
    <w:rsid w:val="0D1A3701"/>
    <w:rsid w:val="0D1E10C2"/>
    <w:rsid w:val="0D563D08"/>
    <w:rsid w:val="0D621C7D"/>
    <w:rsid w:val="0D714F5D"/>
    <w:rsid w:val="0DA1243F"/>
    <w:rsid w:val="0DA2581C"/>
    <w:rsid w:val="0DB20D0B"/>
    <w:rsid w:val="0DDF138C"/>
    <w:rsid w:val="0DDF6EFF"/>
    <w:rsid w:val="0DEF3649"/>
    <w:rsid w:val="0DF46F49"/>
    <w:rsid w:val="0E104394"/>
    <w:rsid w:val="0E151C67"/>
    <w:rsid w:val="0E181BAE"/>
    <w:rsid w:val="0E2240AB"/>
    <w:rsid w:val="0E611573"/>
    <w:rsid w:val="0E73034D"/>
    <w:rsid w:val="0E786A8C"/>
    <w:rsid w:val="0E8E5BB1"/>
    <w:rsid w:val="0EA57370"/>
    <w:rsid w:val="0EB12ED5"/>
    <w:rsid w:val="0EB369FD"/>
    <w:rsid w:val="0EC062DC"/>
    <w:rsid w:val="0ED5750F"/>
    <w:rsid w:val="0EDC3DAF"/>
    <w:rsid w:val="0EDF2E06"/>
    <w:rsid w:val="0EE626A3"/>
    <w:rsid w:val="0EE93A7C"/>
    <w:rsid w:val="0EED566D"/>
    <w:rsid w:val="0F117E17"/>
    <w:rsid w:val="0F13775A"/>
    <w:rsid w:val="0F364438"/>
    <w:rsid w:val="0F47616C"/>
    <w:rsid w:val="0F5D4832"/>
    <w:rsid w:val="0F5F45FE"/>
    <w:rsid w:val="0F65617D"/>
    <w:rsid w:val="0F8445C0"/>
    <w:rsid w:val="0F9A112B"/>
    <w:rsid w:val="0F9A7321"/>
    <w:rsid w:val="0FBA2C21"/>
    <w:rsid w:val="0FC42385"/>
    <w:rsid w:val="0FD51400"/>
    <w:rsid w:val="0FD961A1"/>
    <w:rsid w:val="0FDB677F"/>
    <w:rsid w:val="0FFC0270"/>
    <w:rsid w:val="1010343F"/>
    <w:rsid w:val="102B0279"/>
    <w:rsid w:val="105B51F6"/>
    <w:rsid w:val="10603767"/>
    <w:rsid w:val="106D2F64"/>
    <w:rsid w:val="1072455F"/>
    <w:rsid w:val="1088268D"/>
    <w:rsid w:val="109D32BF"/>
    <w:rsid w:val="10A5372C"/>
    <w:rsid w:val="10B63710"/>
    <w:rsid w:val="10D65DD1"/>
    <w:rsid w:val="10E52040"/>
    <w:rsid w:val="10F10820"/>
    <w:rsid w:val="1107421C"/>
    <w:rsid w:val="111C2F7A"/>
    <w:rsid w:val="1129620F"/>
    <w:rsid w:val="11430391"/>
    <w:rsid w:val="114A52B9"/>
    <w:rsid w:val="11526513"/>
    <w:rsid w:val="115C2812"/>
    <w:rsid w:val="11665CA1"/>
    <w:rsid w:val="11CD6525"/>
    <w:rsid w:val="1209283C"/>
    <w:rsid w:val="122C3573"/>
    <w:rsid w:val="12483FFE"/>
    <w:rsid w:val="127A1044"/>
    <w:rsid w:val="12857037"/>
    <w:rsid w:val="128D42F3"/>
    <w:rsid w:val="12FF131F"/>
    <w:rsid w:val="1319260B"/>
    <w:rsid w:val="131E2317"/>
    <w:rsid w:val="13235FF4"/>
    <w:rsid w:val="13281D6B"/>
    <w:rsid w:val="133A5040"/>
    <w:rsid w:val="134567EC"/>
    <w:rsid w:val="13750CE2"/>
    <w:rsid w:val="13805A04"/>
    <w:rsid w:val="13951726"/>
    <w:rsid w:val="139673AD"/>
    <w:rsid w:val="139B3F35"/>
    <w:rsid w:val="13AA5959"/>
    <w:rsid w:val="13AE546A"/>
    <w:rsid w:val="13BB37EC"/>
    <w:rsid w:val="13BC5B46"/>
    <w:rsid w:val="13CB74DA"/>
    <w:rsid w:val="13E56991"/>
    <w:rsid w:val="13F60424"/>
    <w:rsid w:val="13FA1EDD"/>
    <w:rsid w:val="140953DA"/>
    <w:rsid w:val="14396509"/>
    <w:rsid w:val="149C6884"/>
    <w:rsid w:val="14A32AD4"/>
    <w:rsid w:val="14A9077E"/>
    <w:rsid w:val="14AD5421"/>
    <w:rsid w:val="14B20C2D"/>
    <w:rsid w:val="14B21061"/>
    <w:rsid w:val="14B64345"/>
    <w:rsid w:val="14B92655"/>
    <w:rsid w:val="14D1505C"/>
    <w:rsid w:val="14DD2C3C"/>
    <w:rsid w:val="14DE5C5A"/>
    <w:rsid w:val="150A3576"/>
    <w:rsid w:val="152B4878"/>
    <w:rsid w:val="153B5687"/>
    <w:rsid w:val="155C6EA7"/>
    <w:rsid w:val="157C4041"/>
    <w:rsid w:val="158030B9"/>
    <w:rsid w:val="158D797D"/>
    <w:rsid w:val="1590763C"/>
    <w:rsid w:val="159A06AB"/>
    <w:rsid w:val="15A30D69"/>
    <w:rsid w:val="15A45EDE"/>
    <w:rsid w:val="15B43B6F"/>
    <w:rsid w:val="15BB3E4D"/>
    <w:rsid w:val="15BF56EC"/>
    <w:rsid w:val="15E4496D"/>
    <w:rsid w:val="15E95181"/>
    <w:rsid w:val="15F27379"/>
    <w:rsid w:val="16087E1D"/>
    <w:rsid w:val="162C4440"/>
    <w:rsid w:val="1643503E"/>
    <w:rsid w:val="165F0127"/>
    <w:rsid w:val="165F3E6E"/>
    <w:rsid w:val="166B4714"/>
    <w:rsid w:val="167348A6"/>
    <w:rsid w:val="167364D6"/>
    <w:rsid w:val="167575DE"/>
    <w:rsid w:val="1691611E"/>
    <w:rsid w:val="16BD2F83"/>
    <w:rsid w:val="16C242B8"/>
    <w:rsid w:val="16EF695E"/>
    <w:rsid w:val="16F7766F"/>
    <w:rsid w:val="17013AE2"/>
    <w:rsid w:val="17062B3C"/>
    <w:rsid w:val="170766F0"/>
    <w:rsid w:val="17095A2A"/>
    <w:rsid w:val="17575DF8"/>
    <w:rsid w:val="175B38FA"/>
    <w:rsid w:val="176157E0"/>
    <w:rsid w:val="1767603B"/>
    <w:rsid w:val="176F4EEF"/>
    <w:rsid w:val="17701D14"/>
    <w:rsid w:val="17735226"/>
    <w:rsid w:val="177D152E"/>
    <w:rsid w:val="17C5250A"/>
    <w:rsid w:val="17D01992"/>
    <w:rsid w:val="1829247C"/>
    <w:rsid w:val="183653D1"/>
    <w:rsid w:val="183C1D65"/>
    <w:rsid w:val="18474008"/>
    <w:rsid w:val="185429CE"/>
    <w:rsid w:val="185B44D8"/>
    <w:rsid w:val="18825DBB"/>
    <w:rsid w:val="18925671"/>
    <w:rsid w:val="18934CDF"/>
    <w:rsid w:val="189F624C"/>
    <w:rsid w:val="18A4652F"/>
    <w:rsid w:val="18AF40E1"/>
    <w:rsid w:val="18B465A6"/>
    <w:rsid w:val="18B6128A"/>
    <w:rsid w:val="18BA663E"/>
    <w:rsid w:val="18C22C2C"/>
    <w:rsid w:val="18D9581A"/>
    <w:rsid w:val="18EE3F76"/>
    <w:rsid w:val="19095FED"/>
    <w:rsid w:val="19197809"/>
    <w:rsid w:val="192A5A48"/>
    <w:rsid w:val="19314B52"/>
    <w:rsid w:val="19327E88"/>
    <w:rsid w:val="1938516E"/>
    <w:rsid w:val="193C7499"/>
    <w:rsid w:val="194E013F"/>
    <w:rsid w:val="196E63C8"/>
    <w:rsid w:val="19733664"/>
    <w:rsid w:val="197832BB"/>
    <w:rsid w:val="198F6D31"/>
    <w:rsid w:val="19C83C0A"/>
    <w:rsid w:val="19CE73BD"/>
    <w:rsid w:val="19DE5396"/>
    <w:rsid w:val="19E76AF1"/>
    <w:rsid w:val="1A124999"/>
    <w:rsid w:val="1A12523E"/>
    <w:rsid w:val="1A1C66C0"/>
    <w:rsid w:val="1A1F2D2E"/>
    <w:rsid w:val="1A267E03"/>
    <w:rsid w:val="1A270AE7"/>
    <w:rsid w:val="1A42393B"/>
    <w:rsid w:val="1A5874ED"/>
    <w:rsid w:val="1A956BE8"/>
    <w:rsid w:val="1A9D2CD4"/>
    <w:rsid w:val="1AAD45DE"/>
    <w:rsid w:val="1AB811D7"/>
    <w:rsid w:val="1ACF1EEC"/>
    <w:rsid w:val="1AEE665F"/>
    <w:rsid w:val="1B046F80"/>
    <w:rsid w:val="1B174E9A"/>
    <w:rsid w:val="1B3267B5"/>
    <w:rsid w:val="1B345147"/>
    <w:rsid w:val="1B40161D"/>
    <w:rsid w:val="1B42017F"/>
    <w:rsid w:val="1B441859"/>
    <w:rsid w:val="1B6606B1"/>
    <w:rsid w:val="1B6A428D"/>
    <w:rsid w:val="1B8B0BA8"/>
    <w:rsid w:val="1B8B7D08"/>
    <w:rsid w:val="1BA50EE0"/>
    <w:rsid w:val="1BA773FA"/>
    <w:rsid w:val="1BD87F64"/>
    <w:rsid w:val="1BE100A4"/>
    <w:rsid w:val="1BE26A9A"/>
    <w:rsid w:val="1BFF697B"/>
    <w:rsid w:val="1C0841C2"/>
    <w:rsid w:val="1C0C4AC9"/>
    <w:rsid w:val="1C2B58CD"/>
    <w:rsid w:val="1C5446B4"/>
    <w:rsid w:val="1C5E7925"/>
    <w:rsid w:val="1C694603"/>
    <w:rsid w:val="1C7B5F83"/>
    <w:rsid w:val="1C890E69"/>
    <w:rsid w:val="1C9F2E59"/>
    <w:rsid w:val="1CA22838"/>
    <w:rsid w:val="1CA41763"/>
    <w:rsid w:val="1CB810E7"/>
    <w:rsid w:val="1CD87093"/>
    <w:rsid w:val="1CF2774D"/>
    <w:rsid w:val="1CFD070F"/>
    <w:rsid w:val="1D0C689F"/>
    <w:rsid w:val="1D5F6196"/>
    <w:rsid w:val="1D6132A5"/>
    <w:rsid w:val="1D8E56D5"/>
    <w:rsid w:val="1DB411CB"/>
    <w:rsid w:val="1DC31137"/>
    <w:rsid w:val="1DC6428A"/>
    <w:rsid w:val="1DD44C6D"/>
    <w:rsid w:val="1DDA130E"/>
    <w:rsid w:val="1DE77DF3"/>
    <w:rsid w:val="1DE9461A"/>
    <w:rsid w:val="1E013C9E"/>
    <w:rsid w:val="1E0E6467"/>
    <w:rsid w:val="1E110DEF"/>
    <w:rsid w:val="1E370F6E"/>
    <w:rsid w:val="1E5133D5"/>
    <w:rsid w:val="1E625D79"/>
    <w:rsid w:val="1E6A01BF"/>
    <w:rsid w:val="1E6A37E9"/>
    <w:rsid w:val="1E7A43DA"/>
    <w:rsid w:val="1E7F1A4E"/>
    <w:rsid w:val="1EA318FD"/>
    <w:rsid w:val="1EBD22AA"/>
    <w:rsid w:val="1EE1024D"/>
    <w:rsid w:val="1F095C2A"/>
    <w:rsid w:val="1F3802BD"/>
    <w:rsid w:val="1F495F77"/>
    <w:rsid w:val="1F6115F1"/>
    <w:rsid w:val="1F6B21D5"/>
    <w:rsid w:val="1F770DE5"/>
    <w:rsid w:val="1F773FE4"/>
    <w:rsid w:val="1F8760B0"/>
    <w:rsid w:val="1F94536B"/>
    <w:rsid w:val="1FA92D3B"/>
    <w:rsid w:val="1FE7539E"/>
    <w:rsid w:val="1FF0379F"/>
    <w:rsid w:val="200A5AFC"/>
    <w:rsid w:val="202D63DB"/>
    <w:rsid w:val="2062499F"/>
    <w:rsid w:val="2064565B"/>
    <w:rsid w:val="20671BE0"/>
    <w:rsid w:val="206D77B9"/>
    <w:rsid w:val="207450D3"/>
    <w:rsid w:val="208C2335"/>
    <w:rsid w:val="208F6C99"/>
    <w:rsid w:val="20950DFF"/>
    <w:rsid w:val="20963CB8"/>
    <w:rsid w:val="20A81A1B"/>
    <w:rsid w:val="20B07FB6"/>
    <w:rsid w:val="20B646FB"/>
    <w:rsid w:val="20B66BBF"/>
    <w:rsid w:val="20BE2CEC"/>
    <w:rsid w:val="20CF3C61"/>
    <w:rsid w:val="20DD1429"/>
    <w:rsid w:val="20FB4C2C"/>
    <w:rsid w:val="210B1516"/>
    <w:rsid w:val="213B74B1"/>
    <w:rsid w:val="214A01DA"/>
    <w:rsid w:val="214C338D"/>
    <w:rsid w:val="214F4448"/>
    <w:rsid w:val="21526593"/>
    <w:rsid w:val="215A2310"/>
    <w:rsid w:val="21711A91"/>
    <w:rsid w:val="218C20CB"/>
    <w:rsid w:val="2191191E"/>
    <w:rsid w:val="21A627AF"/>
    <w:rsid w:val="21CA688E"/>
    <w:rsid w:val="21DE318A"/>
    <w:rsid w:val="21DE7774"/>
    <w:rsid w:val="21E44B46"/>
    <w:rsid w:val="21EF5B80"/>
    <w:rsid w:val="22056CB3"/>
    <w:rsid w:val="222C6775"/>
    <w:rsid w:val="2232193F"/>
    <w:rsid w:val="2255583E"/>
    <w:rsid w:val="22576990"/>
    <w:rsid w:val="225E432B"/>
    <w:rsid w:val="227F4B34"/>
    <w:rsid w:val="22A6031E"/>
    <w:rsid w:val="22AB0C10"/>
    <w:rsid w:val="22B3256C"/>
    <w:rsid w:val="22DA352E"/>
    <w:rsid w:val="22EA6AB6"/>
    <w:rsid w:val="22F47480"/>
    <w:rsid w:val="230802A3"/>
    <w:rsid w:val="23533577"/>
    <w:rsid w:val="23543F51"/>
    <w:rsid w:val="23611E3B"/>
    <w:rsid w:val="23646387"/>
    <w:rsid w:val="23965290"/>
    <w:rsid w:val="239F18CF"/>
    <w:rsid w:val="23AB3414"/>
    <w:rsid w:val="23B13EBF"/>
    <w:rsid w:val="23B97E48"/>
    <w:rsid w:val="23BC65E2"/>
    <w:rsid w:val="23C359D4"/>
    <w:rsid w:val="23DE1C48"/>
    <w:rsid w:val="23E80503"/>
    <w:rsid w:val="23FC763B"/>
    <w:rsid w:val="240210CD"/>
    <w:rsid w:val="242021FE"/>
    <w:rsid w:val="244D6887"/>
    <w:rsid w:val="247E1BC5"/>
    <w:rsid w:val="24AB1E1A"/>
    <w:rsid w:val="24B07653"/>
    <w:rsid w:val="24BF09F7"/>
    <w:rsid w:val="24C54306"/>
    <w:rsid w:val="24CA5BA8"/>
    <w:rsid w:val="24E617AF"/>
    <w:rsid w:val="24FA00B1"/>
    <w:rsid w:val="2510095D"/>
    <w:rsid w:val="252D53FE"/>
    <w:rsid w:val="2543497C"/>
    <w:rsid w:val="254C4AC2"/>
    <w:rsid w:val="254E083A"/>
    <w:rsid w:val="254F572A"/>
    <w:rsid w:val="25567021"/>
    <w:rsid w:val="255E16AD"/>
    <w:rsid w:val="25725546"/>
    <w:rsid w:val="25A95A70"/>
    <w:rsid w:val="25EC2D81"/>
    <w:rsid w:val="2627296F"/>
    <w:rsid w:val="26341D9A"/>
    <w:rsid w:val="26467763"/>
    <w:rsid w:val="265378F3"/>
    <w:rsid w:val="265960CA"/>
    <w:rsid w:val="2670706D"/>
    <w:rsid w:val="26725641"/>
    <w:rsid w:val="268B487E"/>
    <w:rsid w:val="268C5B1E"/>
    <w:rsid w:val="268D2F5C"/>
    <w:rsid w:val="268F65B7"/>
    <w:rsid w:val="26D57308"/>
    <w:rsid w:val="26E66850"/>
    <w:rsid w:val="270B7DA3"/>
    <w:rsid w:val="270C4B05"/>
    <w:rsid w:val="270D0281"/>
    <w:rsid w:val="27147495"/>
    <w:rsid w:val="271649AE"/>
    <w:rsid w:val="274710BE"/>
    <w:rsid w:val="27495DA1"/>
    <w:rsid w:val="274A5AE0"/>
    <w:rsid w:val="274C2CC6"/>
    <w:rsid w:val="277057A2"/>
    <w:rsid w:val="27804FE0"/>
    <w:rsid w:val="27982240"/>
    <w:rsid w:val="27B15539"/>
    <w:rsid w:val="27C77D4E"/>
    <w:rsid w:val="281B4FDC"/>
    <w:rsid w:val="282B3353"/>
    <w:rsid w:val="282B65AE"/>
    <w:rsid w:val="282D4575"/>
    <w:rsid w:val="282F0B7F"/>
    <w:rsid w:val="28397580"/>
    <w:rsid w:val="285537A0"/>
    <w:rsid w:val="28663B3A"/>
    <w:rsid w:val="28914D55"/>
    <w:rsid w:val="2894232B"/>
    <w:rsid w:val="28B61CF6"/>
    <w:rsid w:val="28C30846"/>
    <w:rsid w:val="28F41050"/>
    <w:rsid w:val="29206EB8"/>
    <w:rsid w:val="29413714"/>
    <w:rsid w:val="2942161F"/>
    <w:rsid w:val="29595666"/>
    <w:rsid w:val="29874881"/>
    <w:rsid w:val="29A45DA2"/>
    <w:rsid w:val="29C364A8"/>
    <w:rsid w:val="29C80D44"/>
    <w:rsid w:val="29CB3ABA"/>
    <w:rsid w:val="29CB7117"/>
    <w:rsid w:val="29E325E0"/>
    <w:rsid w:val="29E51041"/>
    <w:rsid w:val="29F16F6C"/>
    <w:rsid w:val="29F3674D"/>
    <w:rsid w:val="2A121154"/>
    <w:rsid w:val="2A273037"/>
    <w:rsid w:val="2A2924A0"/>
    <w:rsid w:val="2A3042FD"/>
    <w:rsid w:val="2A452503"/>
    <w:rsid w:val="2A482B83"/>
    <w:rsid w:val="2A5C1CAE"/>
    <w:rsid w:val="2A61691A"/>
    <w:rsid w:val="2A6820EE"/>
    <w:rsid w:val="2A786C4C"/>
    <w:rsid w:val="2A791B31"/>
    <w:rsid w:val="2A7B4A8D"/>
    <w:rsid w:val="2A7D6868"/>
    <w:rsid w:val="2AA024F6"/>
    <w:rsid w:val="2AA23309"/>
    <w:rsid w:val="2AAE4485"/>
    <w:rsid w:val="2AC6337B"/>
    <w:rsid w:val="2AD12EEC"/>
    <w:rsid w:val="2AE80AD7"/>
    <w:rsid w:val="2AF02ACB"/>
    <w:rsid w:val="2AF80292"/>
    <w:rsid w:val="2B071180"/>
    <w:rsid w:val="2B086D00"/>
    <w:rsid w:val="2B312790"/>
    <w:rsid w:val="2B3307E0"/>
    <w:rsid w:val="2B36250D"/>
    <w:rsid w:val="2B6E581A"/>
    <w:rsid w:val="2BA936A8"/>
    <w:rsid w:val="2BCE6B73"/>
    <w:rsid w:val="2BE90B09"/>
    <w:rsid w:val="2C264C34"/>
    <w:rsid w:val="2C302DA2"/>
    <w:rsid w:val="2C315A5A"/>
    <w:rsid w:val="2C4053F6"/>
    <w:rsid w:val="2C444745"/>
    <w:rsid w:val="2C4B1C25"/>
    <w:rsid w:val="2C6B57F0"/>
    <w:rsid w:val="2C7303F2"/>
    <w:rsid w:val="2C781B03"/>
    <w:rsid w:val="2C8B2650"/>
    <w:rsid w:val="2C937778"/>
    <w:rsid w:val="2CA34E47"/>
    <w:rsid w:val="2CA54045"/>
    <w:rsid w:val="2CC273AA"/>
    <w:rsid w:val="2CDE24A4"/>
    <w:rsid w:val="2CFE0ED2"/>
    <w:rsid w:val="2D3817AE"/>
    <w:rsid w:val="2D420523"/>
    <w:rsid w:val="2D601C8D"/>
    <w:rsid w:val="2D652BC5"/>
    <w:rsid w:val="2D6D1A79"/>
    <w:rsid w:val="2D7A66C3"/>
    <w:rsid w:val="2D7E4F70"/>
    <w:rsid w:val="2D947636"/>
    <w:rsid w:val="2D9E56F5"/>
    <w:rsid w:val="2DAD5C98"/>
    <w:rsid w:val="2DBC5474"/>
    <w:rsid w:val="2DC17338"/>
    <w:rsid w:val="2DCB3029"/>
    <w:rsid w:val="2DD87161"/>
    <w:rsid w:val="2E306774"/>
    <w:rsid w:val="2E41745D"/>
    <w:rsid w:val="2E47276C"/>
    <w:rsid w:val="2E4B79D0"/>
    <w:rsid w:val="2E5E1A83"/>
    <w:rsid w:val="2E667F96"/>
    <w:rsid w:val="2E671D49"/>
    <w:rsid w:val="2E6B38D0"/>
    <w:rsid w:val="2E6B420B"/>
    <w:rsid w:val="2E8226AB"/>
    <w:rsid w:val="2E8D0B09"/>
    <w:rsid w:val="2E8E130B"/>
    <w:rsid w:val="2E9A064C"/>
    <w:rsid w:val="2E9F5537"/>
    <w:rsid w:val="2EB643F2"/>
    <w:rsid w:val="2EC84AF3"/>
    <w:rsid w:val="2ECB4C8B"/>
    <w:rsid w:val="2ED1065D"/>
    <w:rsid w:val="2EF7510F"/>
    <w:rsid w:val="2EF81E69"/>
    <w:rsid w:val="2F083629"/>
    <w:rsid w:val="2F12342F"/>
    <w:rsid w:val="2F1B4632"/>
    <w:rsid w:val="2F2820FC"/>
    <w:rsid w:val="2F2905F8"/>
    <w:rsid w:val="2F4405B8"/>
    <w:rsid w:val="2F48454C"/>
    <w:rsid w:val="2F561582"/>
    <w:rsid w:val="2F561C58"/>
    <w:rsid w:val="2F8B2F6C"/>
    <w:rsid w:val="2FA94FAA"/>
    <w:rsid w:val="2FAE2C64"/>
    <w:rsid w:val="2FB92D54"/>
    <w:rsid w:val="2FC2493E"/>
    <w:rsid w:val="2FC46319"/>
    <w:rsid w:val="2FD065E6"/>
    <w:rsid w:val="2FD96870"/>
    <w:rsid w:val="2FE465CB"/>
    <w:rsid w:val="30112C7E"/>
    <w:rsid w:val="30125FE3"/>
    <w:rsid w:val="3014442E"/>
    <w:rsid w:val="301663F8"/>
    <w:rsid w:val="301E20F3"/>
    <w:rsid w:val="30257EB1"/>
    <w:rsid w:val="302C2079"/>
    <w:rsid w:val="302F3840"/>
    <w:rsid w:val="302F7863"/>
    <w:rsid w:val="30467F7F"/>
    <w:rsid w:val="304B2285"/>
    <w:rsid w:val="30542A7D"/>
    <w:rsid w:val="30580BC9"/>
    <w:rsid w:val="305B1598"/>
    <w:rsid w:val="30731BD3"/>
    <w:rsid w:val="30743252"/>
    <w:rsid w:val="30760E9B"/>
    <w:rsid w:val="307E7716"/>
    <w:rsid w:val="309A1EF0"/>
    <w:rsid w:val="30C2251E"/>
    <w:rsid w:val="30CF474F"/>
    <w:rsid w:val="30FA731E"/>
    <w:rsid w:val="311E2ED7"/>
    <w:rsid w:val="312524A7"/>
    <w:rsid w:val="31337541"/>
    <w:rsid w:val="31356A7C"/>
    <w:rsid w:val="31445E20"/>
    <w:rsid w:val="315619EE"/>
    <w:rsid w:val="315C449C"/>
    <w:rsid w:val="3163429F"/>
    <w:rsid w:val="31657B82"/>
    <w:rsid w:val="31917A4A"/>
    <w:rsid w:val="31B14EF0"/>
    <w:rsid w:val="31B82709"/>
    <w:rsid w:val="31D05482"/>
    <w:rsid w:val="31D7743C"/>
    <w:rsid w:val="31D842B3"/>
    <w:rsid w:val="31E93C44"/>
    <w:rsid w:val="31EF0CAF"/>
    <w:rsid w:val="32144BB9"/>
    <w:rsid w:val="3214691B"/>
    <w:rsid w:val="32242A6A"/>
    <w:rsid w:val="323112C7"/>
    <w:rsid w:val="32325F03"/>
    <w:rsid w:val="32375F71"/>
    <w:rsid w:val="32400B34"/>
    <w:rsid w:val="325647E9"/>
    <w:rsid w:val="326A287A"/>
    <w:rsid w:val="326F1422"/>
    <w:rsid w:val="32787B12"/>
    <w:rsid w:val="32796796"/>
    <w:rsid w:val="329E6876"/>
    <w:rsid w:val="32AA1B48"/>
    <w:rsid w:val="32C24AD2"/>
    <w:rsid w:val="32C456B4"/>
    <w:rsid w:val="32D03704"/>
    <w:rsid w:val="32E12CEE"/>
    <w:rsid w:val="32E473BE"/>
    <w:rsid w:val="32FA790B"/>
    <w:rsid w:val="330C763F"/>
    <w:rsid w:val="333015F2"/>
    <w:rsid w:val="33310C34"/>
    <w:rsid w:val="33446DD8"/>
    <w:rsid w:val="33451645"/>
    <w:rsid w:val="334536E9"/>
    <w:rsid w:val="334B6320"/>
    <w:rsid w:val="33610DDA"/>
    <w:rsid w:val="3362371A"/>
    <w:rsid w:val="33895520"/>
    <w:rsid w:val="338C1CCA"/>
    <w:rsid w:val="339B1258"/>
    <w:rsid w:val="33D934D4"/>
    <w:rsid w:val="33DA3605"/>
    <w:rsid w:val="33E95B64"/>
    <w:rsid w:val="33FD23EC"/>
    <w:rsid w:val="33FE2F6A"/>
    <w:rsid w:val="34075AF0"/>
    <w:rsid w:val="340E07E5"/>
    <w:rsid w:val="34235BF7"/>
    <w:rsid w:val="342F3FDA"/>
    <w:rsid w:val="34315126"/>
    <w:rsid w:val="343D10B9"/>
    <w:rsid w:val="344E1962"/>
    <w:rsid w:val="34605501"/>
    <w:rsid w:val="34672B03"/>
    <w:rsid w:val="346E25A6"/>
    <w:rsid w:val="3474193F"/>
    <w:rsid w:val="34776F8E"/>
    <w:rsid w:val="34862678"/>
    <w:rsid w:val="3493263C"/>
    <w:rsid w:val="34BC7A02"/>
    <w:rsid w:val="34C13FB5"/>
    <w:rsid w:val="34CB6B74"/>
    <w:rsid w:val="34CE4595"/>
    <w:rsid w:val="34D709B8"/>
    <w:rsid w:val="34F76440"/>
    <w:rsid w:val="35082CD3"/>
    <w:rsid w:val="35177058"/>
    <w:rsid w:val="352F5C0A"/>
    <w:rsid w:val="354176B6"/>
    <w:rsid w:val="356063BA"/>
    <w:rsid w:val="35607C36"/>
    <w:rsid w:val="356D30F4"/>
    <w:rsid w:val="358C5FA8"/>
    <w:rsid w:val="35973B37"/>
    <w:rsid w:val="35A468E8"/>
    <w:rsid w:val="35B43941"/>
    <w:rsid w:val="35B657E6"/>
    <w:rsid w:val="35B73FB6"/>
    <w:rsid w:val="35C15DF1"/>
    <w:rsid w:val="35CF7FF2"/>
    <w:rsid w:val="36041ED5"/>
    <w:rsid w:val="36074A7F"/>
    <w:rsid w:val="361377D5"/>
    <w:rsid w:val="361A5C56"/>
    <w:rsid w:val="36360528"/>
    <w:rsid w:val="36647071"/>
    <w:rsid w:val="367F6965"/>
    <w:rsid w:val="36821811"/>
    <w:rsid w:val="36841B7F"/>
    <w:rsid w:val="36923549"/>
    <w:rsid w:val="36A95D02"/>
    <w:rsid w:val="36AF0189"/>
    <w:rsid w:val="36B75FBF"/>
    <w:rsid w:val="36BA0D69"/>
    <w:rsid w:val="36BD0C45"/>
    <w:rsid w:val="36D82972"/>
    <w:rsid w:val="37566B56"/>
    <w:rsid w:val="375E3865"/>
    <w:rsid w:val="376822D6"/>
    <w:rsid w:val="377278DA"/>
    <w:rsid w:val="378870BF"/>
    <w:rsid w:val="379A4FCC"/>
    <w:rsid w:val="37CA203A"/>
    <w:rsid w:val="37CD35C7"/>
    <w:rsid w:val="37D56B99"/>
    <w:rsid w:val="37D83F93"/>
    <w:rsid w:val="37E00298"/>
    <w:rsid w:val="37F06BCF"/>
    <w:rsid w:val="37F17D8E"/>
    <w:rsid w:val="37F2077C"/>
    <w:rsid w:val="380F124C"/>
    <w:rsid w:val="380F4E21"/>
    <w:rsid w:val="3818121F"/>
    <w:rsid w:val="38197A40"/>
    <w:rsid w:val="38433D08"/>
    <w:rsid w:val="384D79A9"/>
    <w:rsid w:val="386B2C06"/>
    <w:rsid w:val="38792D0F"/>
    <w:rsid w:val="38926838"/>
    <w:rsid w:val="38B302F9"/>
    <w:rsid w:val="38B74204"/>
    <w:rsid w:val="38EB3950"/>
    <w:rsid w:val="38F12CD3"/>
    <w:rsid w:val="38F8714D"/>
    <w:rsid w:val="38F94775"/>
    <w:rsid w:val="392971ED"/>
    <w:rsid w:val="39317BB9"/>
    <w:rsid w:val="39325651"/>
    <w:rsid w:val="396950A8"/>
    <w:rsid w:val="39967EBE"/>
    <w:rsid w:val="39B603B8"/>
    <w:rsid w:val="39C44928"/>
    <w:rsid w:val="3A0948D8"/>
    <w:rsid w:val="3A0D35FC"/>
    <w:rsid w:val="3A124939"/>
    <w:rsid w:val="3A4D622E"/>
    <w:rsid w:val="3A6F3FFA"/>
    <w:rsid w:val="3A812A82"/>
    <w:rsid w:val="3A872856"/>
    <w:rsid w:val="3A8829E6"/>
    <w:rsid w:val="3AA348B4"/>
    <w:rsid w:val="3AD43138"/>
    <w:rsid w:val="3AD670EE"/>
    <w:rsid w:val="3AEB1C36"/>
    <w:rsid w:val="3AF8519A"/>
    <w:rsid w:val="3B047888"/>
    <w:rsid w:val="3B114BCA"/>
    <w:rsid w:val="3B3763D1"/>
    <w:rsid w:val="3B4134C7"/>
    <w:rsid w:val="3B56368A"/>
    <w:rsid w:val="3B5D312D"/>
    <w:rsid w:val="3B666D1F"/>
    <w:rsid w:val="3B8E436C"/>
    <w:rsid w:val="3BC309CA"/>
    <w:rsid w:val="3BCB62E9"/>
    <w:rsid w:val="3BDC1D65"/>
    <w:rsid w:val="3BDE0A91"/>
    <w:rsid w:val="3BEC7B08"/>
    <w:rsid w:val="3BF643D0"/>
    <w:rsid w:val="3C012013"/>
    <w:rsid w:val="3C2855B9"/>
    <w:rsid w:val="3C2F6E1E"/>
    <w:rsid w:val="3C3A0821"/>
    <w:rsid w:val="3C4F64BA"/>
    <w:rsid w:val="3C53017F"/>
    <w:rsid w:val="3C6F171C"/>
    <w:rsid w:val="3C872387"/>
    <w:rsid w:val="3C9447AF"/>
    <w:rsid w:val="3C9D4775"/>
    <w:rsid w:val="3CB51561"/>
    <w:rsid w:val="3CBE6046"/>
    <w:rsid w:val="3CBF6CCC"/>
    <w:rsid w:val="3CC20641"/>
    <w:rsid w:val="3CDA245A"/>
    <w:rsid w:val="3CF25262"/>
    <w:rsid w:val="3D0B62B5"/>
    <w:rsid w:val="3D0F5FEB"/>
    <w:rsid w:val="3D1C71FD"/>
    <w:rsid w:val="3D1E06B7"/>
    <w:rsid w:val="3D1F24E5"/>
    <w:rsid w:val="3D255712"/>
    <w:rsid w:val="3D3D4FC4"/>
    <w:rsid w:val="3D5143D7"/>
    <w:rsid w:val="3D5A3DC8"/>
    <w:rsid w:val="3D6873AF"/>
    <w:rsid w:val="3D736DA4"/>
    <w:rsid w:val="3D832A44"/>
    <w:rsid w:val="3D9A2417"/>
    <w:rsid w:val="3DAB0DB9"/>
    <w:rsid w:val="3DB542B0"/>
    <w:rsid w:val="3DC12D06"/>
    <w:rsid w:val="3DD5130D"/>
    <w:rsid w:val="3DD607FA"/>
    <w:rsid w:val="3DFD049D"/>
    <w:rsid w:val="3E1C20DE"/>
    <w:rsid w:val="3E2C1581"/>
    <w:rsid w:val="3E2C4BE1"/>
    <w:rsid w:val="3E2E2B5F"/>
    <w:rsid w:val="3E4A5AAE"/>
    <w:rsid w:val="3E5C4FA9"/>
    <w:rsid w:val="3E642547"/>
    <w:rsid w:val="3EA05AF6"/>
    <w:rsid w:val="3EA423AB"/>
    <w:rsid w:val="3EDA0523"/>
    <w:rsid w:val="3EEB5440"/>
    <w:rsid w:val="3F525705"/>
    <w:rsid w:val="3F5F29C4"/>
    <w:rsid w:val="3F720BB2"/>
    <w:rsid w:val="3F7C181C"/>
    <w:rsid w:val="3F7C472C"/>
    <w:rsid w:val="3F8169D9"/>
    <w:rsid w:val="3F880B3C"/>
    <w:rsid w:val="3F885BC1"/>
    <w:rsid w:val="3F9E6D3A"/>
    <w:rsid w:val="3FDB0B33"/>
    <w:rsid w:val="40017B06"/>
    <w:rsid w:val="401E1FA3"/>
    <w:rsid w:val="402A0777"/>
    <w:rsid w:val="403F644D"/>
    <w:rsid w:val="407A6407"/>
    <w:rsid w:val="407D2ED6"/>
    <w:rsid w:val="40813201"/>
    <w:rsid w:val="40930618"/>
    <w:rsid w:val="409E4740"/>
    <w:rsid w:val="40C854ED"/>
    <w:rsid w:val="40CB75A4"/>
    <w:rsid w:val="40F1259B"/>
    <w:rsid w:val="41084201"/>
    <w:rsid w:val="410B493C"/>
    <w:rsid w:val="413B3792"/>
    <w:rsid w:val="413E17DB"/>
    <w:rsid w:val="41504837"/>
    <w:rsid w:val="415A4CF1"/>
    <w:rsid w:val="417372F2"/>
    <w:rsid w:val="417F0B3D"/>
    <w:rsid w:val="41A33F03"/>
    <w:rsid w:val="41BE548F"/>
    <w:rsid w:val="41C0345F"/>
    <w:rsid w:val="41F8770C"/>
    <w:rsid w:val="4200449D"/>
    <w:rsid w:val="420612F4"/>
    <w:rsid w:val="42362441"/>
    <w:rsid w:val="423A3BCC"/>
    <w:rsid w:val="42410D9C"/>
    <w:rsid w:val="42484408"/>
    <w:rsid w:val="424E57D2"/>
    <w:rsid w:val="42547CB0"/>
    <w:rsid w:val="42615C1A"/>
    <w:rsid w:val="42634552"/>
    <w:rsid w:val="42786711"/>
    <w:rsid w:val="42824CA8"/>
    <w:rsid w:val="42B26C49"/>
    <w:rsid w:val="42B8704B"/>
    <w:rsid w:val="42F403C4"/>
    <w:rsid w:val="43036B62"/>
    <w:rsid w:val="430A69B4"/>
    <w:rsid w:val="431A5957"/>
    <w:rsid w:val="433A6FE6"/>
    <w:rsid w:val="43421C8F"/>
    <w:rsid w:val="43480868"/>
    <w:rsid w:val="4350713C"/>
    <w:rsid w:val="436337CE"/>
    <w:rsid w:val="436653E0"/>
    <w:rsid w:val="43A51440"/>
    <w:rsid w:val="43C4431A"/>
    <w:rsid w:val="44013222"/>
    <w:rsid w:val="441B1F26"/>
    <w:rsid w:val="44214224"/>
    <w:rsid w:val="44273326"/>
    <w:rsid w:val="44361AB1"/>
    <w:rsid w:val="446347C1"/>
    <w:rsid w:val="446B7F17"/>
    <w:rsid w:val="44784B34"/>
    <w:rsid w:val="448C4658"/>
    <w:rsid w:val="448C7E15"/>
    <w:rsid w:val="44AF3EE4"/>
    <w:rsid w:val="44B951CC"/>
    <w:rsid w:val="44CD14E0"/>
    <w:rsid w:val="44D71366"/>
    <w:rsid w:val="44F20B0B"/>
    <w:rsid w:val="44F23509"/>
    <w:rsid w:val="44F970DF"/>
    <w:rsid w:val="450C5068"/>
    <w:rsid w:val="451106C7"/>
    <w:rsid w:val="45197CEC"/>
    <w:rsid w:val="452E5F4C"/>
    <w:rsid w:val="455956ED"/>
    <w:rsid w:val="45612018"/>
    <w:rsid w:val="45622805"/>
    <w:rsid w:val="456A3C51"/>
    <w:rsid w:val="45707B05"/>
    <w:rsid w:val="4574354D"/>
    <w:rsid w:val="458946E9"/>
    <w:rsid w:val="459210F1"/>
    <w:rsid w:val="459A7671"/>
    <w:rsid w:val="45A47C0E"/>
    <w:rsid w:val="45A53364"/>
    <w:rsid w:val="45B008AE"/>
    <w:rsid w:val="45B46452"/>
    <w:rsid w:val="45D466E2"/>
    <w:rsid w:val="45D60CD6"/>
    <w:rsid w:val="45E306D3"/>
    <w:rsid w:val="45E32481"/>
    <w:rsid w:val="45E44465"/>
    <w:rsid w:val="45E62846"/>
    <w:rsid w:val="45E75922"/>
    <w:rsid w:val="46024B7B"/>
    <w:rsid w:val="460F4E2A"/>
    <w:rsid w:val="461914EB"/>
    <w:rsid w:val="462D6F86"/>
    <w:rsid w:val="463B0622"/>
    <w:rsid w:val="46423519"/>
    <w:rsid w:val="465321B7"/>
    <w:rsid w:val="46577FD6"/>
    <w:rsid w:val="466C3E74"/>
    <w:rsid w:val="46932AAE"/>
    <w:rsid w:val="469C179A"/>
    <w:rsid w:val="46A460B4"/>
    <w:rsid w:val="46AA7AFA"/>
    <w:rsid w:val="46B41E07"/>
    <w:rsid w:val="46D87C97"/>
    <w:rsid w:val="46D955A7"/>
    <w:rsid w:val="46E82445"/>
    <w:rsid w:val="46F42FDB"/>
    <w:rsid w:val="47121221"/>
    <w:rsid w:val="47133957"/>
    <w:rsid w:val="472B128B"/>
    <w:rsid w:val="4763400F"/>
    <w:rsid w:val="47695CB3"/>
    <w:rsid w:val="477A65A3"/>
    <w:rsid w:val="47986311"/>
    <w:rsid w:val="47A07E0C"/>
    <w:rsid w:val="47AB11F0"/>
    <w:rsid w:val="47AD6681"/>
    <w:rsid w:val="47C52320"/>
    <w:rsid w:val="47D227AD"/>
    <w:rsid w:val="47D310A4"/>
    <w:rsid w:val="47F0388E"/>
    <w:rsid w:val="482F377F"/>
    <w:rsid w:val="48475B66"/>
    <w:rsid w:val="484961FF"/>
    <w:rsid w:val="48545FBE"/>
    <w:rsid w:val="485F7AF3"/>
    <w:rsid w:val="4870272E"/>
    <w:rsid w:val="488C0D87"/>
    <w:rsid w:val="48B56357"/>
    <w:rsid w:val="48D07088"/>
    <w:rsid w:val="48D36719"/>
    <w:rsid w:val="48FC2269"/>
    <w:rsid w:val="490D1321"/>
    <w:rsid w:val="493B7741"/>
    <w:rsid w:val="493C71A0"/>
    <w:rsid w:val="49726576"/>
    <w:rsid w:val="49763B29"/>
    <w:rsid w:val="498C2571"/>
    <w:rsid w:val="499F3D78"/>
    <w:rsid w:val="49CC48EC"/>
    <w:rsid w:val="49D62A28"/>
    <w:rsid w:val="49DB1DED"/>
    <w:rsid w:val="49DC7715"/>
    <w:rsid w:val="49EC49E0"/>
    <w:rsid w:val="4A023139"/>
    <w:rsid w:val="4A042BE1"/>
    <w:rsid w:val="4A05330E"/>
    <w:rsid w:val="4A061AFE"/>
    <w:rsid w:val="4A122097"/>
    <w:rsid w:val="4A1470AD"/>
    <w:rsid w:val="4A183041"/>
    <w:rsid w:val="4A273DD3"/>
    <w:rsid w:val="4A2B0AD8"/>
    <w:rsid w:val="4A3917B3"/>
    <w:rsid w:val="4A4E6E38"/>
    <w:rsid w:val="4A631327"/>
    <w:rsid w:val="4A722777"/>
    <w:rsid w:val="4A7B576F"/>
    <w:rsid w:val="4A82407B"/>
    <w:rsid w:val="4A8504B5"/>
    <w:rsid w:val="4AC34FD4"/>
    <w:rsid w:val="4ACE7160"/>
    <w:rsid w:val="4AF561A9"/>
    <w:rsid w:val="4B174000"/>
    <w:rsid w:val="4B286AFD"/>
    <w:rsid w:val="4B41632B"/>
    <w:rsid w:val="4B5C27DE"/>
    <w:rsid w:val="4B6326FE"/>
    <w:rsid w:val="4B7B0767"/>
    <w:rsid w:val="4B8975A6"/>
    <w:rsid w:val="4B9B77C3"/>
    <w:rsid w:val="4BC10EAB"/>
    <w:rsid w:val="4BDE7972"/>
    <w:rsid w:val="4BE64593"/>
    <w:rsid w:val="4C0206F2"/>
    <w:rsid w:val="4C1B301B"/>
    <w:rsid w:val="4C331EF5"/>
    <w:rsid w:val="4C4A0649"/>
    <w:rsid w:val="4C5B5467"/>
    <w:rsid w:val="4C692296"/>
    <w:rsid w:val="4C6A55EA"/>
    <w:rsid w:val="4C6E4CA6"/>
    <w:rsid w:val="4C7477B9"/>
    <w:rsid w:val="4C7E5ECA"/>
    <w:rsid w:val="4C876AA5"/>
    <w:rsid w:val="4CBD7ED0"/>
    <w:rsid w:val="4CC132CB"/>
    <w:rsid w:val="4CC2150F"/>
    <w:rsid w:val="4CC87348"/>
    <w:rsid w:val="4CCE3DBA"/>
    <w:rsid w:val="4CEA6FA5"/>
    <w:rsid w:val="4D032DE0"/>
    <w:rsid w:val="4D0E00FB"/>
    <w:rsid w:val="4D176606"/>
    <w:rsid w:val="4D1958D7"/>
    <w:rsid w:val="4D1D3491"/>
    <w:rsid w:val="4D280978"/>
    <w:rsid w:val="4D2A41AE"/>
    <w:rsid w:val="4D4978AF"/>
    <w:rsid w:val="4D4F6391"/>
    <w:rsid w:val="4D662315"/>
    <w:rsid w:val="4D6B54C6"/>
    <w:rsid w:val="4D7F5185"/>
    <w:rsid w:val="4D893521"/>
    <w:rsid w:val="4DB04135"/>
    <w:rsid w:val="4DB71723"/>
    <w:rsid w:val="4DC54414"/>
    <w:rsid w:val="4DCF0DA8"/>
    <w:rsid w:val="4DE2767C"/>
    <w:rsid w:val="4DEC4AC2"/>
    <w:rsid w:val="4DEC4FB0"/>
    <w:rsid w:val="4DF3315D"/>
    <w:rsid w:val="4E024459"/>
    <w:rsid w:val="4E0353D3"/>
    <w:rsid w:val="4E075D8A"/>
    <w:rsid w:val="4E1320B3"/>
    <w:rsid w:val="4E5E4D9B"/>
    <w:rsid w:val="4E6E2737"/>
    <w:rsid w:val="4E703C4D"/>
    <w:rsid w:val="4E85590B"/>
    <w:rsid w:val="4E8A6E43"/>
    <w:rsid w:val="4EA50C1B"/>
    <w:rsid w:val="4EB006E8"/>
    <w:rsid w:val="4EBD29F4"/>
    <w:rsid w:val="4EC00FAD"/>
    <w:rsid w:val="4EEA460B"/>
    <w:rsid w:val="4F1F3FB3"/>
    <w:rsid w:val="4F3F2698"/>
    <w:rsid w:val="4F4258CB"/>
    <w:rsid w:val="4F667A13"/>
    <w:rsid w:val="4F8C6B9A"/>
    <w:rsid w:val="4F9843DC"/>
    <w:rsid w:val="4FAB15E0"/>
    <w:rsid w:val="4FBB3821"/>
    <w:rsid w:val="4FBD1F95"/>
    <w:rsid w:val="4FC62A8C"/>
    <w:rsid w:val="4FC86390"/>
    <w:rsid w:val="4FD6278A"/>
    <w:rsid w:val="4FE20F0D"/>
    <w:rsid w:val="4FE51552"/>
    <w:rsid w:val="50082A59"/>
    <w:rsid w:val="50146059"/>
    <w:rsid w:val="50212D80"/>
    <w:rsid w:val="502E57ED"/>
    <w:rsid w:val="50360E73"/>
    <w:rsid w:val="50504C4B"/>
    <w:rsid w:val="50615016"/>
    <w:rsid w:val="509C6E7C"/>
    <w:rsid w:val="50B16152"/>
    <w:rsid w:val="50C903C5"/>
    <w:rsid w:val="50DC32B4"/>
    <w:rsid w:val="50EB7FCE"/>
    <w:rsid w:val="50F3375D"/>
    <w:rsid w:val="50F3390A"/>
    <w:rsid w:val="51101146"/>
    <w:rsid w:val="51137E3C"/>
    <w:rsid w:val="51367791"/>
    <w:rsid w:val="513913A4"/>
    <w:rsid w:val="51493AE0"/>
    <w:rsid w:val="5162104E"/>
    <w:rsid w:val="517D2E0A"/>
    <w:rsid w:val="518038E8"/>
    <w:rsid w:val="51954076"/>
    <w:rsid w:val="51E60CFA"/>
    <w:rsid w:val="52000DE6"/>
    <w:rsid w:val="52144E51"/>
    <w:rsid w:val="522B58DB"/>
    <w:rsid w:val="523029A2"/>
    <w:rsid w:val="5239620F"/>
    <w:rsid w:val="523D708E"/>
    <w:rsid w:val="52430C7A"/>
    <w:rsid w:val="525135D4"/>
    <w:rsid w:val="5252623D"/>
    <w:rsid w:val="526C45A1"/>
    <w:rsid w:val="52962054"/>
    <w:rsid w:val="52E02222"/>
    <w:rsid w:val="52FC0079"/>
    <w:rsid w:val="533F5156"/>
    <w:rsid w:val="535B5A8E"/>
    <w:rsid w:val="53811BD8"/>
    <w:rsid w:val="53A039CC"/>
    <w:rsid w:val="53A1505A"/>
    <w:rsid w:val="53AC4F68"/>
    <w:rsid w:val="53E4742C"/>
    <w:rsid w:val="53FA5565"/>
    <w:rsid w:val="53FC455C"/>
    <w:rsid w:val="54063E08"/>
    <w:rsid w:val="5407108F"/>
    <w:rsid w:val="543437E8"/>
    <w:rsid w:val="543E5CB5"/>
    <w:rsid w:val="54667F98"/>
    <w:rsid w:val="546B45A9"/>
    <w:rsid w:val="5477784D"/>
    <w:rsid w:val="547B16FE"/>
    <w:rsid w:val="54930906"/>
    <w:rsid w:val="549D612B"/>
    <w:rsid w:val="549D6389"/>
    <w:rsid w:val="54A213EF"/>
    <w:rsid w:val="54A528BC"/>
    <w:rsid w:val="54AC3115"/>
    <w:rsid w:val="54C539FC"/>
    <w:rsid w:val="54E83271"/>
    <w:rsid w:val="54F33964"/>
    <w:rsid w:val="54F73313"/>
    <w:rsid w:val="54F80955"/>
    <w:rsid w:val="55212E9C"/>
    <w:rsid w:val="55260479"/>
    <w:rsid w:val="55320D2F"/>
    <w:rsid w:val="555170A7"/>
    <w:rsid w:val="555C298C"/>
    <w:rsid w:val="5565797C"/>
    <w:rsid w:val="557E1F90"/>
    <w:rsid w:val="55823B9E"/>
    <w:rsid w:val="5587536D"/>
    <w:rsid w:val="558C69D1"/>
    <w:rsid w:val="55971C2D"/>
    <w:rsid w:val="559B174B"/>
    <w:rsid w:val="55A515E2"/>
    <w:rsid w:val="55AA1DC0"/>
    <w:rsid w:val="55B17CA6"/>
    <w:rsid w:val="55B96FAD"/>
    <w:rsid w:val="55BC1B80"/>
    <w:rsid w:val="55CE0CF4"/>
    <w:rsid w:val="55D67725"/>
    <w:rsid w:val="55DB553B"/>
    <w:rsid w:val="55DD5C46"/>
    <w:rsid w:val="55EC58D8"/>
    <w:rsid w:val="55F63C7C"/>
    <w:rsid w:val="560A62F8"/>
    <w:rsid w:val="560B5D18"/>
    <w:rsid w:val="5611082D"/>
    <w:rsid w:val="563658F0"/>
    <w:rsid w:val="5638666C"/>
    <w:rsid w:val="56455CD4"/>
    <w:rsid w:val="564C042C"/>
    <w:rsid w:val="564F5907"/>
    <w:rsid w:val="56603EC0"/>
    <w:rsid w:val="566630F2"/>
    <w:rsid w:val="566F4E48"/>
    <w:rsid w:val="56807779"/>
    <w:rsid w:val="568154D0"/>
    <w:rsid w:val="569B7F50"/>
    <w:rsid w:val="56A8016D"/>
    <w:rsid w:val="56B22A9C"/>
    <w:rsid w:val="56B2579E"/>
    <w:rsid w:val="56B36744"/>
    <w:rsid w:val="56D266D0"/>
    <w:rsid w:val="56D83668"/>
    <w:rsid w:val="56E45E4D"/>
    <w:rsid w:val="56FE7B2F"/>
    <w:rsid w:val="56FF52A9"/>
    <w:rsid w:val="57090A62"/>
    <w:rsid w:val="570A3832"/>
    <w:rsid w:val="57362D58"/>
    <w:rsid w:val="5744035B"/>
    <w:rsid w:val="57506A23"/>
    <w:rsid w:val="57596A47"/>
    <w:rsid w:val="578C3E81"/>
    <w:rsid w:val="57A45D88"/>
    <w:rsid w:val="57A52C26"/>
    <w:rsid w:val="57B572B3"/>
    <w:rsid w:val="57B72A76"/>
    <w:rsid w:val="57BC287A"/>
    <w:rsid w:val="57C3426C"/>
    <w:rsid w:val="57CE1F93"/>
    <w:rsid w:val="57D97F71"/>
    <w:rsid w:val="57DC2E1D"/>
    <w:rsid w:val="57EE718F"/>
    <w:rsid w:val="58016E44"/>
    <w:rsid w:val="581C736D"/>
    <w:rsid w:val="58492617"/>
    <w:rsid w:val="586475A6"/>
    <w:rsid w:val="588743D1"/>
    <w:rsid w:val="5887701A"/>
    <w:rsid w:val="588A0FC3"/>
    <w:rsid w:val="58920462"/>
    <w:rsid w:val="58AC3367"/>
    <w:rsid w:val="58C53D0E"/>
    <w:rsid w:val="58CE0223"/>
    <w:rsid w:val="58D47FEA"/>
    <w:rsid w:val="58D64E5E"/>
    <w:rsid w:val="58D66C5D"/>
    <w:rsid w:val="58F26972"/>
    <w:rsid w:val="58F7046C"/>
    <w:rsid w:val="590757EA"/>
    <w:rsid w:val="59084215"/>
    <w:rsid w:val="59207D6E"/>
    <w:rsid w:val="59376F65"/>
    <w:rsid w:val="59422C2D"/>
    <w:rsid w:val="59526532"/>
    <w:rsid w:val="5962552C"/>
    <w:rsid w:val="597610C2"/>
    <w:rsid w:val="59953A9E"/>
    <w:rsid w:val="599C31D4"/>
    <w:rsid w:val="59B3634F"/>
    <w:rsid w:val="59BD05EA"/>
    <w:rsid w:val="59C0439F"/>
    <w:rsid w:val="59C70E7C"/>
    <w:rsid w:val="59DA6E1A"/>
    <w:rsid w:val="5A386A10"/>
    <w:rsid w:val="5A543F88"/>
    <w:rsid w:val="5A642003"/>
    <w:rsid w:val="5A650A31"/>
    <w:rsid w:val="5A713D46"/>
    <w:rsid w:val="5A7B629A"/>
    <w:rsid w:val="5A9E0B98"/>
    <w:rsid w:val="5AB444BD"/>
    <w:rsid w:val="5ABE2233"/>
    <w:rsid w:val="5AC54831"/>
    <w:rsid w:val="5AE9345C"/>
    <w:rsid w:val="5AF03537"/>
    <w:rsid w:val="5B1213E7"/>
    <w:rsid w:val="5B1A3CC2"/>
    <w:rsid w:val="5B3F54BB"/>
    <w:rsid w:val="5B4A5559"/>
    <w:rsid w:val="5B743709"/>
    <w:rsid w:val="5B7639F3"/>
    <w:rsid w:val="5B8305C0"/>
    <w:rsid w:val="5B8737C4"/>
    <w:rsid w:val="5B8E1B5E"/>
    <w:rsid w:val="5BAB44FD"/>
    <w:rsid w:val="5BDF5D95"/>
    <w:rsid w:val="5BE54D05"/>
    <w:rsid w:val="5BEE3192"/>
    <w:rsid w:val="5BFE7528"/>
    <w:rsid w:val="5C1413D3"/>
    <w:rsid w:val="5C146731"/>
    <w:rsid w:val="5C2B1812"/>
    <w:rsid w:val="5C62014C"/>
    <w:rsid w:val="5C7C75E1"/>
    <w:rsid w:val="5C875D51"/>
    <w:rsid w:val="5C8A6F3B"/>
    <w:rsid w:val="5C966973"/>
    <w:rsid w:val="5C9C0E37"/>
    <w:rsid w:val="5CA73FB5"/>
    <w:rsid w:val="5CC03F6C"/>
    <w:rsid w:val="5CC26747"/>
    <w:rsid w:val="5CCE15CE"/>
    <w:rsid w:val="5CE11536"/>
    <w:rsid w:val="5CE21004"/>
    <w:rsid w:val="5CE904EA"/>
    <w:rsid w:val="5D0D2EB3"/>
    <w:rsid w:val="5D192050"/>
    <w:rsid w:val="5D3F6C3E"/>
    <w:rsid w:val="5D514387"/>
    <w:rsid w:val="5D682FCF"/>
    <w:rsid w:val="5D7C348F"/>
    <w:rsid w:val="5D8C7CE9"/>
    <w:rsid w:val="5DA573CC"/>
    <w:rsid w:val="5DA93298"/>
    <w:rsid w:val="5DB44FA3"/>
    <w:rsid w:val="5DF00C07"/>
    <w:rsid w:val="5DF8618F"/>
    <w:rsid w:val="5DFC0E41"/>
    <w:rsid w:val="5E051F39"/>
    <w:rsid w:val="5E2467F1"/>
    <w:rsid w:val="5E710FBC"/>
    <w:rsid w:val="5E8D5557"/>
    <w:rsid w:val="5E9A7A1E"/>
    <w:rsid w:val="5EAC3748"/>
    <w:rsid w:val="5EAE1426"/>
    <w:rsid w:val="5EB41E10"/>
    <w:rsid w:val="5EB74D48"/>
    <w:rsid w:val="5EBB05F2"/>
    <w:rsid w:val="5EF22280"/>
    <w:rsid w:val="5F1A2B43"/>
    <w:rsid w:val="5F3026D2"/>
    <w:rsid w:val="5F445EA3"/>
    <w:rsid w:val="5F772CCE"/>
    <w:rsid w:val="5FAE29C0"/>
    <w:rsid w:val="5FB837BB"/>
    <w:rsid w:val="5FB94527"/>
    <w:rsid w:val="5FBA7D1D"/>
    <w:rsid w:val="5FCC4FB4"/>
    <w:rsid w:val="5FD04722"/>
    <w:rsid w:val="5FDB4702"/>
    <w:rsid w:val="5FE300B4"/>
    <w:rsid w:val="600F3EE4"/>
    <w:rsid w:val="60122DF8"/>
    <w:rsid w:val="601C6768"/>
    <w:rsid w:val="60307EDD"/>
    <w:rsid w:val="6036527C"/>
    <w:rsid w:val="604C370F"/>
    <w:rsid w:val="60566219"/>
    <w:rsid w:val="60594478"/>
    <w:rsid w:val="6065709D"/>
    <w:rsid w:val="606C658B"/>
    <w:rsid w:val="60791274"/>
    <w:rsid w:val="60A927B4"/>
    <w:rsid w:val="60CC405A"/>
    <w:rsid w:val="60D07D7A"/>
    <w:rsid w:val="60D53803"/>
    <w:rsid w:val="60E14A9E"/>
    <w:rsid w:val="60E25B26"/>
    <w:rsid w:val="60FE0006"/>
    <w:rsid w:val="61254015"/>
    <w:rsid w:val="61442516"/>
    <w:rsid w:val="614D4BDC"/>
    <w:rsid w:val="615C0CD5"/>
    <w:rsid w:val="61684B21"/>
    <w:rsid w:val="618A4863"/>
    <w:rsid w:val="61A134ED"/>
    <w:rsid w:val="61A46918"/>
    <w:rsid w:val="61E215D8"/>
    <w:rsid w:val="61EF1C09"/>
    <w:rsid w:val="6213234A"/>
    <w:rsid w:val="621B3775"/>
    <w:rsid w:val="6227356B"/>
    <w:rsid w:val="622774A7"/>
    <w:rsid w:val="622E7AAD"/>
    <w:rsid w:val="62346F2A"/>
    <w:rsid w:val="62364782"/>
    <w:rsid w:val="623C1B17"/>
    <w:rsid w:val="624004A9"/>
    <w:rsid w:val="6242263A"/>
    <w:rsid w:val="624C6B42"/>
    <w:rsid w:val="625E5235"/>
    <w:rsid w:val="62957D4A"/>
    <w:rsid w:val="62D2016D"/>
    <w:rsid w:val="62F91377"/>
    <w:rsid w:val="62FC1B9E"/>
    <w:rsid w:val="62FE04A2"/>
    <w:rsid w:val="6321748A"/>
    <w:rsid w:val="63224A9A"/>
    <w:rsid w:val="63227E71"/>
    <w:rsid w:val="63244254"/>
    <w:rsid w:val="63255B5F"/>
    <w:rsid w:val="63311FBC"/>
    <w:rsid w:val="63381373"/>
    <w:rsid w:val="633F4208"/>
    <w:rsid w:val="635D78BF"/>
    <w:rsid w:val="6378433E"/>
    <w:rsid w:val="63927568"/>
    <w:rsid w:val="6394356A"/>
    <w:rsid w:val="63C61B2C"/>
    <w:rsid w:val="63D40BE9"/>
    <w:rsid w:val="63E53D7E"/>
    <w:rsid w:val="63F2291B"/>
    <w:rsid w:val="63F37E14"/>
    <w:rsid w:val="63F70DC5"/>
    <w:rsid w:val="640970FF"/>
    <w:rsid w:val="640A65FB"/>
    <w:rsid w:val="640F0BB9"/>
    <w:rsid w:val="64102431"/>
    <w:rsid w:val="642503DD"/>
    <w:rsid w:val="648A0240"/>
    <w:rsid w:val="64A5243A"/>
    <w:rsid w:val="64B31DC4"/>
    <w:rsid w:val="64C141D2"/>
    <w:rsid w:val="64CF0348"/>
    <w:rsid w:val="64EF09EB"/>
    <w:rsid w:val="64F50EAE"/>
    <w:rsid w:val="64F531DE"/>
    <w:rsid w:val="650D48AC"/>
    <w:rsid w:val="65373578"/>
    <w:rsid w:val="655A669E"/>
    <w:rsid w:val="65687A44"/>
    <w:rsid w:val="65770683"/>
    <w:rsid w:val="65BF380C"/>
    <w:rsid w:val="65C7198A"/>
    <w:rsid w:val="65CD0D2C"/>
    <w:rsid w:val="65E16A5E"/>
    <w:rsid w:val="65E90375"/>
    <w:rsid w:val="66074805"/>
    <w:rsid w:val="662150B6"/>
    <w:rsid w:val="66280209"/>
    <w:rsid w:val="66291CDA"/>
    <w:rsid w:val="665171D4"/>
    <w:rsid w:val="66517BDC"/>
    <w:rsid w:val="667271DD"/>
    <w:rsid w:val="66734EC4"/>
    <w:rsid w:val="668D04BB"/>
    <w:rsid w:val="669D5D60"/>
    <w:rsid w:val="66A17AC3"/>
    <w:rsid w:val="66B74919"/>
    <w:rsid w:val="66D15E62"/>
    <w:rsid w:val="670C5884"/>
    <w:rsid w:val="671169F6"/>
    <w:rsid w:val="671257FE"/>
    <w:rsid w:val="671960F4"/>
    <w:rsid w:val="671F124A"/>
    <w:rsid w:val="673A36BF"/>
    <w:rsid w:val="673B0A9A"/>
    <w:rsid w:val="674D39C3"/>
    <w:rsid w:val="676E45A0"/>
    <w:rsid w:val="677A33C6"/>
    <w:rsid w:val="677C5329"/>
    <w:rsid w:val="679C696E"/>
    <w:rsid w:val="67AE7E4C"/>
    <w:rsid w:val="67B7225D"/>
    <w:rsid w:val="67B749BB"/>
    <w:rsid w:val="67CF1A58"/>
    <w:rsid w:val="67DB1E5D"/>
    <w:rsid w:val="67DF4D46"/>
    <w:rsid w:val="67EA19D9"/>
    <w:rsid w:val="680908A9"/>
    <w:rsid w:val="680E7E4D"/>
    <w:rsid w:val="681F6961"/>
    <w:rsid w:val="683F5388"/>
    <w:rsid w:val="68536C47"/>
    <w:rsid w:val="68610A2F"/>
    <w:rsid w:val="686C2BAA"/>
    <w:rsid w:val="6870132D"/>
    <w:rsid w:val="68805514"/>
    <w:rsid w:val="68833B1F"/>
    <w:rsid w:val="689C125C"/>
    <w:rsid w:val="68A1566B"/>
    <w:rsid w:val="68AE0910"/>
    <w:rsid w:val="68CC0CE9"/>
    <w:rsid w:val="68E233E9"/>
    <w:rsid w:val="68EE5F78"/>
    <w:rsid w:val="68FC17C7"/>
    <w:rsid w:val="69021FA8"/>
    <w:rsid w:val="69180412"/>
    <w:rsid w:val="691F1B71"/>
    <w:rsid w:val="69316E2F"/>
    <w:rsid w:val="694E2071"/>
    <w:rsid w:val="69766163"/>
    <w:rsid w:val="697A3B33"/>
    <w:rsid w:val="697A7118"/>
    <w:rsid w:val="699F5AE0"/>
    <w:rsid w:val="69A17F14"/>
    <w:rsid w:val="69A53DBB"/>
    <w:rsid w:val="69B92FF1"/>
    <w:rsid w:val="69D44760"/>
    <w:rsid w:val="6A2A6838"/>
    <w:rsid w:val="6A3C07DB"/>
    <w:rsid w:val="6A437325"/>
    <w:rsid w:val="6A4E14B9"/>
    <w:rsid w:val="6A520EC7"/>
    <w:rsid w:val="6A552936"/>
    <w:rsid w:val="6A5B072D"/>
    <w:rsid w:val="6A5E1CBF"/>
    <w:rsid w:val="6A6B1F39"/>
    <w:rsid w:val="6A7901E3"/>
    <w:rsid w:val="6AA20726"/>
    <w:rsid w:val="6AB04348"/>
    <w:rsid w:val="6AC367FE"/>
    <w:rsid w:val="6AC60F39"/>
    <w:rsid w:val="6AE7099B"/>
    <w:rsid w:val="6AF87E20"/>
    <w:rsid w:val="6AF942D9"/>
    <w:rsid w:val="6B15282D"/>
    <w:rsid w:val="6B166CD1"/>
    <w:rsid w:val="6B264A3A"/>
    <w:rsid w:val="6B2D5B2C"/>
    <w:rsid w:val="6B322639"/>
    <w:rsid w:val="6B383D1A"/>
    <w:rsid w:val="6B3D492B"/>
    <w:rsid w:val="6B3F18CE"/>
    <w:rsid w:val="6B4E04AC"/>
    <w:rsid w:val="6B5C78EC"/>
    <w:rsid w:val="6B8359E9"/>
    <w:rsid w:val="6BAE515B"/>
    <w:rsid w:val="6BBC7A4C"/>
    <w:rsid w:val="6BBF3130"/>
    <w:rsid w:val="6BD06F70"/>
    <w:rsid w:val="6BD83F86"/>
    <w:rsid w:val="6BDE30A4"/>
    <w:rsid w:val="6BE04C11"/>
    <w:rsid w:val="6BFE3BD0"/>
    <w:rsid w:val="6C0A6C03"/>
    <w:rsid w:val="6C123A2F"/>
    <w:rsid w:val="6C17653B"/>
    <w:rsid w:val="6C2B0721"/>
    <w:rsid w:val="6C2F2E70"/>
    <w:rsid w:val="6C332B4E"/>
    <w:rsid w:val="6C432361"/>
    <w:rsid w:val="6C4E6C53"/>
    <w:rsid w:val="6C636C38"/>
    <w:rsid w:val="6C6F6A67"/>
    <w:rsid w:val="6C7A7069"/>
    <w:rsid w:val="6C86788C"/>
    <w:rsid w:val="6C96020D"/>
    <w:rsid w:val="6CB24A12"/>
    <w:rsid w:val="6CC06081"/>
    <w:rsid w:val="6CC53CF6"/>
    <w:rsid w:val="6CDC2E39"/>
    <w:rsid w:val="6D0D7C60"/>
    <w:rsid w:val="6D1C4BAA"/>
    <w:rsid w:val="6D3417DE"/>
    <w:rsid w:val="6D366ACB"/>
    <w:rsid w:val="6D5C4F28"/>
    <w:rsid w:val="6D7E6E71"/>
    <w:rsid w:val="6DA56911"/>
    <w:rsid w:val="6DB34098"/>
    <w:rsid w:val="6DB545B6"/>
    <w:rsid w:val="6DD14F6B"/>
    <w:rsid w:val="6DE02FB4"/>
    <w:rsid w:val="6DE2286A"/>
    <w:rsid w:val="6DF332FA"/>
    <w:rsid w:val="6DF50621"/>
    <w:rsid w:val="6DFB5D0A"/>
    <w:rsid w:val="6E070071"/>
    <w:rsid w:val="6E4711C9"/>
    <w:rsid w:val="6E514CED"/>
    <w:rsid w:val="6E553F33"/>
    <w:rsid w:val="6E6A39D4"/>
    <w:rsid w:val="6E7C68A0"/>
    <w:rsid w:val="6E807761"/>
    <w:rsid w:val="6E8D6012"/>
    <w:rsid w:val="6E9028F6"/>
    <w:rsid w:val="6E955F93"/>
    <w:rsid w:val="6E95615F"/>
    <w:rsid w:val="6E963C85"/>
    <w:rsid w:val="6EB234C5"/>
    <w:rsid w:val="6EB563D5"/>
    <w:rsid w:val="6EBF13CE"/>
    <w:rsid w:val="6ECB1B80"/>
    <w:rsid w:val="6ED92677"/>
    <w:rsid w:val="6EE027E0"/>
    <w:rsid w:val="6EF65836"/>
    <w:rsid w:val="6EFF1C7E"/>
    <w:rsid w:val="6F0742D5"/>
    <w:rsid w:val="6F0A4342"/>
    <w:rsid w:val="6F225983"/>
    <w:rsid w:val="6F4F6A8D"/>
    <w:rsid w:val="6F685728"/>
    <w:rsid w:val="6F9707DF"/>
    <w:rsid w:val="6FDD6D6F"/>
    <w:rsid w:val="6FEE1FCA"/>
    <w:rsid w:val="6FF03E3F"/>
    <w:rsid w:val="6FFC5590"/>
    <w:rsid w:val="7029607B"/>
    <w:rsid w:val="704B62D4"/>
    <w:rsid w:val="705A0056"/>
    <w:rsid w:val="705A2F32"/>
    <w:rsid w:val="706841E5"/>
    <w:rsid w:val="706D1DD0"/>
    <w:rsid w:val="707C1310"/>
    <w:rsid w:val="70856B87"/>
    <w:rsid w:val="70CE5E07"/>
    <w:rsid w:val="70D527EE"/>
    <w:rsid w:val="710A216C"/>
    <w:rsid w:val="710F37C4"/>
    <w:rsid w:val="71127B99"/>
    <w:rsid w:val="711A4DA6"/>
    <w:rsid w:val="711A5D0D"/>
    <w:rsid w:val="711A6178"/>
    <w:rsid w:val="711D049A"/>
    <w:rsid w:val="71512821"/>
    <w:rsid w:val="7159746B"/>
    <w:rsid w:val="715B5300"/>
    <w:rsid w:val="7168104E"/>
    <w:rsid w:val="71962096"/>
    <w:rsid w:val="71974AEA"/>
    <w:rsid w:val="71B12842"/>
    <w:rsid w:val="71B509D9"/>
    <w:rsid w:val="71D27F8A"/>
    <w:rsid w:val="71E31828"/>
    <w:rsid w:val="71EB1A07"/>
    <w:rsid w:val="71EF7A36"/>
    <w:rsid w:val="71FF44DA"/>
    <w:rsid w:val="72155D12"/>
    <w:rsid w:val="721F37D3"/>
    <w:rsid w:val="72355159"/>
    <w:rsid w:val="72426C29"/>
    <w:rsid w:val="725467C4"/>
    <w:rsid w:val="72553024"/>
    <w:rsid w:val="72565872"/>
    <w:rsid w:val="725C399E"/>
    <w:rsid w:val="7270383A"/>
    <w:rsid w:val="7273685E"/>
    <w:rsid w:val="727F2CDF"/>
    <w:rsid w:val="72923E7E"/>
    <w:rsid w:val="7299539E"/>
    <w:rsid w:val="729C7A06"/>
    <w:rsid w:val="72AC2D51"/>
    <w:rsid w:val="72AF2EB6"/>
    <w:rsid w:val="72DD41D0"/>
    <w:rsid w:val="73075D58"/>
    <w:rsid w:val="73082679"/>
    <w:rsid w:val="73122968"/>
    <w:rsid w:val="731F5D5E"/>
    <w:rsid w:val="7343425F"/>
    <w:rsid w:val="737B5E5F"/>
    <w:rsid w:val="73AD3F4B"/>
    <w:rsid w:val="73AF0451"/>
    <w:rsid w:val="73C51AD5"/>
    <w:rsid w:val="73D50AB3"/>
    <w:rsid w:val="73D613AB"/>
    <w:rsid w:val="74004651"/>
    <w:rsid w:val="74091744"/>
    <w:rsid w:val="740B7B61"/>
    <w:rsid w:val="741E793C"/>
    <w:rsid w:val="74237C37"/>
    <w:rsid w:val="744D3D5F"/>
    <w:rsid w:val="745E3944"/>
    <w:rsid w:val="74604B19"/>
    <w:rsid w:val="74772C06"/>
    <w:rsid w:val="74887E0A"/>
    <w:rsid w:val="749D7B1B"/>
    <w:rsid w:val="74B63276"/>
    <w:rsid w:val="74E27C24"/>
    <w:rsid w:val="750346A1"/>
    <w:rsid w:val="755A15BF"/>
    <w:rsid w:val="7572238E"/>
    <w:rsid w:val="75737233"/>
    <w:rsid w:val="757B11D7"/>
    <w:rsid w:val="75E42B20"/>
    <w:rsid w:val="75E94CF3"/>
    <w:rsid w:val="76074912"/>
    <w:rsid w:val="76096233"/>
    <w:rsid w:val="760A7896"/>
    <w:rsid w:val="76126B7B"/>
    <w:rsid w:val="76134EBD"/>
    <w:rsid w:val="76293C72"/>
    <w:rsid w:val="762F236A"/>
    <w:rsid w:val="7635099D"/>
    <w:rsid w:val="765C52B0"/>
    <w:rsid w:val="76611FA7"/>
    <w:rsid w:val="766A5753"/>
    <w:rsid w:val="766C303E"/>
    <w:rsid w:val="7687606F"/>
    <w:rsid w:val="76A03A4D"/>
    <w:rsid w:val="76B84BF0"/>
    <w:rsid w:val="76CC2A89"/>
    <w:rsid w:val="76DA25EC"/>
    <w:rsid w:val="76E05D2D"/>
    <w:rsid w:val="76F14DF3"/>
    <w:rsid w:val="772939C2"/>
    <w:rsid w:val="773869D8"/>
    <w:rsid w:val="77642071"/>
    <w:rsid w:val="77762421"/>
    <w:rsid w:val="77955421"/>
    <w:rsid w:val="77957DBE"/>
    <w:rsid w:val="77B56B1F"/>
    <w:rsid w:val="77B7476A"/>
    <w:rsid w:val="77C074B4"/>
    <w:rsid w:val="77D26637"/>
    <w:rsid w:val="77E06353"/>
    <w:rsid w:val="77E16527"/>
    <w:rsid w:val="77F73E31"/>
    <w:rsid w:val="77F96697"/>
    <w:rsid w:val="78074ECD"/>
    <w:rsid w:val="780F09F4"/>
    <w:rsid w:val="780F1BD2"/>
    <w:rsid w:val="782864AB"/>
    <w:rsid w:val="786D23BA"/>
    <w:rsid w:val="789D3261"/>
    <w:rsid w:val="78A90480"/>
    <w:rsid w:val="78BA50EA"/>
    <w:rsid w:val="78BE0922"/>
    <w:rsid w:val="78D301CD"/>
    <w:rsid w:val="78D95675"/>
    <w:rsid w:val="78EE303B"/>
    <w:rsid w:val="78FF3FDF"/>
    <w:rsid w:val="79082FE0"/>
    <w:rsid w:val="791E0487"/>
    <w:rsid w:val="793A1DDD"/>
    <w:rsid w:val="795B6419"/>
    <w:rsid w:val="797A58C2"/>
    <w:rsid w:val="797D44BF"/>
    <w:rsid w:val="797E6D35"/>
    <w:rsid w:val="79AB4472"/>
    <w:rsid w:val="79AE0B68"/>
    <w:rsid w:val="79AF0172"/>
    <w:rsid w:val="79B25E17"/>
    <w:rsid w:val="79D20E2A"/>
    <w:rsid w:val="79F9453F"/>
    <w:rsid w:val="7A0464FE"/>
    <w:rsid w:val="7A2E3471"/>
    <w:rsid w:val="7A364017"/>
    <w:rsid w:val="7A422D7B"/>
    <w:rsid w:val="7A590C01"/>
    <w:rsid w:val="7A5A218C"/>
    <w:rsid w:val="7A643CD7"/>
    <w:rsid w:val="7A72011D"/>
    <w:rsid w:val="7A72681F"/>
    <w:rsid w:val="7A7F4F1C"/>
    <w:rsid w:val="7A8265E1"/>
    <w:rsid w:val="7A896DF7"/>
    <w:rsid w:val="7AB628D6"/>
    <w:rsid w:val="7ABF6F73"/>
    <w:rsid w:val="7AD41DBD"/>
    <w:rsid w:val="7AD8416F"/>
    <w:rsid w:val="7AF90E09"/>
    <w:rsid w:val="7B252618"/>
    <w:rsid w:val="7B473EC4"/>
    <w:rsid w:val="7B476FEF"/>
    <w:rsid w:val="7B66687D"/>
    <w:rsid w:val="7B686D42"/>
    <w:rsid w:val="7B841746"/>
    <w:rsid w:val="7B874528"/>
    <w:rsid w:val="7B954F14"/>
    <w:rsid w:val="7B9D0D1B"/>
    <w:rsid w:val="7BC60828"/>
    <w:rsid w:val="7BCC0807"/>
    <w:rsid w:val="7BE2675B"/>
    <w:rsid w:val="7BE6208D"/>
    <w:rsid w:val="7BEC370A"/>
    <w:rsid w:val="7C122394"/>
    <w:rsid w:val="7C1B28CB"/>
    <w:rsid w:val="7C1B4CC5"/>
    <w:rsid w:val="7C2B3BB0"/>
    <w:rsid w:val="7C415DC2"/>
    <w:rsid w:val="7C42318D"/>
    <w:rsid w:val="7C602DD5"/>
    <w:rsid w:val="7C6C5AC7"/>
    <w:rsid w:val="7C746CE5"/>
    <w:rsid w:val="7C9C1CD6"/>
    <w:rsid w:val="7CC6544B"/>
    <w:rsid w:val="7CCD2008"/>
    <w:rsid w:val="7CDF7005"/>
    <w:rsid w:val="7CE21A9C"/>
    <w:rsid w:val="7CE6429C"/>
    <w:rsid w:val="7CE9753D"/>
    <w:rsid w:val="7CFD5CE2"/>
    <w:rsid w:val="7D0239FF"/>
    <w:rsid w:val="7D071401"/>
    <w:rsid w:val="7D1024A6"/>
    <w:rsid w:val="7D1E08E0"/>
    <w:rsid w:val="7D1E571C"/>
    <w:rsid w:val="7D20704E"/>
    <w:rsid w:val="7D2665C7"/>
    <w:rsid w:val="7D322812"/>
    <w:rsid w:val="7D545081"/>
    <w:rsid w:val="7D5E40CD"/>
    <w:rsid w:val="7D6B6B2C"/>
    <w:rsid w:val="7D751CB9"/>
    <w:rsid w:val="7D857945"/>
    <w:rsid w:val="7D87580C"/>
    <w:rsid w:val="7DBB734E"/>
    <w:rsid w:val="7DC16A8E"/>
    <w:rsid w:val="7DCA7403"/>
    <w:rsid w:val="7DCD56F2"/>
    <w:rsid w:val="7DD310C9"/>
    <w:rsid w:val="7DE35239"/>
    <w:rsid w:val="7E02699D"/>
    <w:rsid w:val="7E2274B6"/>
    <w:rsid w:val="7E25122C"/>
    <w:rsid w:val="7E270D6B"/>
    <w:rsid w:val="7E5020F9"/>
    <w:rsid w:val="7E9C3068"/>
    <w:rsid w:val="7EA069BA"/>
    <w:rsid w:val="7EA33EF9"/>
    <w:rsid w:val="7EA552B3"/>
    <w:rsid w:val="7EAE51E2"/>
    <w:rsid w:val="7EE322BA"/>
    <w:rsid w:val="7F001CE7"/>
    <w:rsid w:val="7F0678AD"/>
    <w:rsid w:val="7F224272"/>
    <w:rsid w:val="7F3F6FBE"/>
    <w:rsid w:val="7F481677"/>
    <w:rsid w:val="7F53551C"/>
    <w:rsid w:val="7F793597"/>
    <w:rsid w:val="7F7B3954"/>
    <w:rsid w:val="7F7D46D5"/>
    <w:rsid w:val="7F9177B4"/>
    <w:rsid w:val="7FC75D9D"/>
    <w:rsid w:val="7FC76394"/>
    <w:rsid w:val="7FCC5758"/>
    <w:rsid w:val="7FCE01BF"/>
    <w:rsid w:val="7FDD71B6"/>
    <w:rsid w:val="7FE47E50"/>
    <w:rsid w:val="7FF849B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nhideWhenUsed="0" w:uiPriority="9" w:semiHidden="0" w:name="heading 2" w:locked="1"/>
    <w:lsdException w:qFormat="1" w:unhideWhenUsed="0" w:uiPriority="9" w:semiHidden="0" w:name="heading 3" w:locked="1"/>
    <w:lsdException w:qFormat="1" w:unhideWhenUsed="0" w:uiPriority="9" w:semiHidden="0" w:name="heading 4" w:locked="1"/>
    <w:lsdException w:qFormat="1" w:unhideWhenUsed="0" w:uiPriority="9" w:semiHidden="0" w:name="heading 5" w:locked="1"/>
    <w:lsdException w:qFormat="1" w:unhideWhenUsed="0" w:uiPriority="9" w:semiHidden="0" w:name="heading 6" w:locked="1"/>
    <w:lsdException w:qFormat="1" w:unhideWhenUsed="0" w:uiPriority="9" w:semiHidden="0" w:name="heading 7" w:locked="1"/>
    <w:lsdException w:qFormat="1" w:unhideWhenUsed="0" w:uiPriority="9" w:semiHidden="0" w:name="heading 8" w:locked="1"/>
    <w:lsdException w:qFormat="1" w:unhideWhenUsed="0" w:uiPriority="9" w:semiHidden="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qFormat="1" w:uiPriority="39" w:semiHidden="0" w:name="toc 1" w:locked="1"/>
    <w:lsdException w:qFormat="1"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qFormat="1" w:unhideWhenUsed="0" w:uiPriority="0" w:semiHidden="0" w:name="toc 8" w:locked="1"/>
    <w:lsdException w:unhideWhenUsed="0" w:uiPriority="0" w:semiHidden="0" w:name="toc 9" w:locked="1"/>
    <w:lsdException w:qFormat="1" w:unhideWhenUsed="0" w:uiPriority="0" w:semiHidden="0" w:name="Normal Indent" w:locked="1"/>
    <w:lsdException w:unhideWhenUsed="0" w:uiPriority="0" w:semiHidden="0" w:name="footnote text" w:locked="1"/>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ocked="1"/>
    <w:lsdException w:qFormat="1" w:unhideWhenUsed="0" w:uiPriority="35" w:semiHidden="0" w:name="caption" w:locked="1"/>
    <w:lsdException w:qFormat="1"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99" w:semiHidden="0" w:name="annotation reference"/>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qFormat="1" w:uiPriority="99" w:semiHidden="0" w:name="macro" w:locked="1"/>
    <w:lsdException w:unhideWhenUsed="0" w:uiPriority="0" w:semiHidden="0" w:name="toa heading" w:locked="1"/>
    <w:lsdException w:qFormat="1"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unhideWhenUsed="0" w:uiPriority="0" w:semiHidden="0" w:name="List 3" w:locked="1"/>
    <w:lsdException w:unhideWhenUsed="0" w:uiPriority="0" w:semiHidden="0" w:name="List 4" w:locked="1"/>
    <w:lsdException w:qFormat="1"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unhideWhenUsed="0" w:uiPriority="0" w:semiHidden="0" w:name="Salutation" w:locked="1"/>
    <w:lsdException w:qFormat="1" w:unhideWhenUsed="0" w:uiPriority="0" w:semiHidden="0" w:name="Date"/>
    <w:lsdException w:unhideWhenUsed="0" w:uiPriority="0" w:semiHidden="0" w:name="Body Text First Indent" w:locked="1"/>
    <w:lsdException w:qFormat="1" w:unhideWhenUsed="0" w:uiPriority="99" w:semiHidden="0" w:name="Body Text First Indent 2" w:locked="1"/>
    <w:lsdException w:qFormat="1" w:unhideWhenUsed="0" w:uiPriority="0" w:semiHidden="0" w:name="Note Heading" w:locked="1"/>
    <w:lsdException w:qFormat="1" w:unhideWhenUsed="0" w:uiPriority="0" w:semiHidden="0" w:name="Body Text 2" w:locked="1"/>
    <w:lsdException w:unhideWhenUsed="0" w:uiPriority="0" w:semiHidden="0" w:name="Body Text 3" w:locked="1"/>
    <w:lsdException w:qFormat="1" w:unhideWhenUsed="0" w:uiPriority="0" w:semiHidden="0" w:name="Body Text Indent 2" w:locked="1"/>
    <w:lsdException w:qFormat="1" w:unhideWhenUsed="0" w:uiPriority="0" w:semiHidden="0" w:name="Body Text Indent 3" w:locked="1"/>
    <w:lsdException w:qFormat="1" w:unhideWhenUsed="0" w:uiPriority="0" w:semiHidden="0" w:name="Block Text" w:locked="1"/>
    <w:lsdException w:qFormat="1" w:unhideWhenUsed="0" w:uiPriority="99" w:semiHidden="0" w:name="Hyperlink" w:locked="1"/>
    <w:lsdException w:unhideWhenUsed="0" w:uiPriority="0" w:semiHidden="0" w:name="FollowedHyperlink" w:locked="1"/>
    <w:lsdException w:qFormat="1" w:unhideWhenUsed="0" w:uiPriority="0" w:semiHidden="0" w:name="Strong" w:locked="1"/>
    <w:lsdException w:qFormat="1" w:unhideWhenUsed="0" w:uiPriority="0" w:semiHidden="0" w:name="Emphasis" w:locked="1"/>
    <w:lsdException w:qFormat="1" w:unhideWhenUsed="0" w:uiPriority="0" w:semiHidden="0" w:name="Document Map" w:locked="1"/>
    <w:lsdException w:qFormat="1" w:uiPriority="0" w:semiHidden="0" w:name="Plain Text" w:locked="1"/>
    <w:lsdException w:unhideWhenUsed="0" w:uiPriority="0" w:semiHidden="0" w:name="E-mail Signature" w:locked="1"/>
    <w:lsdException w:qFormat="1" w:unhideWhenUsed="0" w:uiPriority="0"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qFormat="1" w:unhideWhenUsed="0" w:uiPriority="0" w:semiHidden="0" w:name="HTML Code" w:locked="1"/>
    <w:lsdException w:unhideWhenUsed="0" w:uiPriority="0" w:semiHidden="0" w:name="HTML Definition" w:locked="1"/>
    <w:lsdException w:unhideWhenUsed="0" w:uiPriority="0" w:semiHidden="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nhideWhenUsed="0" w:uiPriority="0" w:name="Normal Table"/>
    <w:lsdException w:qFormat="1" w:unhideWhenUsed="0" w:uiPriority="0" w:semiHidden="0" w:name="annotation subject"/>
    <w:lsdException w:unhideWhenUsed="0" w:uiPriority="0" w:semiHidden="0" w:name="Table Simple 1" w:locked="1"/>
    <w:lsdException w:unhideWhenUsed="0" w:uiPriority="0" w:semiHidden="0" w:name="Table Simple 2" w:locked="1"/>
    <w:lsdException w:unhideWhenUsed="0" w:uiPriority="0" w:semiHidden="0" w:name="Table Simple 3" w:locked="1"/>
    <w:lsdException w:unhideWhenUsed="0" w:uiPriority="0" w:semiHidden="0" w:name="Table Classic 1" w:locked="1"/>
    <w:lsdException w:unhideWhenUsed="0" w:uiPriority="0" w:semiHidden="0" w:name="Table Classic 2" w:locked="1"/>
    <w:lsdException w:unhideWhenUsed="0" w:uiPriority="0" w:semiHidden="0" w:name="Table Classic 3" w:locked="1"/>
    <w:lsdException w:unhideWhenUsed="0" w:uiPriority="0" w:semiHidden="0" w:name="Table Classic 4" w:locked="1"/>
    <w:lsdException w:unhideWhenUsed="0" w:uiPriority="0" w:semiHidden="0" w:name="Table Colorful 1" w:locked="1"/>
    <w:lsdException w:unhideWhenUsed="0" w:uiPriority="0" w:semiHidden="0" w:name="Table Colorful 2" w:locked="1"/>
    <w:lsdException w:unhideWhenUsed="0" w:uiPriority="0" w:semiHidden="0" w:name="Table Colorful 3" w:locked="1"/>
    <w:lsdException w:unhideWhenUsed="0" w:uiPriority="0" w:semiHidden="0" w:name="Table Columns 1" w:locked="1"/>
    <w:lsdException w:unhideWhenUsed="0" w:uiPriority="0" w:semiHidden="0" w:name="Table Columns 2" w:locked="1"/>
    <w:lsdException w:unhideWhenUsed="0" w:uiPriority="0" w:semiHidden="0" w:name="Table Columns 3" w:locked="1"/>
    <w:lsdException w:unhideWhenUsed="0" w:uiPriority="0" w:semiHidden="0" w:name="Table Columns 4" w:locked="1"/>
    <w:lsdException w:unhideWhenUsed="0" w:uiPriority="0" w:semiHidden="0" w:name="Table Columns 5" w:locked="1"/>
    <w:lsdException w:unhideWhenUsed="0" w:uiPriority="0" w:semiHidden="0" w:name="Table Grid 1" w:locked="1"/>
    <w:lsdException w:unhideWhenUsed="0" w:uiPriority="0" w:semiHidden="0" w:name="Table Grid 2" w:locked="1"/>
    <w:lsdException w:unhideWhenUsed="0" w:uiPriority="0" w:semiHidden="0" w:name="Table Grid 3" w:locked="1"/>
    <w:lsdException w:unhideWhenUsed="0" w:uiPriority="0" w:semiHidden="0" w:name="Table Grid 4" w:locked="1"/>
    <w:lsdException w:unhideWhenUsed="0" w:uiPriority="0" w:semiHidden="0" w:name="Table Grid 5" w:locked="1"/>
    <w:lsdException w:unhideWhenUsed="0" w:uiPriority="0" w:semiHidden="0" w:name="Table Grid 6" w:locked="1"/>
    <w:lsdException w:unhideWhenUsed="0" w:uiPriority="0" w:semiHidden="0" w:name="Table Grid 7" w:locked="1"/>
    <w:lsdException w:unhideWhenUsed="0" w:uiPriority="0" w:semiHidden="0" w:name="Table Grid 8" w:locked="1"/>
    <w:lsdException w:unhideWhenUsed="0" w:uiPriority="0" w:semiHidden="0" w:name="Table List 1" w:locked="1"/>
    <w:lsdException w:unhideWhenUsed="0" w:uiPriority="0" w:semiHidden="0" w:name="Table List 2" w:locked="1"/>
    <w:lsdException w:unhideWhenUsed="0" w:uiPriority="0" w:semiHidden="0" w:name="Table List 3" w:locked="1"/>
    <w:lsdException w:unhideWhenUsed="0" w:uiPriority="0" w:semiHidden="0" w:name="Table List 4" w:locked="1"/>
    <w:lsdException w:unhideWhenUsed="0" w:uiPriority="0" w:semiHidden="0" w:name="Table List 5" w:locked="1"/>
    <w:lsdException w:unhideWhenUsed="0" w:uiPriority="0" w:semiHidden="0" w:name="Table List 6" w:locked="1"/>
    <w:lsdException w:unhideWhenUsed="0" w:uiPriority="0" w:semiHidden="0" w:name="Table List 7" w:locked="1"/>
    <w:lsdException w:unhideWhenUsed="0" w:uiPriority="0" w:semiHidden="0" w:name="Table List 8" w:locked="1"/>
    <w:lsdException w:unhideWhenUsed="0" w:uiPriority="0" w:semiHidden="0" w:name="Table 3D effects 1" w:locked="1"/>
    <w:lsdException w:unhideWhenUsed="0" w:uiPriority="0" w:semiHidden="0" w:name="Table 3D effects 2" w:locked="1"/>
    <w:lsdException w:unhideWhenUsed="0" w:uiPriority="0" w:semiHidden="0" w:name="Table 3D effects 3" w:locked="1"/>
    <w:lsdException w:unhideWhenUsed="0" w:uiPriority="0" w:semiHidden="0" w:name="Table Contemporary" w:locked="1"/>
    <w:lsdException w:unhideWhenUsed="0" w:uiPriority="0" w:semiHidden="0" w:name="Table Elegant" w:locked="1"/>
    <w:lsdException w:unhideWhenUsed="0" w:uiPriority="0" w:semiHidden="0" w:name="Table Professional" w:locked="1"/>
    <w:lsdException w:unhideWhenUsed="0" w:uiPriority="0" w:semiHidden="0" w:name="Table Subtle 1" w:locked="1"/>
    <w:lsdException w:unhideWhenUsed="0" w:uiPriority="0" w:semiHidden="0" w:name="Table Subtle 2" w:locked="1"/>
    <w:lsdException w:unhideWhenUsed="0" w:uiPriority="0" w:semiHidden="0" w:name="Table Web 1" w:locked="1"/>
    <w:lsdException w:unhideWhenUsed="0" w:uiPriority="0" w:semiHidden="0" w:name="Table Web 2" w:locked="1"/>
    <w:lsdException w:unhideWhenUsed="0" w:uiPriority="0" w:semiHidden="0" w:name="Table Web 3" w:locked="1"/>
    <w:lsdException w:qFormat="1" w:unhideWhenUsed="0" w:uiPriority="0" w:semiHidden="0" w:name="Balloon Text"/>
    <w:lsdException w:qFormat="1" w:unhideWhenUsed="0" w:uiPriority="0" w:semiHidden="0" w:name="Table Grid"/>
    <w:lsdException w:unhideWhenUsed="0" w:uiPriority="0" w:semiHidden="0" w:name="Table Theme" w:locked="1"/>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49"/>
    <w:qFormat/>
    <w:locked/>
    <w:uiPriority w:val="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4">
    <w:name w:val="heading 2"/>
    <w:basedOn w:val="1"/>
    <w:next w:val="1"/>
    <w:link w:val="50"/>
    <w:qFormat/>
    <w:locked/>
    <w:uiPriority w:val="9"/>
    <w:pPr>
      <w:keepNext/>
      <w:keepLines/>
      <w:spacing w:before="260" w:after="260" w:line="416" w:lineRule="auto"/>
      <w:outlineLvl w:val="1"/>
    </w:pPr>
    <w:rPr>
      <w:rFonts w:ascii="Cambria" w:hAnsi="Cambria"/>
      <w:b/>
      <w:bCs/>
      <w:sz w:val="32"/>
      <w:szCs w:val="32"/>
    </w:rPr>
  </w:style>
  <w:style w:type="paragraph" w:styleId="5">
    <w:name w:val="heading 3"/>
    <w:basedOn w:val="1"/>
    <w:next w:val="1"/>
    <w:link w:val="51"/>
    <w:qFormat/>
    <w:locked/>
    <w:uiPriority w:val="9"/>
    <w:pPr>
      <w:keepNext/>
      <w:keepLines/>
      <w:spacing w:before="260" w:after="260" w:line="416" w:lineRule="auto"/>
      <w:outlineLvl w:val="2"/>
    </w:pPr>
    <w:rPr>
      <w:b/>
      <w:bCs/>
      <w:sz w:val="32"/>
      <w:szCs w:val="32"/>
    </w:rPr>
  </w:style>
  <w:style w:type="paragraph" w:styleId="6">
    <w:name w:val="heading 4"/>
    <w:basedOn w:val="1"/>
    <w:next w:val="1"/>
    <w:link w:val="47"/>
    <w:qFormat/>
    <w:locked/>
    <w:uiPriority w:val="9"/>
    <w:pPr>
      <w:keepNext/>
      <w:keepLines/>
      <w:spacing w:line="440" w:lineRule="exact"/>
      <w:ind w:firstLine="200" w:firstLineChars="200"/>
      <w:outlineLvl w:val="3"/>
    </w:pPr>
    <w:rPr>
      <w:rFonts w:ascii="黑体" w:hAnsi="黑体" w:eastAsia="MingLiU"/>
      <w:bCs/>
      <w:sz w:val="24"/>
      <w:szCs w:val="28"/>
      <w:lang w:val="en-US" w:eastAsia="zh-CN" w:bidi="ar-SA"/>
    </w:rPr>
  </w:style>
  <w:style w:type="paragraph" w:styleId="7">
    <w:name w:val="heading 5"/>
    <w:basedOn w:val="1"/>
    <w:next w:val="1"/>
    <w:link w:val="52"/>
    <w:qFormat/>
    <w:locked/>
    <w:uiPriority w:val="9"/>
    <w:pPr>
      <w:keepNext/>
      <w:keepLines/>
      <w:spacing w:before="280" w:after="290" w:line="376" w:lineRule="auto"/>
      <w:outlineLvl w:val="4"/>
    </w:pPr>
    <w:rPr>
      <w:rFonts w:ascii="Arial Unicode MS" w:hAnsi="Arial Unicode MS" w:eastAsia="MingLiU"/>
      <w:b/>
      <w:bCs/>
      <w:kern w:val="0"/>
      <w:sz w:val="28"/>
      <w:szCs w:val="28"/>
    </w:rPr>
  </w:style>
  <w:style w:type="paragraph" w:styleId="8">
    <w:name w:val="heading 6"/>
    <w:basedOn w:val="1"/>
    <w:next w:val="1"/>
    <w:link w:val="53"/>
    <w:qFormat/>
    <w:locked/>
    <w:uiPriority w:val="9"/>
    <w:pPr>
      <w:keepNext/>
      <w:keepLines/>
      <w:spacing w:before="240" w:after="64" w:line="320" w:lineRule="auto"/>
      <w:outlineLvl w:val="5"/>
    </w:pPr>
    <w:rPr>
      <w:rFonts w:ascii="黑体" w:hAnsi="黑体" w:eastAsia="MingLiU"/>
      <w:b/>
      <w:bCs/>
      <w:kern w:val="0"/>
      <w:sz w:val="24"/>
    </w:rPr>
  </w:style>
  <w:style w:type="paragraph" w:styleId="9">
    <w:name w:val="heading 7"/>
    <w:basedOn w:val="1"/>
    <w:next w:val="1"/>
    <w:link w:val="54"/>
    <w:qFormat/>
    <w:locked/>
    <w:uiPriority w:val="9"/>
    <w:pPr>
      <w:keepNext/>
      <w:keepLines/>
      <w:spacing w:before="240" w:after="64" w:line="320" w:lineRule="auto"/>
      <w:outlineLvl w:val="6"/>
    </w:pPr>
    <w:rPr>
      <w:rFonts w:ascii="Arial Unicode MS" w:hAnsi="Arial Unicode MS" w:eastAsia="MingLiU"/>
      <w:b/>
      <w:bCs/>
      <w:kern w:val="0"/>
      <w:sz w:val="24"/>
    </w:rPr>
  </w:style>
  <w:style w:type="paragraph" w:styleId="10">
    <w:name w:val="heading 8"/>
    <w:basedOn w:val="1"/>
    <w:next w:val="1"/>
    <w:link w:val="55"/>
    <w:qFormat/>
    <w:locked/>
    <w:uiPriority w:val="9"/>
    <w:pPr>
      <w:keepNext/>
      <w:keepLines/>
      <w:spacing w:before="240" w:after="64" w:line="320" w:lineRule="auto"/>
      <w:outlineLvl w:val="7"/>
    </w:pPr>
    <w:rPr>
      <w:rFonts w:ascii="黑体" w:hAnsi="黑体" w:eastAsia="MingLiU"/>
      <w:kern w:val="0"/>
      <w:sz w:val="24"/>
    </w:rPr>
  </w:style>
  <w:style w:type="paragraph" w:styleId="11">
    <w:name w:val="heading 9"/>
    <w:basedOn w:val="1"/>
    <w:next w:val="1"/>
    <w:link w:val="56"/>
    <w:qFormat/>
    <w:locked/>
    <w:uiPriority w:val="9"/>
    <w:pPr>
      <w:keepNext/>
      <w:keepLines/>
      <w:spacing w:before="240" w:after="64" w:line="320" w:lineRule="auto"/>
      <w:outlineLvl w:val="8"/>
    </w:pPr>
    <w:rPr>
      <w:rFonts w:ascii="黑体" w:hAnsi="黑体" w:eastAsia="MingLiU"/>
      <w:kern w:val="0"/>
      <w:sz w:val="20"/>
      <w:szCs w:val="21"/>
    </w:rPr>
  </w:style>
  <w:style w:type="character" w:default="1" w:styleId="40">
    <w:name w:val="Default Paragraph Font"/>
    <w:semiHidden/>
    <w:qFormat/>
    <w:uiPriority w:val="0"/>
  </w:style>
  <w:style w:type="table" w:default="1" w:styleId="38">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macro"/>
    <w:link w:val="48"/>
    <w:unhideWhenUsed/>
    <w:qFormat/>
    <w:locked/>
    <w:uiPriority w:val="99"/>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汉鼎简书宋" w:hAnsi="汉鼎简书宋" w:eastAsia="MingLiU" w:cs="Arial Unicode MS"/>
      <w:sz w:val="24"/>
      <w:szCs w:val="24"/>
      <w:lang w:val="en-US" w:eastAsia="zh-CN" w:bidi="ar-SA"/>
    </w:rPr>
  </w:style>
  <w:style w:type="paragraph" w:styleId="12">
    <w:name w:val="Note Heading"/>
    <w:basedOn w:val="1"/>
    <w:next w:val="1"/>
    <w:link w:val="57"/>
    <w:qFormat/>
    <w:locked/>
    <w:uiPriority w:val="0"/>
    <w:pPr>
      <w:jc w:val="center"/>
    </w:pPr>
    <w:rPr>
      <w:rFonts w:ascii="MingLiU"/>
      <w:kern w:val="0"/>
      <w:sz w:val="24"/>
      <w:szCs w:val="20"/>
    </w:rPr>
  </w:style>
  <w:style w:type="paragraph" w:styleId="13">
    <w:name w:val="Normal Indent"/>
    <w:basedOn w:val="1"/>
    <w:next w:val="14"/>
    <w:link w:val="46"/>
    <w:qFormat/>
    <w:locked/>
    <w:uiPriority w:val="0"/>
    <w:pPr>
      <w:ind w:firstLine="420"/>
    </w:pPr>
    <w:rPr>
      <w:rFonts w:ascii="Arial Unicode MS" w:hAnsi="Arial Unicode MS" w:eastAsia="MingLiU"/>
      <w:szCs w:val="20"/>
    </w:rPr>
  </w:style>
  <w:style w:type="paragraph" w:customStyle="1" w:styleId="14">
    <w:name w:val="样式 正文文本 + 首行缩进:  2 字符"/>
    <w:basedOn w:val="15"/>
    <w:next w:val="1"/>
    <w:qFormat/>
    <w:uiPriority w:val="0"/>
    <w:pPr>
      <w:spacing w:line="480" w:lineRule="exact"/>
      <w:ind w:firstLine="480" w:firstLineChars="200"/>
    </w:pPr>
    <w:rPr>
      <w:rFonts w:ascii="宋体" w:hAnsi="宋体" w:eastAsia="宋体" w:cs="宋体"/>
      <w:sz w:val="24"/>
      <w:szCs w:val="20"/>
    </w:rPr>
  </w:style>
  <w:style w:type="paragraph" w:styleId="15">
    <w:name w:val="Body Text"/>
    <w:basedOn w:val="1"/>
    <w:next w:val="1"/>
    <w:link w:val="60"/>
    <w:qFormat/>
    <w:uiPriority w:val="0"/>
    <w:pPr>
      <w:widowControl/>
      <w:snapToGrid w:val="0"/>
      <w:spacing w:before="60" w:after="160" w:line="259" w:lineRule="auto"/>
      <w:ind w:right="113"/>
    </w:pPr>
    <w:rPr>
      <w:kern w:val="0"/>
      <w:sz w:val="18"/>
      <w:szCs w:val="20"/>
    </w:rPr>
  </w:style>
  <w:style w:type="paragraph" w:styleId="16">
    <w:name w:val="caption"/>
    <w:basedOn w:val="1"/>
    <w:next w:val="1"/>
    <w:qFormat/>
    <w:locked/>
    <w:uiPriority w:val="35"/>
    <w:rPr>
      <w:rFonts w:ascii="黑体" w:hAnsi="黑体" w:eastAsia="Calibri" w:cs="Arial Unicode MS"/>
      <w:sz w:val="20"/>
      <w:szCs w:val="20"/>
    </w:rPr>
  </w:style>
  <w:style w:type="paragraph" w:styleId="17">
    <w:name w:val="Document Map"/>
    <w:basedOn w:val="1"/>
    <w:link w:val="58"/>
    <w:qFormat/>
    <w:locked/>
    <w:uiPriority w:val="0"/>
    <w:pPr>
      <w:shd w:val="clear" w:color="auto" w:fill="000080"/>
    </w:pPr>
    <w:rPr>
      <w:kern w:val="0"/>
      <w:sz w:val="20"/>
      <w:szCs w:val="20"/>
    </w:rPr>
  </w:style>
  <w:style w:type="paragraph" w:styleId="18">
    <w:name w:val="annotation text"/>
    <w:basedOn w:val="1"/>
    <w:link w:val="59"/>
    <w:qFormat/>
    <w:uiPriority w:val="0"/>
    <w:pPr>
      <w:jc w:val="left"/>
    </w:pPr>
    <w:rPr>
      <w:kern w:val="0"/>
      <w:sz w:val="24"/>
      <w:szCs w:val="20"/>
    </w:rPr>
  </w:style>
  <w:style w:type="paragraph" w:styleId="19">
    <w:name w:val="Body Text Indent"/>
    <w:basedOn w:val="1"/>
    <w:link w:val="61"/>
    <w:qFormat/>
    <w:uiPriority w:val="0"/>
    <w:pPr>
      <w:spacing w:after="120"/>
      <w:ind w:left="420" w:leftChars="200"/>
    </w:pPr>
    <w:rPr>
      <w:kern w:val="0"/>
      <w:sz w:val="24"/>
      <w:szCs w:val="20"/>
    </w:rPr>
  </w:style>
  <w:style w:type="paragraph" w:styleId="20">
    <w:name w:val="Block Text"/>
    <w:basedOn w:val="1"/>
    <w:qFormat/>
    <w:locked/>
    <w:uiPriority w:val="0"/>
    <w:pPr>
      <w:ind w:left="137" w:right="116" w:firstLine="317"/>
    </w:pPr>
    <w:rPr>
      <w:rFonts w:ascii="Microsoft YaHei UI" w:hAnsi="Microsoft YaHei UI" w:eastAsia="MingLiU" w:cs="Arial Unicode MS"/>
      <w:sz w:val="28"/>
      <w:szCs w:val="20"/>
    </w:rPr>
  </w:style>
  <w:style w:type="paragraph" w:styleId="21">
    <w:name w:val="Plain Text"/>
    <w:basedOn w:val="1"/>
    <w:link w:val="62"/>
    <w:unhideWhenUsed/>
    <w:qFormat/>
    <w:locked/>
    <w:uiPriority w:val="0"/>
    <w:rPr>
      <w:rFonts w:ascii="MingLiU" w:hAnsi="汉鼎简书宋" w:eastAsia="MingLiU"/>
      <w:color w:val="000000"/>
      <w:szCs w:val="21"/>
    </w:rPr>
  </w:style>
  <w:style w:type="paragraph" w:styleId="22">
    <w:name w:val="toc 8"/>
    <w:basedOn w:val="1"/>
    <w:next w:val="1"/>
    <w:qFormat/>
    <w:locked/>
    <w:uiPriority w:val="0"/>
    <w:pPr>
      <w:ind w:left="1680"/>
      <w:jc w:val="left"/>
    </w:pPr>
    <w:rPr>
      <w:sz w:val="24"/>
      <w:szCs w:val="20"/>
    </w:rPr>
  </w:style>
  <w:style w:type="paragraph" w:styleId="23">
    <w:name w:val="Date"/>
    <w:basedOn w:val="1"/>
    <w:next w:val="1"/>
    <w:link w:val="63"/>
    <w:qFormat/>
    <w:uiPriority w:val="0"/>
    <w:pPr>
      <w:ind w:left="100" w:leftChars="2500"/>
    </w:pPr>
    <w:rPr>
      <w:kern w:val="0"/>
      <w:sz w:val="24"/>
      <w:szCs w:val="20"/>
    </w:rPr>
  </w:style>
  <w:style w:type="paragraph" w:styleId="24">
    <w:name w:val="Body Text Indent 2"/>
    <w:basedOn w:val="1"/>
    <w:link w:val="64"/>
    <w:qFormat/>
    <w:locked/>
    <w:uiPriority w:val="0"/>
    <w:pPr>
      <w:spacing w:line="560" w:lineRule="exact"/>
      <w:ind w:firstLine="480" w:firstLineChars="200"/>
    </w:pPr>
    <w:rPr>
      <w:rFonts w:hAnsi="MingLiU"/>
      <w:kern w:val="0"/>
      <w:sz w:val="24"/>
      <w:szCs w:val="20"/>
    </w:rPr>
  </w:style>
  <w:style w:type="paragraph" w:styleId="25">
    <w:name w:val="Balloon Text"/>
    <w:basedOn w:val="1"/>
    <w:link w:val="65"/>
    <w:qFormat/>
    <w:uiPriority w:val="0"/>
    <w:rPr>
      <w:kern w:val="0"/>
      <w:sz w:val="18"/>
      <w:szCs w:val="20"/>
    </w:rPr>
  </w:style>
  <w:style w:type="paragraph" w:styleId="26">
    <w:name w:val="footer"/>
    <w:basedOn w:val="1"/>
    <w:link w:val="66"/>
    <w:qFormat/>
    <w:uiPriority w:val="99"/>
    <w:pPr>
      <w:tabs>
        <w:tab w:val="center" w:pos="4153"/>
        <w:tab w:val="right" w:pos="8306"/>
      </w:tabs>
      <w:snapToGrid w:val="0"/>
      <w:jc w:val="left"/>
    </w:pPr>
    <w:rPr>
      <w:kern w:val="0"/>
      <w:sz w:val="18"/>
      <w:szCs w:val="20"/>
    </w:rPr>
  </w:style>
  <w:style w:type="paragraph" w:styleId="27">
    <w:name w:val="header"/>
    <w:basedOn w:val="1"/>
    <w:link w:val="67"/>
    <w:qFormat/>
    <w:uiPriority w:val="99"/>
    <w:pPr>
      <w:pBdr>
        <w:bottom w:val="single" w:color="auto" w:sz="6" w:space="1"/>
      </w:pBdr>
      <w:tabs>
        <w:tab w:val="center" w:pos="4153"/>
        <w:tab w:val="right" w:pos="8306"/>
      </w:tabs>
      <w:snapToGrid w:val="0"/>
      <w:jc w:val="center"/>
    </w:pPr>
    <w:rPr>
      <w:kern w:val="0"/>
      <w:sz w:val="18"/>
      <w:szCs w:val="20"/>
    </w:rPr>
  </w:style>
  <w:style w:type="paragraph" w:styleId="28">
    <w:name w:val="toc 1"/>
    <w:basedOn w:val="1"/>
    <w:next w:val="1"/>
    <w:unhideWhenUsed/>
    <w:qFormat/>
    <w:locked/>
    <w:uiPriority w:val="39"/>
    <w:pPr>
      <w:spacing w:before="120" w:after="120"/>
      <w:jc w:val="left"/>
    </w:pPr>
    <w:rPr>
      <w:b/>
      <w:bCs/>
      <w:caps/>
      <w:sz w:val="20"/>
      <w:szCs w:val="20"/>
    </w:rPr>
  </w:style>
  <w:style w:type="paragraph" w:styleId="29">
    <w:name w:val="List"/>
    <w:basedOn w:val="1"/>
    <w:qFormat/>
    <w:locked/>
    <w:uiPriority w:val="0"/>
    <w:pPr>
      <w:ind w:left="200" w:hanging="200" w:hangingChars="200"/>
    </w:pPr>
    <w:rPr>
      <w:rFonts w:ascii="Microsoft YaHei UI" w:hAnsi="Microsoft YaHei UI" w:eastAsia="MingLiU" w:cs="Arial Unicode MS"/>
      <w:szCs w:val="20"/>
    </w:rPr>
  </w:style>
  <w:style w:type="paragraph" w:styleId="30">
    <w:name w:val="Body Text Indent 3"/>
    <w:basedOn w:val="1"/>
    <w:link w:val="68"/>
    <w:qFormat/>
    <w:locked/>
    <w:uiPriority w:val="0"/>
    <w:pPr>
      <w:spacing w:after="120"/>
      <w:ind w:left="420"/>
    </w:pPr>
    <w:rPr>
      <w:kern w:val="0"/>
      <w:sz w:val="16"/>
      <w:szCs w:val="20"/>
    </w:rPr>
  </w:style>
  <w:style w:type="paragraph" w:styleId="31">
    <w:name w:val="table of figures"/>
    <w:basedOn w:val="1"/>
    <w:next w:val="1"/>
    <w:qFormat/>
    <w:locked/>
    <w:uiPriority w:val="0"/>
    <w:pPr>
      <w:numPr>
        <w:ilvl w:val="0"/>
        <w:numId w:val="1"/>
      </w:numPr>
      <w:adjustRightInd w:val="0"/>
      <w:snapToGrid w:val="0"/>
      <w:jc w:val="center"/>
    </w:pPr>
    <w:rPr>
      <w:rFonts w:ascii="宋体"/>
      <w:spacing w:val="5"/>
      <w:sz w:val="28"/>
      <w:szCs w:val="20"/>
    </w:rPr>
  </w:style>
  <w:style w:type="paragraph" w:styleId="32">
    <w:name w:val="toc 2"/>
    <w:basedOn w:val="1"/>
    <w:next w:val="1"/>
    <w:qFormat/>
    <w:locked/>
    <w:uiPriority w:val="0"/>
    <w:pPr>
      <w:ind w:left="210"/>
      <w:jc w:val="left"/>
    </w:pPr>
    <w:rPr>
      <w:rFonts w:ascii="Calibri" w:hAnsi="Calibri" w:cs="Calibri"/>
      <w:smallCaps/>
      <w:sz w:val="20"/>
      <w:szCs w:val="20"/>
    </w:rPr>
  </w:style>
  <w:style w:type="paragraph" w:styleId="33">
    <w:name w:val="Body Text 2"/>
    <w:basedOn w:val="1"/>
    <w:link w:val="69"/>
    <w:qFormat/>
    <w:locked/>
    <w:uiPriority w:val="0"/>
    <w:pPr>
      <w:spacing w:after="120" w:line="480" w:lineRule="auto"/>
    </w:pPr>
    <w:rPr>
      <w:kern w:val="0"/>
      <w:sz w:val="20"/>
      <w:szCs w:val="20"/>
    </w:rPr>
  </w:style>
  <w:style w:type="paragraph" w:styleId="34">
    <w:name w:val="Normal (Web)"/>
    <w:basedOn w:val="1"/>
    <w:next w:val="22"/>
    <w:link w:val="70"/>
    <w:qFormat/>
    <w:uiPriority w:val="0"/>
    <w:pPr>
      <w:widowControl/>
      <w:spacing w:before="100" w:beforeAutospacing="1" w:after="100" w:afterAutospacing="1"/>
      <w:jc w:val="left"/>
    </w:pPr>
    <w:rPr>
      <w:rFonts w:ascii="宋体" w:hAnsi="宋体"/>
      <w:kern w:val="0"/>
      <w:sz w:val="24"/>
      <w:szCs w:val="20"/>
    </w:rPr>
  </w:style>
  <w:style w:type="paragraph" w:styleId="35">
    <w:name w:val="Title"/>
    <w:basedOn w:val="1"/>
    <w:link w:val="71"/>
    <w:qFormat/>
    <w:locked/>
    <w:uiPriority w:val="0"/>
    <w:pPr>
      <w:spacing w:before="240" w:after="60"/>
      <w:jc w:val="center"/>
      <w:outlineLvl w:val="0"/>
    </w:pPr>
    <w:rPr>
      <w:rFonts w:ascii="等线 Light" w:hAnsi="等线 Light"/>
      <w:b/>
      <w:bCs/>
      <w:kern w:val="0"/>
      <w:sz w:val="32"/>
      <w:szCs w:val="32"/>
    </w:rPr>
  </w:style>
  <w:style w:type="paragraph" w:styleId="36">
    <w:name w:val="annotation subject"/>
    <w:basedOn w:val="18"/>
    <w:next w:val="18"/>
    <w:link w:val="72"/>
    <w:qFormat/>
    <w:uiPriority w:val="0"/>
    <w:rPr>
      <w:b/>
      <w:kern w:val="2"/>
    </w:rPr>
  </w:style>
  <w:style w:type="paragraph" w:styleId="37">
    <w:name w:val="Body Text First Indent 2"/>
    <w:basedOn w:val="19"/>
    <w:next w:val="1"/>
    <w:qFormat/>
    <w:locked/>
    <w:uiPriority w:val="99"/>
    <w:pPr>
      <w:ind w:firstLine="420" w:firstLineChars="200"/>
    </w:pPr>
  </w:style>
  <w:style w:type="table" w:styleId="39">
    <w:name w:val="Table Grid"/>
    <w:basedOn w:val="38"/>
    <w:qFormat/>
    <w:uiPriority w:val="0"/>
    <w:rPr>
      <w:lang w:val="en-US" w:eastAsia="zh-CN" w:bidi="ar-SA"/>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1">
    <w:name w:val="Strong"/>
    <w:qFormat/>
    <w:locked/>
    <w:uiPriority w:val="0"/>
    <w:rPr>
      <w:b/>
      <w:bCs/>
    </w:rPr>
  </w:style>
  <w:style w:type="character" w:styleId="42">
    <w:name w:val="page number"/>
    <w:basedOn w:val="40"/>
    <w:qFormat/>
    <w:locked/>
    <w:uiPriority w:val="0"/>
  </w:style>
  <w:style w:type="character" w:styleId="43">
    <w:name w:val="Hyperlink"/>
    <w:qFormat/>
    <w:locked/>
    <w:uiPriority w:val="99"/>
    <w:rPr>
      <w:color w:val="0000FF"/>
      <w:u w:val="single"/>
    </w:rPr>
  </w:style>
  <w:style w:type="character" w:styleId="44">
    <w:name w:val="HTML Code"/>
    <w:basedOn w:val="40"/>
    <w:qFormat/>
    <w:locked/>
    <w:uiPriority w:val="0"/>
    <w:rPr>
      <w:rFonts w:ascii="Courier New" w:hAnsi="Courier New"/>
      <w:sz w:val="20"/>
    </w:rPr>
  </w:style>
  <w:style w:type="character" w:styleId="45">
    <w:name w:val="annotation reference"/>
    <w:qFormat/>
    <w:uiPriority w:val="99"/>
    <w:rPr>
      <w:sz w:val="21"/>
    </w:rPr>
  </w:style>
  <w:style w:type="character" w:customStyle="1" w:styleId="46">
    <w:name w:val="正文缩进 Char"/>
    <w:link w:val="13"/>
    <w:qFormat/>
    <w:uiPriority w:val="0"/>
    <w:rPr>
      <w:rFonts w:ascii="Arial Unicode MS" w:hAnsi="Arial Unicode MS" w:eastAsia="MingLiU" w:cs="Arial Unicode MS"/>
      <w:kern w:val="2"/>
      <w:sz w:val="21"/>
    </w:rPr>
  </w:style>
  <w:style w:type="character" w:customStyle="1" w:styleId="47">
    <w:name w:val="标题 4 Char"/>
    <w:link w:val="6"/>
    <w:qFormat/>
    <w:uiPriority w:val="9"/>
    <w:rPr>
      <w:rFonts w:ascii="黑体" w:hAnsi="黑体" w:eastAsia="MingLiU"/>
      <w:bCs/>
      <w:sz w:val="24"/>
      <w:szCs w:val="28"/>
      <w:lang w:bidi="ar-SA"/>
    </w:rPr>
  </w:style>
  <w:style w:type="character" w:customStyle="1" w:styleId="48">
    <w:name w:val="宏文本 Char"/>
    <w:link w:val="2"/>
    <w:qFormat/>
    <w:uiPriority w:val="99"/>
    <w:rPr>
      <w:rFonts w:ascii="汉鼎简书宋" w:hAnsi="汉鼎简书宋" w:eastAsia="MingLiU" w:cs="Arial Unicode MS"/>
      <w:sz w:val="24"/>
      <w:szCs w:val="24"/>
      <w:lang w:val="en-US" w:eastAsia="zh-CN" w:bidi="ar-SA"/>
    </w:rPr>
  </w:style>
  <w:style w:type="character" w:customStyle="1" w:styleId="49">
    <w:name w:val="标题 1 Char"/>
    <w:link w:val="3"/>
    <w:qFormat/>
    <w:uiPriority w:val="9"/>
    <w:rPr>
      <w:rFonts w:eastAsia="黑体"/>
      <w:b/>
      <w:bCs/>
      <w:color w:val="000000"/>
      <w:kern w:val="44"/>
      <w:sz w:val="30"/>
      <w:szCs w:val="30"/>
    </w:rPr>
  </w:style>
  <w:style w:type="character" w:customStyle="1" w:styleId="50">
    <w:name w:val="标题 2 Char"/>
    <w:link w:val="4"/>
    <w:qFormat/>
    <w:uiPriority w:val="9"/>
    <w:rPr>
      <w:rFonts w:ascii="Cambria" w:hAnsi="Cambria" w:eastAsia="宋体" w:cs="Times New Roman"/>
      <w:b/>
      <w:bCs/>
      <w:kern w:val="2"/>
      <w:sz w:val="32"/>
      <w:szCs w:val="32"/>
    </w:rPr>
  </w:style>
  <w:style w:type="character" w:customStyle="1" w:styleId="51">
    <w:name w:val="标题 3 Char"/>
    <w:link w:val="5"/>
    <w:qFormat/>
    <w:uiPriority w:val="9"/>
    <w:rPr>
      <w:b/>
      <w:bCs/>
      <w:kern w:val="2"/>
      <w:sz w:val="32"/>
      <w:szCs w:val="32"/>
    </w:rPr>
  </w:style>
  <w:style w:type="character" w:customStyle="1" w:styleId="52">
    <w:name w:val="标题 5 Char"/>
    <w:link w:val="7"/>
    <w:qFormat/>
    <w:uiPriority w:val="9"/>
    <w:rPr>
      <w:rFonts w:ascii="Arial Unicode MS" w:hAnsi="Arial Unicode MS" w:eastAsia="MingLiU" w:cs="Arial Unicode MS"/>
      <w:b/>
      <w:bCs/>
      <w:sz w:val="28"/>
      <w:szCs w:val="28"/>
    </w:rPr>
  </w:style>
  <w:style w:type="character" w:customStyle="1" w:styleId="53">
    <w:name w:val="标题 6 Char"/>
    <w:link w:val="8"/>
    <w:qFormat/>
    <w:uiPriority w:val="9"/>
    <w:rPr>
      <w:rFonts w:ascii="黑体" w:hAnsi="黑体" w:eastAsia="MingLiU" w:cs="Arial Unicode MS"/>
      <w:b/>
      <w:bCs/>
      <w:sz w:val="24"/>
      <w:szCs w:val="24"/>
    </w:rPr>
  </w:style>
  <w:style w:type="character" w:customStyle="1" w:styleId="54">
    <w:name w:val="标题 7 Char"/>
    <w:link w:val="9"/>
    <w:qFormat/>
    <w:uiPriority w:val="9"/>
    <w:rPr>
      <w:rFonts w:ascii="Arial Unicode MS" w:hAnsi="Arial Unicode MS" w:eastAsia="MingLiU" w:cs="Arial Unicode MS"/>
      <w:b/>
      <w:bCs/>
      <w:sz w:val="24"/>
      <w:szCs w:val="24"/>
    </w:rPr>
  </w:style>
  <w:style w:type="character" w:customStyle="1" w:styleId="55">
    <w:name w:val="标题 8 Char"/>
    <w:link w:val="10"/>
    <w:qFormat/>
    <w:uiPriority w:val="9"/>
    <w:rPr>
      <w:rFonts w:ascii="黑体" w:hAnsi="黑体" w:eastAsia="MingLiU" w:cs="Arial Unicode MS"/>
      <w:sz w:val="24"/>
      <w:szCs w:val="24"/>
    </w:rPr>
  </w:style>
  <w:style w:type="character" w:customStyle="1" w:styleId="56">
    <w:name w:val="标题 9 Char"/>
    <w:link w:val="11"/>
    <w:qFormat/>
    <w:uiPriority w:val="9"/>
    <w:rPr>
      <w:rFonts w:ascii="黑体" w:hAnsi="黑体" w:eastAsia="MingLiU" w:cs="Arial Unicode MS"/>
      <w:szCs w:val="21"/>
    </w:rPr>
  </w:style>
  <w:style w:type="character" w:customStyle="1" w:styleId="57">
    <w:name w:val="注释标题 Char"/>
    <w:link w:val="12"/>
    <w:qFormat/>
    <w:uiPriority w:val="0"/>
    <w:rPr>
      <w:rFonts w:ascii="MingLiU"/>
      <w:sz w:val="24"/>
    </w:rPr>
  </w:style>
  <w:style w:type="character" w:customStyle="1" w:styleId="58">
    <w:name w:val="文档结构图 Char"/>
    <w:link w:val="17"/>
    <w:qFormat/>
    <w:uiPriority w:val="0"/>
    <w:rPr>
      <w:shd w:val="clear" w:color="auto" w:fill="000080"/>
    </w:rPr>
  </w:style>
  <w:style w:type="character" w:customStyle="1" w:styleId="59">
    <w:name w:val="批注文字 Char"/>
    <w:link w:val="18"/>
    <w:qFormat/>
    <w:locked/>
    <w:uiPriority w:val="0"/>
    <w:rPr>
      <w:rFonts w:ascii="Times New Roman" w:hAnsi="Times New Roman" w:eastAsia="宋体"/>
      <w:sz w:val="24"/>
    </w:rPr>
  </w:style>
  <w:style w:type="character" w:customStyle="1" w:styleId="60">
    <w:name w:val="正文文本 Char"/>
    <w:link w:val="15"/>
    <w:qFormat/>
    <w:locked/>
    <w:uiPriority w:val="0"/>
    <w:rPr>
      <w:sz w:val="18"/>
    </w:rPr>
  </w:style>
  <w:style w:type="character" w:customStyle="1" w:styleId="61">
    <w:name w:val="正文文本缩进 Char"/>
    <w:link w:val="19"/>
    <w:qFormat/>
    <w:locked/>
    <w:uiPriority w:val="0"/>
    <w:rPr>
      <w:rFonts w:ascii="Times New Roman" w:hAnsi="Times New Roman" w:eastAsia="宋体"/>
      <w:sz w:val="24"/>
    </w:rPr>
  </w:style>
  <w:style w:type="character" w:customStyle="1" w:styleId="62">
    <w:name w:val="纯文本 Char"/>
    <w:link w:val="21"/>
    <w:qFormat/>
    <w:uiPriority w:val="0"/>
    <w:rPr>
      <w:rFonts w:ascii="MingLiU" w:hAnsi="汉鼎简书宋" w:eastAsia="MingLiU" w:cs="汉鼎简书宋"/>
      <w:color w:val="000000"/>
      <w:kern w:val="2"/>
      <w:sz w:val="21"/>
      <w:szCs w:val="21"/>
    </w:rPr>
  </w:style>
  <w:style w:type="character" w:customStyle="1" w:styleId="63">
    <w:name w:val="日期 Char"/>
    <w:link w:val="23"/>
    <w:qFormat/>
    <w:locked/>
    <w:uiPriority w:val="0"/>
    <w:rPr>
      <w:rFonts w:ascii="Times New Roman" w:hAnsi="Times New Roman" w:eastAsia="宋体"/>
      <w:sz w:val="24"/>
    </w:rPr>
  </w:style>
  <w:style w:type="character" w:customStyle="1" w:styleId="64">
    <w:name w:val="正文文本缩进 2 Char"/>
    <w:link w:val="24"/>
    <w:qFormat/>
    <w:uiPriority w:val="0"/>
    <w:rPr>
      <w:rFonts w:hAnsi="MingLiU"/>
      <w:sz w:val="24"/>
    </w:rPr>
  </w:style>
  <w:style w:type="character" w:customStyle="1" w:styleId="65">
    <w:name w:val="批注框文本 Char"/>
    <w:link w:val="25"/>
    <w:qFormat/>
    <w:locked/>
    <w:uiPriority w:val="0"/>
    <w:rPr>
      <w:rFonts w:ascii="Times New Roman" w:hAnsi="Times New Roman" w:eastAsia="宋体"/>
      <w:sz w:val="18"/>
    </w:rPr>
  </w:style>
  <w:style w:type="character" w:customStyle="1" w:styleId="66">
    <w:name w:val="页脚 Char"/>
    <w:link w:val="26"/>
    <w:qFormat/>
    <w:locked/>
    <w:uiPriority w:val="99"/>
    <w:rPr>
      <w:sz w:val="18"/>
    </w:rPr>
  </w:style>
  <w:style w:type="character" w:customStyle="1" w:styleId="67">
    <w:name w:val="页眉 Char"/>
    <w:link w:val="27"/>
    <w:qFormat/>
    <w:locked/>
    <w:uiPriority w:val="99"/>
    <w:rPr>
      <w:sz w:val="18"/>
    </w:rPr>
  </w:style>
  <w:style w:type="character" w:customStyle="1" w:styleId="68">
    <w:name w:val="正文文本缩进 3 Char"/>
    <w:link w:val="30"/>
    <w:qFormat/>
    <w:uiPriority w:val="0"/>
    <w:rPr>
      <w:sz w:val="16"/>
    </w:rPr>
  </w:style>
  <w:style w:type="character" w:customStyle="1" w:styleId="69">
    <w:name w:val="正文文本 2 Char"/>
    <w:link w:val="33"/>
    <w:qFormat/>
    <w:uiPriority w:val="0"/>
  </w:style>
  <w:style w:type="character" w:customStyle="1" w:styleId="70">
    <w:name w:val="普通(网站) Char"/>
    <w:link w:val="34"/>
    <w:qFormat/>
    <w:locked/>
    <w:uiPriority w:val="0"/>
    <w:rPr>
      <w:rFonts w:ascii="宋体" w:hAnsi="宋体" w:eastAsia="宋体"/>
      <w:sz w:val="24"/>
    </w:rPr>
  </w:style>
  <w:style w:type="character" w:customStyle="1" w:styleId="71">
    <w:name w:val="标题 Char"/>
    <w:link w:val="35"/>
    <w:qFormat/>
    <w:uiPriority w:val="0"/>
    <w:rPr>
      <w:rFonts w:ascii="等线 Light" w:hAnsi="等线 Light" w:cs="等线 Light"/>
      <w:b/>
      <w:bCs/>
      <w:sz w:val="32"/>
      <w:szCs w:val="32"/>
    </w:rPr>
  </w:style>
  <w:style w:type="character" w:customStyle="1" w:styleId="72">
    <w:name w:val="批注主题 Char"/>
    <w:link w:val="36"/>
    <w:qFormat/>
    <w:locked/>
    <w:uiPriority w:val="0"/>
    <w:rPr>
      <w:rFonts w:ascii="Times New Roman" w:hAnsi="Times New Roman" w:eastAsia="宋体"/>
      <w:b/>
      <w:kern w:val="2"/>
      <w:sz w:val="24"/>
    </w:rPr>
  </w:style>
  <w:style w:type="paragraph" w:customStyle="1" w:styleId="73">
    <w:name w:val="样式 样式 样式 四号 左侧:  1.53 厘米 + 首行缩进:  2 字符 + 居中 左侧:  2 字符 首行缩进:  2..."/>
    <w:basedOn w:val="74"/>
    <w:qFormat/>
    <w:uiPriority w:val="0"/>
    <w:pPr>
      <w:jc w:val="center"/>
    </w:pPr>
  </w:style>
  <w:style w:type="paragraph" w:customStyle="1" w:styleId="74">
    <w:name w:val="样式 样式 四号 左侧:  1.53 厘米 + 首行缩进:  2 字符"/>
    <w:basedOn w:val="75"/>
    <w:qFormat/>
    <w:uiPriority w:val="0"/>
    <w:pPr>
      <w:ind w:left="200" w:leftChars="200"/>
    </w:pPr>
    <w:rPr>
      <w:szCs w:val="20"/>
    </w:rPr>
  </w:style>
  <w:style w:type="paragraph" w:customStyle="1" w:styleId="75">
    <w:name w:val="样式 四号 左侧:  1.53 厘米"/>
    <w:basedOn w:val="1"/>
    <w:qFormat/>
    <w:uiPriority w:val="0"/>
    <w:pPr>
      <w:adjustRightInd w:val="0"/>
    </w:pPr>
    <w:rPr>
      <w:w w:val="90"/>
      <w:sz w:val="28"/>
      <w:szCs w:val="28"/>
    </w:rPr>
  </w:style>
  <w:style w:type="paragraph" w:customStyle="1" w:styleId="76">
    <w:name w:val="style4"/>
    <w:basedOn w:val="1"/>
    <w:next w:val="77"/>
    <w:qFormat/>
    <w:uiPriority w:val="0"/>
    <w:pPr>
      <w:widowControl/>
      <w:spacing w:before="280" w:after="280"/>
    </w:pPr>
    <w:rPr>
      <w:rFonts w:ascii="宋体" w:hAnsi="Times New Roman" w:eastAsia="宋体" w:cs="Times New Roman"/>
      <w:sz w:val="18"/>
    </w:rPr>
  </w:style>
  <w:style w:type="paragraph" w:customStyle="1" w:styleId="77">
    <w:name w:val="2"/>
    <w:basedOn w:val="1"/>
    <w:next w:val="1"/>
    <w:qFormat/>
    <w:uiPriority w:val="0"/>
    <w:pPr>
      <w:snapToGrid w:val="0"/>
      <w:spacing w:line="360" w:lineRule="auto"/>
      <w:ind w:firstLine="529" w:firstLineChars="200"/>
    </w:pPr>
    <w:rPr>
      <w:rFonts w:ascii="Microsoft YaHei UI" w:hAnsi="Microsoft YaHei UI" w:eastAsia="MingLiU" w:cs="Arial Unicode MS"/>
      <w:szCs w:val="20"/>
    </w:rPr>
  </w:style>
  <w:style w:type="paragraph" w:customStyle="1" w:styleId="78">
    <w:name w:val="Default"/>
    <w:basedOn w:val="79"/>
    <w:next w:val="1"/>
    <w:qFormat/>
    <w:uiPriority w:val="0"/>
    <w:pPr>
      <w:widowControl w:val="0"/>
      <w:tabs>
        <w:tab w:val="left" w:pos="0"/>
        <w:tab w:val="left" w:pos="360"/>
        <w:tab w:val="left" w:pos="540"/>
        <w:tab w:val="left" w:pos="900"/>
      </w:tabs>
      <w:autoSpaceDE w:val="0"/>
      <w:autoSpaceDN w:val="0"/>
      <w:adjustRightInd w:val="0"/>
    </w:pPr>
    <w:rPr>
      <w:rFonts w:ascii="宋体" w:cs="宋体"/>
      <w:color w:val="000000"/>
      <w:sz w:val="24"/>
      <w:szCs w:val="24"/>
      <w:lang w:val="en-US" w:eastAsia="zh-CN" w:bidi="ar-SA"/>
    </w:rPr>
  </w:style>
  <w:style w:type="paragraph" w:customStyle="1" w:styleId="79">
    <w:name w:val="纯文本1"/>
    <w:basedOn w:val="1"/>
    <w:qFormat/>
    <w:uiPriority w:val="0"/>
    <w:pPr>
      <w:tabs>
        <w:tab w:val="left" w:pos="0"/>
        <w:tab w:val="left" w:pos="360"/>
        <w:tab w:val="left" w:pos="540"/>
        <w:tab w:val="left" w:pos="900"/>
      </w:tabs>
      <w:autoSpaceDE w:val="0"/>
      <w:autoSpaceDN w:val="0"/>
      <w:adjustRightInd w:val="0"/>
      <w:snapToGrid w:val="0"/>
      <w:spacing w:beforeLines="50" w:line="360" w:lineRule="auto"/>
      <w:ind w:firstLine="480" w:firstLineChars="200"/>
    </w:pPr>
    <w:rPr>
      <w:rFonts w:ascii="宋体" w:hAnsi="宋体"/>
      <w:color w:val="000000"/>
      <w:kern w:val="0"/>
      <w:sz w:val="24"/>
      <w:szCs w:val="24"/>
    </w:rPr>
  </w:style>
  <w:style w:type="paragraph" w:customStyle="1" w:styleId="80">
    <w:name w:val="样式 样式 首行缩进:  2 字符 + 首行缩进:  2 字符"/>
    <w:basedOn w:val="1"/>
    <w:next w:val="28"/>
    <w:qFormat/>
    <w:uiPriority w:val="0"/>
    <w:pPr>
      <w:adjustRightInd w:val="0"/>
      <w:snapToGrid w:val="0"/>
      <w:spacing w:line="420" w:lineRule="atLeast"/>
      <w:ind w:firstLine="200" w:firstLineChars="200"/>
    </w:pPr>
    <w:rPr>
      <w:kern w:val="0"/>
      <w:sz w:val="24"/>
      <w:szCs w:val="20"/>
    </w:rPr>
  </w:style>
  <w:style w:type="paragraph" w:customStyle="1" w:styleId="81">
    <w:name w:val="xl27"/>
    <w:basedOn w:val="1"/>
    <w:qFormat/>
    <w:uiPriority w:val="0"/>
    <w:pPr>
      <w:widowControl/>
      <w:pBdr>
        <w:bottom w:val="single" w:color="auto" w:sz="4" w:space="0"/>
        <w:right w:val="single" w:color="auto" w:sz="4" w:space="0"/>
      </w:pBdr>
      <w:spacing w:before="100" w:beforeAutospacing="1" w:after="100" w:afterAutospacing="1"/>
      <w:jc w:val="center"/>
    </w:pPr>
    <w:rPr>
      <w:rFonts w:ascii="Microsoft YaHei UI" w:hAnsi="Microsoft YaHei UI" w:eastAsia="MingLiU" w:cs="Arial Unicode MS"/>
      <w:kern w:val="0"/>
      <w:sz w:val="24"/>
      <w:szCs w:val="20"/>
    </w:rPr>
  </w:style>
  <w:style w:type="paragraph" w:customStyle="1" w:styleId="82">
    <w:name w:val="表"/>
    <w:link w:val="83"/>
    <w:qFormat/>
    <w:uiPriority w:val="0"/>
    <w:pPr>
      <w:spacing w:line="440" w:lineRule="exact"/>
      <w:ind w:firstLine="200" w:firstLineChars="200"/>
      <w:jc w:val="both"/>
    </w:pPr>
    <w:rPr>
      <w:rFonts w:ascii="Arial Unicode MS" w:hAnsi="Arial Unicode MS" w:eastAsia="MingLiU" w:cs="Arial Unicode MS"/>
      <w:sz w:val="24"/>
      <w:lang w:val="en-US" w:eastAsia="zh-CN" w:bidi="ar-SA"/>
    </w:rPr>
  </w:style>
  <w:style w:type="character" w:customStyle="1" w:styleId="83">
    <w:name w:val="表 Char"/>
    <w:link w:val="82"/>
    <w:qFormat/>
    <w:uiPriority w:val="0"/>
    <w:rPr>
      <w:rFonts w:ascii="Arial Unicode MS" w:hAnsi="Arial Unicode MS" w:eastAsia="MingLiU" w:cs="Arial Unicode MS"/>
      <w:sz w:val="24"/>
      <w:lang w:val="en-US" w:eastAsia="zh-CN" w:bidi="ar-SA"/>
    </w:rPr>
  </w:style>
  <w:style w:type="character" w:customStyle="1" w:styleId="84">
    <w:name w:val="公章 Char"/>
    <w:link w:val="85"/>
    <w:qFormat/>
    <w:uiPriority w:val="0"/>
    <w:rPr>
      <w:rFonts w:ascii="Arial Unicode MS" w:hAnsi="Arial Unicode MS" w:eastAsia="MingLiU" w:cs="Arial Unicode MS"/>
      <w:b/>
      <w:kern w:val="2"/>
      <w:sz w:val="24"/>
      <w:szCs w:val="22"/>
      <w:lang w:val="en-US" w:eastAsia="zh-CN" w:bidi="ar-SA"/>
    </w:rPr>
  </w:style>
  <w:style w:type="paragraph" w:customStyle="1" w:styleId="85">
    <w:name w:val="公章"/>
    <w:link w:val="84"/>
    <w:qFormat/>
    <w:uiPriority w:val="0"/>
    <w:pPr>
      <w:ind w:firstLine="6867" w:firstLineChars="2850"/>
    </w:pPr>
    <w:rPr>
      <w:rFonts w:ascii="Arial Unicode MS" w:hAnsi="Arial Unicode MS" w:eastAsia="MingLiU" w:cs="Arial Unicode MS"/>
      <w:b/>
      <w:kern w:val="2"/>
      <w:sz w:val="24"/>
      <w:szCs w:val="22"/>
      <w:lang w:val="en-US" w:eastAsia="zh-CN" w:bidi="ar-SA"/>
    </w:rPr>
  </w:style>
  <w:style w:type="character" w:customStyle="1" w:styleId="86">
    <w:name w:val="正文2 Char"/>
    <w:link w:val="87"/>
    <w:qFormat/>
    <w:uiPriority w:val="0"/>
    <w:rPr>
      <w:rFonts w:ascii="MingLiU" w:hAnsi="MingLiU"/>
      <w:sz w:val="24"/>
    </w:rPr>
  </w:style>
  <w:style w:type="paragraph" w:customStyle="1" w:styleId="87">
    <w:name w:val="正文2"/>
    <w:basedOn w:val="1"/>
    <w:link w:val="86"/>
    <w:qFormat/>
    <w:uiPriority w:val="0"/>
    <w:pPr>
      <w:spacing w:line="360" w:lineRule="auto"/>
      <w:ind w:firstLine="480" w:firstLineChars="200"/>
    </w:pPr>
    <w:rPr>
      <w:rFonts w:ascii="MingLiU" w:hAnsi="MingLiU"/>
      <w:kern w:val="0"/>
      <w:sz w:val="24"/>
      <w:szCs w:val="20"/>
    </w:rPr>
  </w:style>
  <w:style w:type="character" w:customStyle="1" w:styleId="88">
    <w:name w:val="样式 标题 3 + 宋体 四号 Char Char"/>
    <w:link w:val="89"/>
    <w:qFormat/>
    <w:uiPriority w:val="0"/>
    <w:rPr>
      <w:rFonts w:ascii="MingLiU" w:hAnsi="MingLiU"/>
      <w:b/>
      <w:sz w:val="28"/>
    </w:rPr>
  </w:style>
  <w:style w:type="paragraph" w:customStyle="1" w:styleId="89">
    <w:name w:val="样式 标题 3 + 宋体 四号 Char"/>
    <w:basedOn w:val="5"/>
    <w:link w:val="88"/>
    <w:qFormat/>
    <w:uiPriority w:val="0"/>
    <w:pPr>
      <w:keepNext w:val="0"/>
      <w:keepLines w:val="0"/>
      <w:spacing w:before="249" w:beforeLines="80" w:after="124" w:afterLines="40" w:line="360" w:lineRule="auto"/>
      <w:ind w:left="200" w:leftChars="200" w:firstLine="200" w:firstLineChars="200"/>
      <w:jc w:val="left"/>
    </w:pPr>
    <w:rPr>
      <w:rFonts w:ascii="MingLiU" w:hAnsi="MingLiU"/>
      <w:bCs w:val="0"/>
      <w:kern w:val="0"/>
      <w:sz w:val="28"/>
      <w:szCs w:val="20"/>
    </w:rPr>
  </w:style>
  <w:style w:type="character" w:customStyle="1" w:styleId="90">
    <w:name w:val="标题 Char1"/>
    <w:qFormat/>
    <w:uiPriority w:val="10"/>
    <w:rPr>
      <w:rFonts w:ascii="Cambria" w:hAnsi="Cambria" w:cs="Times New Roman"/>
      <w:b/>
      <w:bCs/>
      <w:kern w:val="2"/>
      <w:sz w:val="32"/>
      <w:szCs w:val="32"/>
    </w:rPr>
  </w:style>
  <w:style w:type="character" w:customStyle="1" w:styleId="91">
    <w:name w:val="表头 字符"/>
    <w:qFormat/>
    <w:uiPriority w:val="0"/>
    <w:rPr>
      <w:rFonts w:ascii="Arial Unicode MS" w:hAnsi="Arial Unicode MS" w:eastAsia="MingLiU" w:cs="Arial Unicode MS"/>
      <w:b/>
      <w:color w:val="000000"/>
      <w:kern w:val="0"/>
      <w:sz w:val="24"/>
      <w:szCs w:val="24"/>
    </w:rPr>
  </w:style>
  <w:style w:type="character" w:customStyle="1" w:styleId="92">
    <w:name w:val="表格 Char"/>
    <w:link w:val="93"/>
    <w:qFormat/>
    <w:locked/>
    <w:uiPriority w:val="0"/>
    <w:rPr>
      <w:rFonts w:ascii="宋体"/>
      <w:sz w:val="21"/>
    </w:rPr>
  </w:style>
  <w:style w:type="paragraph" w:customStyle="1" w:styleId="93">
    <w:name w:val="表格"/>
    <w:basedOn w:val="15"/>
    <w:next w:val="1"/>
    <w:link w:val="92"/>
    <w:qFormat/>
    <w:uiPriority w:val="0"/>
    <w:pPr>
      <w:adjustRightInd w:val="0"/>
      <w:snapToGrid w:val="0"/>
      <w:spacing w:beforeLines="10" w:afterLines="10" w:line="259" w:lineRule="auto"/>
      <w:jc w:val="center"/>
    </w:pPr>
    <w:rPr>
      <w:rFonts w:ascii="宋体"/>
      <w:kern w:val="0"/>
      <w:szCs w:val="20"/>
    </w:rPr>
  </w:style>
  <w:style w:type="character" w:customStyle="1" w:styleId="94">
    <w:name w:val="正文文本_"/>
    <w:link w:val="95"/>
    <w:qFormat/>
    <w:uiPriority w:val="0"/>
    <w:rPr>
      <w:rFonts w:ascii="等线" w:hAnsi="等线" w:eastAsia="等线" w:cs="等线"/>
      <w:szCs w:val="21"/>
      <w:shd w:val="clear" w:color="auto" w:fill="FFFFFF"/>
    </w:rPr>
  </w:style>
  <w:style w:type="paragraph" w:customStyle="1" w:styleId="95">
    <w:name w:val="正文文本1"/>
    <w:basedOn w:val="1"/>
    <w:link w:val="94"/>
    <w:qFormat/>
    <w:uiPriority w:val="0"/>
    <w:pPr>
      <w:shd w:val="clear" w:color="auto" w:fill="FFFFFF"/>
      <w:spacing w:before="660" w:line="312" w:lineRule="exact"/>
      <w:jc w:val="left"/>
    </w:pPr>
    <w:rPr>
      <w:rFonts w:ascii="等线" w:hAnsi="等线" w:eastAsia="等线"/>
      <w:kern w:val="0"/>
      <w:sz w:val="20"/>
      <w:szCs w:val="21"/>
    </w:rPr>
  </w:style>
  <w:style w:type="character" w:customStyle="1" w:styleId="96">
    <w:name w:val="注释 Char"/>
    <w:link w:val="97"/>
    <w:qFormat/>
    <w:uiPriority w:val="0"/>
    <w:rPr>
      <w:rFonts w:ascii="Arial Unicode MS" w:hAnsi="Arial Unicode MS" w:eastAsia="MingLiU" w:cs="Arial Unicode MS"/>
      <w:b/>
      <w:kern w:val="2"/>
      <w:sz w:val="30"/>
      <w:szCs w:val="30"/>
      <w:lang w:val="en-US" w:eastAsia="zh-CN" w:bidi="ar-SA"/>
    </w:rPr>
  </w:style>
  <w:style w:type="paragraph" w:customStyle="1" w:styleId="97">
    <w:name w:val="注释"/>
    <w:link w:val="96"/>
    <w:qFormat/>
    <w:uiPriority w:val="0"/>
    <w:pPr>
      <w:spacing w:line="500" w:lineRule="exact"/>
      <w:jc w:val="center"/>
    </w:pPr>
    <w:rPr>
      <w:rFonts w:ascii="Arial Unicode MS" w:hAnsi="Arial Unicode MS" w:eastAsia="MingLiU" w:cs="Arial Unicode MS"/>
      <w:b/>
      <w:kern w:val="2"/>
      <w:sz w:val="30"/>
      <w:szCs w:val="30"/>
      <w:lang w:val="en-US" w:eastAsia="zh-CN" w:bidi="ar-SA"/>
    </w:rPr>
  </w:style>
  <w:style w:type="character" w:customStyle="1" w:styleId="98">
    <w:name w:val="2正文 Char"/>
    <w:link w:val="99"/>
    <w:qFormat/>
    <w:uiPriority w:val="0"/>
    <w:rPr>
      <w:rFonts w:ascii="Arial Unicode MS" w:hAnsi="Arial Unicode MS" w:eastAsia="Tahoma" w:cs="Arial Unicode MS"/>
      <w:kern w:val="2"/>
      <w:sz w:val="28"/>
      <w:szCs w:val="24"/>
      <w:lang w:val="en-US" w:eastAsia="zh-CN" w:bidi="ar-SA"/>
    </w:rPr>
  </w:style>
  <w:style w:type="paragraph" w:customStyle="1" w:styleId="99">
    <w:name w:val="2正文"/>
    <w:link w:val="98"/>
    <w:qFormat/>
    <w:uiPriority w:val="0"/>
    <w:pPr>
      <w:spacing w:line="600" w:lineRule="exact"/>
      <w:ind w:firstLine="200" w:firstLineChars="200"/>
      <w:jc w:val="both"/>
    </w:pPr>
    <w:rPr>
      <w:rFonts w:ascii="Arial Unicode MS" w:hAnsi="Arial Unicode MS" w:eastAsia="Tahoma" w:cs="Arial Unicode MS"/>
      <w:kern w:val="2"/>
      <w:sz w:val="28"/>
      <w:szCs w:val="24"/>
      <w:lang w:val="en-US" w:eastAsia="zh-CN" w:bidi="ar-SA"/>
    </w:rPr>
  </w:style>
  <w:style w:type="character" w:customStyle="1" w:styleId="100">
    <w:name w:val="日期 Char1"/>
    <w:semiHidden/>
    <w:qFormat/>
    <w:uiPriority w:val="99"/>
    <w:rPr>
      <w:rFonts w:ascii="Arial Unicode MS" w:hAnsi="Arial Unicode MS"/>
      <w:kern w:val="2"/>
      <w:sz w:val="24"/>
      <w:szCs w:val="22"/>
    </w:rPr>
  </w:style>
  <w:style w:type="character" w:customStyle="1" w:styleId="101">
    <w:name w:val="批注文字 字符1"/>
    <w:semiHidden/>
    <w:qFormat/>
    <w:uiPriority w:val="0"/>
    <w:rPr>
      <w:rFonts w:ascii="Times New Roman" w:hAnsi="Times New Roman" w:eastAsia="宋体"/>
      <w:sz w:val="24"/>
    </w:rPr>
  </w:style>
  <w:style w:type="character" w:customStyle="1" w:styleId="102">
    <w:name w:val="1报告表 Char"/>
    <w:link w:val="103"/>
    <w:qFormat/>
    <w:uiPriority w:val="0"/>
    <w:rPr>
      <w:rFonts w:ascii="Arial Unicode MS" w:hAnsi="MingLiU" w:eastAsia="MingLiU" w:cs="Arial Unicode MS"/>
      <w:b/>
      <w:kern w:val="2"/>
      <w:sz w:val="74"/>
      <w:szCs w:val="24"/>
      <w:lang w:val="en-US" w:eastAsia="zh-CN" w:bidi="ar-SA"/>
    </w:rPr>
  </w:style>
  <w:style w:type="paragraph" w:customStyle="1" w:styleId="103">
    <w:name w:val="1报告表"/>
    <w:next w:val="1"/>
    <w:link w:val="102"/>
    <w:qFormat/>
    <w:uiPriority w:val="0"/>
    <w:pPr>
      <w:jc w:val="center"/>
      <w:outlineLvl w:val="0"/>
    </w:pPr>
    <w:rPr>
      <w:rFonts w:ascii="Arial Unicode MS" w:hAnsi="MingLiU" w:eastAsia="MingLiU" w:cs="Arial Unicode MS"/>
      <w:b/>
      <w:kern w:val="2"/>
      <w:sz w:val="74"/>
      <w:szCs w:val="24"/>
      <w:lang w:val="en-US" w:eastAsia="zh-CN" w:bidi="ar-SA"/>
    </w:rPr>
  </w:style>
  <w:style w:type="character" w:customStyle="1" w:styleId="104">
    <w:name w:val="标题 3 Char Char2"/>
    <w:qFormat/>
    <w:uiPriority w:val="0"/>
    <w:rPr>
      <w:rFonts w:eastAsia="MingLiU"/>
      <w:b/>
      <w:bCs/>
      <w:kern w:val="2"/>
      <w:sz w:val="32"/>
      <w:szCs w:val="32"/>
      <w:lang w:val="en-US" w:eastAsia="zh-CN" w:bidi="ar-SA"/>
    </w:rPr>
  </w:style>
  <w:style w:type="character" w:customStyle="1" w:styleId="105">
    <w:name w:val=" Char Char19"/>
    <w:qFormat/>
    <w:uiPriority w:val="0"/>
    <w:rPr>
      <w:rFonts w:eastAsia="MingLiU"/>
      <w:snapToGrid w:val="0"/>
      <w:spacing w:val="20"/>
      <w:sz w:val="28"/>
      <w:lang w:val="en-US" w:eastAsia="zh-CN" w:bidi="ar-SA"/>
    </w:rPr>
  </w:style>
  <w:style w:type="character" w:customStyle="1" w:styleId="106">
    <w:name w:val="正文文本 字符1"/>
    <w:semiHidden/>
    <w:qFormat/>
    <w:uiPriority w:val="0"/>
    <w:rPr>
      <w:rFonts w:ascii="Times New Roman" w:hAnsi="Times New Roman" w:eastAsia="宋体"/>
      <w:sz w:val="24"/>
    </w:rPr>
  </w:style>
  <w:style w:type="character" w:customStyle="1" w:styleId="107">
    <w:name w:val="正文文本缩进 3 Char1"/>
    <w:qFormat/>
    <w:uiPriority w:val="99"/>
    <w:rPr>
      <w:kern w:val="2"/>
      <w:sz w:val="16"/>
      <w:szCs w:val="16"/>
    </w:rPr>
  </w:style>
  <w:style w:type="character" w:customStyle="1" w:styleId="108">
    <w:name w:val="文档结构图 Char1"/>
    <w:qFormat/>
    <w:uiPriority w:val="99"/>
    <w:rPr>
      <w:rFonts w:ascii="宋体"/>
      <w:kern w:val="2"/>
      <w:sz w:val="18"/>
      <w:szCs w:val="18"/>
    </w:rPr>
  </w:style>
  <w:style w:type="character" w:customStyle="1" w:styleId="109">
    <w:name w:val="表格1 Char"/>
    <w:link w:val="110"/>
    <w:qFormat/>
    <w:uiPriority w:val="0"/>
  </w:style>
  <w:style w:type="paragraph" w:customStyle="1" w:styleId="110">
    <w:name w:val="表格1"/>
    <w:basedOn w:val="1"/>
    <w:link w:val="109"/>
    <w:qFormat/>
    <w:uiPriority w:val="0"/>
    <w:pPr>
      <w:spacing w:line="400" w:lineRule="atLeast"/>
      <w:jc w:val="center"/>
    </w:pPr>
    <w:rPr>
      <w:kern w:val="0"/>
      <w:sz w:val="20"/>
      <w:szCs w:val="20"/>
    </w:rPr>
  </w:style>
  <w:style w:type="character" w:customStyle="1" w:styleId="111">
    <w:name w:val="1编制日期 Char"/>
    <w:link w:val="112"/>
    <w:qFormat/>
    <w:uiPriority w:val="0"/>
    <w:rPr>
      <w:rFonts w:ascii="Arial Unicode MS" w:hAnsi="Arial Unicode MS" w:eastAsia="MingLiU" w:cs="Arial Unicode MS"/>
      <w:b/>
      <w:kern w:val="2"/>
      <w:sz w:val="32"/>
      <w:szCs w:val="24"/>
      <w:lang w:val="en-US" w:eastAsia="zh-CN" w:bidi="ar-SA"/>
    </w:rPr>
  </w:style>
  <w:style w:type="paragraph" w:customStyle="1" w:styleId="112">
    <w:name w:val="1编制日期"/>
    <w:next w:val="1"/>
    <w:link w:val="111"/>
    <w:qFormat/>
    <w:uiPriority w:val="0"/>
    <w:pPr>
      <w:spacing w:line="360" w:lineRule="auto"/>
      <w:jc w:val="center"/>
    </w:pPr>
    <w:rPr>
      <w:rFonts w:ascii="Arial Unicode MS" w:hAnsi="Arial Unicode MS" w:eastAsia="MingLiU" w:cs="Arial Unicode MS"/>
      <w:b/>
      <w:kern w:val="2"/>
      <w:sz w:val="32"/>
      <w:szCs w:val="24"/>
      <w:lang w:val="en-US" w:eastAsia="zh-CN" w:bidi="ar-SA"/>
    </w:rPr>
  </w:style>
  <w:style w:type="character" w:customStyle="1" w:styleId="113">
    <w:name w:val="纯文本 Char2"/>
    <w:qFormat/>
    <w:uiPriority w:val="0"/>
    <w:rPr>
      <w:rFonts w:ascii="MingLiU" w:hAnsi="汉鼎简书宋" w:eastAsia="MingLiU" w:cs="Arial Unicode MS"/>
      <w:szCs w:val="20"/>
    </w:rPr>
  </w:style>
  <w:style w:type="character" w:customStyle="1" w:styleId="114">
    <w:name w:val="正文缩进4 Char1"/>
    <w:qFormat/>
    <w:uiPriority w:val="0"/>
    <w:rPr>
      <w:rFonts w:eastAsia="MingLiU"/>
      <w:kern w:val="2"/>
      <w:sz w:val="28"/>
      <w:lang w:val="en-US" w:eastAsia="zh-CN"/>
    </w:rPr>
  </w:style>
  <w:style w:type="character" w:customStyle="1" w:styleId="115">
    <w:name w:val="正文缩进 字符"/>
    <w:qFormat/>
    <w:uiPriority w:val="0"/>
    <w:rPr>
      <w:rFonts w:ascii="Calibri" w:hAnsi="Calibri"/>
      <w:position w:val="4"/>
      <w:sz w:val="28"/>
    </w:rPr>
  </w:style>
  <w:style w:type="character" w:customStyle="1" w:styleId="116">
    <w:name w:val="5-正文 Char Char"/>
    <w:link w:val="117"/>
    <w:qFormat/>
    <w:uiPriority w:val="0"/>
    <w:rPr>
      <w:color w:val="000000"/>
      <w:kern w:val="2"/>
      <w:sz w:val="24"/>
      <w:szCs w:val="24"/>
    </w:rPr>
  </w:style>
  <w:style w:type="paragraph" w:customStyle="1" w:styleId="117">
    <w:name w:val="5-正文"/>
    <w:basedOn w:val="1"/>
    <w:link w:val="116"/>
    <w:qFormat/>
    <w:uiPriority w:val="0"/>
    <w:pPr>
      <w:spacing w:line="440" w:lineRule="exact"/>
      <w:ind w:firstLine="480" w:firstLineChars="200"/>
    </w:pPr>
    <w:rPr>
      <w:color w:val="000000"/>
      <w:sz w:val="24"/>
    </w:rPr>
  </w:style>
  <w:style w:type="character" w:customStyle="1" w:styleId="118">
    <w:name w:val="表格居中 Char"/>
    <w:link w:val="119"/>
    <w:qFormat/>
    <w:uiPriority w:val="0"/>
    <w:rPr>
      <w:rFonts w:ascii="Arial Unicode MS" w:hAnsi="Arial Unicode MS" w:eastAsia="MingLiU" w:cs="Arial Unicode MS"/>
      <w:kern w:val="2"/>
      <w:sz w:val="24"/>
      <w:szCs w:val="24"/>
      <w:lang w:val="en-US" w:eastAsia="zh-CN" w:bidi="ar-SA"/>
    </w:rPr>
  </w:style>
  <w:style w:type="paragraph" w:customStyle="1" w:styleId="119">
    <w:name w:val="表格居中"/>
    <w:basedOn w:val="93"/>
    <w:link w:val="118"/>
    <w:qFormat/>
    <w:uiPriority w:val="0"/>
    <w:pPr>
      <w:spacing w:line="440" w:lineRule="exact"/>
      <w:jc w:val="center"/>
    </w:pPr>
    <w:rPr>
      <w:rFonts w:ascii="Arial Unicode MS" w:hAnsi="Arial Unicode MS" w:eastAsia="MingLiU" w:cs="Arial Unicode MS"/>
      <w:kern w:val="2"/>
      <w:sz w:val="24"/>
      <w:szCs w:val="24"/>
      <w:lang w:val="en-US" w:eastAsia="zh-CN" w:bidi="ar-SA"/>
    </w:rPr>
  </w:style>
  <w:style w:type="character" w:customStyle="1" w:styleId="120">
    <w:name w:val="表格内容 Char"/>
    <w:link w:val="121"/>
    <w:qFormat/>
    <w:uiPriority w:val="0"/>
    <w:rPr>
      <w:rFonts w:ascii="Arial Unicode MS" w:hAnsi="Arial Unicode MS" w:cs="Arial Unicode MS"/>
      <w:color w:val="000000"/>
      <w:kern w:val="2"/>
      <w:sz w:val="21"/>
      <w:szCs w:val="24"/>
      <w:lang w:val="en-US" w:eastAsia="zh-CN" w:bidi="ar-SA"/>
    </w:rPr>
  </w:style>
  <w:style w:type="paragraph" w:customStyle="1" w:styleId="121">
    <w:name w:val="表格内容"/>
    <w:link w:val="120"/>
    <w:qFormat/>
    <w:uiPriority w:val="0"/>
    <w:pPr>
      <w:adjustRightInd w:val="0"/>
      <w:snapToGrid w:val="0"/>
      <w:spacing w:line="360" w:lineRule="exact"/>
      <w:jc w:val="center"/>
    </w:pPr>
    <w:rPr>
      <w:rFonts w:ascii="Arial Unicode MS" w:hAnsi="Arial Unicode MS" w:eastAsia="宋体" w:cs="Arial Unicode MS"/>
      <w:color w:val="000000"/>
      <w:kern w:val="2"/>
      <w:sz w:val="21"/>
      <w:szCs w:val="24"/>
      <w:lang w:val="en-US" w:eastAsia="zh-CN" w:bidi="ar-SA"/>
    </w:rPr>
  </w:style>
  <w:style w:type="character" w:customStyle="1" w:styleId="122">
    <w:name w:val="表头 Char"/>
    <w:link w:val="123"/>
    <w:qFormat/>
    <w:uiPriority w:val="0"/>
    <w:rPr>
      <w:rFonts w:ascii="Arial Unicode MS" w:hAnsi="Arial Unicode MS" w:eastAsia="MingLiU" w:cs="Arial Unicode MS"/>
      <w:b/>
      <w:color w:val="000000"/>
      <w:kern w:val="2"/>
      <w:sz w:val="24"/>
      <w:szCs w:val="24"/>
    </w:rPr>
  </w:style>
  <w:style w:type="paragraph" w:customStyle="1" w:styleId="123">
    <w:name w:val="表头"/>
    <w:basedOn w:val="1"/>
    <w:link w:val="122"/>
    <w:qFormat/>
    <w:uiPriority w:val="0"/>
    <w:pPr>
      <w:keepNext/>
      <w:widowControl/>
      <w:numPr>
        <w:ilvl w:val="0"/>
        <w:numId w:val="2"/>
      </w:numPr>
      <w:spacing w:line="360" w:lineRule="exact"/>
      <w:ind w:left="0" w:firstLine="200" w:firstLineChars="200"/>
    </w:pPr>
    <w:rPr>
      <w:rFonts w:ascii="Arial Unicode MS" w:hAnsi="Arial Unicode MS" w:eastAsia="MingLiU"/>
      <w:b/>
      <w:color w:val="000000"/>
      <w:sz w:val="24"/>
    </w:rPr>
  </w:style>
  <w:style w:type="character" w:customStyle="1" w:styleId="124">
    <w:name w:val="表格黑体 Char"/>
    <w:link w:val="125"/>
    <w:qFormat/>
    <w:uiPriority w:val="0"/>
    <w:rPr>
      <w:rFonts w:ascii="Arial Unicode MS" w:hAnsi="MingLiU" w:eastAsia="MingLiU" w:cs="Arial Unicode MS"/>
      <w:b/>
      <w:kern w:val="2"/>
      <w:sz w:val="24"/>
      <w:szCs w:val="24"/>
      <w:lang w:val="en-US" w:eastAsia="zh-CN" w:bidi="ar-SA"/>
    </w:rPr>
  </w:style>
  <w:style w:type="paragraph" w:customStyle="1" w:styleId="125">
    <w:name w:val="表格黑体"/>
    <w:link w:val="124"/>
    <w:qFormat/>
    <w:uiPriority w:val="0"/>
    <w:pPr>
      <w:spacing w:line="440" w:lineRule="exact"/>
      <w:jc w:val="center"/>
    </w:pPr>
    <w:rPr>
      <w:rFonts w:ascii="Arial Unicode MS" w:hAnsi="MingLiU" w:eastAsia="MingLiU" w:cs="Arial Unicode MS"/>
      <w:b/>
      <w:kern w:val="2"/>
      <w:sz w:val="24"/>
      <w:szCs w:val="24"/>
      <w:lang w:val="en-US" w:eastAsia="zh-CN" w:bidi="ar-SA"/>
    </w:rPr>
  </w:style>
  <w:style w:type="character" w:customStyle="1" w:styleId="126">
    <w:name w:val="流程图 Char"/>
    <w:link w:val="127"/>
    <w:qFormat/>
    <w:uiPriority w:val="0"/>
    <w:rPr>
      <w:rFonts w:ascii="Arial Unicode MS" w:hAnsi="Arial Unicode MS" w:eastAsia="MingLiU" w:cs="Arial Unicode MS"/>
      <w:color w:val="000000"/>
      <w:kern w:val="2"/>
      <w:sz w:val="21"/>
      <w:szCs w:val="24"/>
      <w:lang w:val="en-US" w:eastAsia="zh-CN" w:bidi="ar-SA"/>
    </w:rPr>
  </w:style>
  <w:style w:type="paragraph" w:customStyle="1" w:styleId="127">
    <w:name w:val="流程图"/>
    <w:link w:val="126"/>
    <w:qFormat/>
    <w:uiPriority w:val="0"/>
    <w:pPr>
      <w:jc w:val="center"/>
    </w:pPr>
    <w:rPr>
      <w:rFonts w:ascii="Arial Unicode MS" w:hAnsi="Arial Unicode MS" w:eastAsia="MingLiU" w:cs="Arial Unicode MS"/>
      <w:color w:val="000000"/>
      <w:kern w:val="2"/>
      <w:sz w:val="21"/>
      <w:szCs w:val="24"/>
      <w:lang w:val="en-US" w:eastAsia="zh-CN" w:bidi="ar-SA"/>
    </w:rPr>
  </w:style>
  <w:style w:type="character" w:customStyle="1" w:styleId="128">
    <w:name w:val="nr1"/>
    <w:qFormat/>
    <w:uiPriority w:val="0"/>
    <w:rPr>
      <w:sz w:val="18"/>
    </w:rPr>
  </w:style>
  <w:style w:type="character" w:customStyle="1" w:styleId="129">
    <w:name w:val="正文文本 2 Char1"/>
    <w:qFormat/>
    <w:uiPriority w:val="99"/>
    <w:rPr>
      <w:kern w:val="2"/>
      <w:sz w:val="21"/>
      <w:szCs w:val="24"/>
    </w:rPr>
  </w:style>
  <w:style w:type="character" w:customStyle="1" w:styleId="130">
    <w:name w:val="正文格式 Char"/>
    <w:link w:val="131"/>
    <w:qFormat/>
    <w:uiPriority w:val="0"/>
    <w:rPr>
      <w:rFonts w:cs="MingLiU"/>
      <w:sz w:val="24"/>
      <w:szCs w:val="24"/>
    </w:rPr>
  </w:style>
  <w:style w:type="paragraph" w:customStyle="1" w:styleId="131">
    <w:name w:val="正文格式"/>
    <w:basedOn w:val="1"/>
    <w:link w:val="130"/>
    <w:qFormat/>
    <w:uiPriority w:val="0"/>
    <w:pPr>
      <w:spacing w:line="360" w:lineRule="auto"/>
      <w:ind w:firstLine="544" w:firstLineChars="200"/>
    </w:pPr>
    <w:rPr>
      <w:kern w:val="0"/>
      <w:sz w:val="24"/>
    </w:rPr>
  </w:style>
  <w:style w:type="character" w:customStyle="1" w:styleId="132">
    <w:name w:val="apple-converted-space"/>
    <w:qFormat/>
    <w:uiPriority w:val="0"/>
  </w:style>
  <w:style w:type="character" w:customStyle="1" w:styleId="133">
    <w:name w:val="页脚 字符"/>
    <w:basedOn w:val="40"/>
    <w:qFormat/>
    <w:uiPriority w:val="99"/>
  </w:style>
  <w:style w:type="character" w:customStyle="1" w:styleId="134">
    <w:name w:val="正文文本缩进 Char1"/>
    <w:semiHidden/>
    <w:qFormat/>
    <w:uiPriority w:val="99"/>
    <w:rPr>
      <w:rFonts w:ascii="Arial Unicode MS" w:hAnsi="Arial Unicode MS"/>
      <w:kern w:val="2"/>
      <w:sz w:val="24"/>
      <w:szCs w:val="22"/>
    </w:rPr>
  </w:style>
  <w:style w:type="character" w:customStyle="1" w:styleId="135">
    <w:name w:val="注释标题 Char1"/>
    <w:qFormat/>
    <w:uiPriority w:val="99"/>
    <w:rPr>
      <w:kern w:val="2"/>
      <w:sz w:val="21"/>
      <w:szCs w:val="24"/>
    </w:rPr>
  </w:style>
  <w:style w:type="character" w:customStyle="1" w:styleId="136">
    <w:name w:val="日期 字符"/>
    <w:semiHidden/>
    <w:qFormat/>
    <w:uiPriority w:val="0"/>
    <w:rPr>
      <w:rFonts w:ascii="Times New Roman" w:hAnsi="Times New Roman" w:eastAsia="宋体"/>
      <w:sz w:val="24"/>
    </w:rPr>
  </w:style>
  <w:style w:type="character" w:customStyle="1" w:styleId="137">
    <w:name w:val="正文文本 + Arial Unicode MS"/>
    <w:qFormat/>
    <w:uiPriority w:val="0"/>
    <w:rPr>
      <w:rFonts w:ascii="Cambria Math" w:hAnsi="Cambria Math" w:eastAsia="Cambria Math" w:cs="Cambria Math"/>
      <w:color w:val="000000"/>
      <w:spacing w:val="0"/>
      <w:w w:val="100"/>
      <w:position w:val="0"/>
      <w:sz w:val="20"/>
      <w:szCs w:val="20"/>
      <w:u w:val="none"/>
      <w:lang w:val="en-US"/>
    </w:rPr>
  </w:style>
  <w:style w:type="character" w:customStyle="1" w:styleId="138">
    <w:name w:val="1项目名称 Char"/>
    <w:link w:val="139"/>
    <w:qFormat/>
    <w:uiPriority w:val="0"/>
    <w:rPr>
      <w:rFonts w:ascii="Arial Unicode MS" w:hAnsi="Arial Unicode MS" w:eastAsia="MingLiU" w:cs="Arial Unicode MS"/>
      <w:b/>
      <w:kern w:val="2"/>
      <w:sz w:val="32"/>
      <w:szCs w:val="24"/>
      <w:lang w:val="en-US" w:eastAsia="zh-CN" w:bidi="ar-SA"/>
    </w:rPr>
  </w:style>
  <w:style w:type="paragraph" w:customStyle="1" w:styleId="139">
    <w:name w:val="1项目名称"/>
    <w:link w:val="138"/>
    <w:qFormat/>
    <w:uiPriority w:val="0"/>
    <w:pPr>
      <w:spacing w:line="360" w:lineRule="auto"/>
      <w:ind w:hanging="1480" w:hangingChars="434"/>
    </w:pPr>
    <w:rPr>
      <w:rFonts w:ascii="Arial Unicode MS" w:hAnsi="Arial Unicode MS" w:eastAsia="MingLiU" w:cs="Arial Unicode MS"/>
      <w:b/>
      <w:kern w:val="2"/>
      <w:sz w:val="32"/>
      <w:szCs w:val="24"/>
      <w:lang w:val="en-US" w:eastAsia="zh-CN" w:bidi="ar-SA"/>
    </w:rPr>
  </w:style>
  <w:style w:type="character" w:customStyle="1" w:styleId="140">
    <w:name w:val="图片 Char"/>
    <w:link w:val="141"/>
    <w:qFormat/>
    <w:uiPriority w:val="0"/>
    <w:rPr>
      <w:rFonts w:ascii="Arial Unicode MS" w:hAnsi="Arial Unicode MS" w:eastAsia="MingLiU" w:cs="Arial Unicode MS"/>
      <w:b/>
      <w:kern w:val="2"/>
      <w:sz w:val="24"/>
      <w:szCs w:val="22"/>
      <w:lang w:val="en-US" w:eastAsia="zh-CN" w:bidi="ar-SA"/>
    </w:rPr>
  </w:style>
  <w:style w:type="paragraph" w:customStyle="1" w:styleId="141">
    <w:name w:val="图片"/>
    <w:next w:val="142"/>
    <w:link w:val="140"/>
    <w:qFormat/>
    <w:uiPriority w:val="0"/>
    <w:pPr>
      <w:adjustRightInd w:val="0"/>
      <w:snapToGrid w:val="0"/>
      <w:jc w:val="center"/>
    </w:pPr>
    <w:rPr>
      <w:rFonts w:ascii="Arial Unicode MS" w:hAnsi="Arial Unicode MS" w:eastAsia="MingLiU" w:cs="Arial Unicode MS"/>
      <w:b/>
      <w:kern w:val="2"/>
      <w:sz w:val="24"/>
      <w:szCs w:val="22"/>
      <w:lang w:val="en-US" w:eastAsia="zh-CN" w:bidi="ar-SA"/>
    </w:rPr>
  </w:style>
  <w:style w:type="paragraph" w:customStyle="1" w:styleId="142">
    <w:name w:val="图名"/>
    <w:next w:val="99"/>
    <w:link w:val="143"/>
    <w:qFormat/>
    <w:uiPriority w:val="0"/>
    <w:pPr>
      <w:jc w:val="center"/>
    </w:pPr>
    <w:rPr>
      <w:rFonts w:ascii="Arial Unicode MS" w:hAnsi="Arial Unicode MS" w:eastAsia="MingLiU" w:cs="Arial Unicode MS"/>
      <w:b/>
      <w:kern w:val="2"/>
      <w:sz w:val="24"/>
      <w:szCs w:val="22"/>
      <w:lang w:val="en-US" w:eastAsia="zh-CN" w:bidi="ar-SA"/>
    </w:rPr>
  </w:style>
  <w:style w:type="character" w:customStyle="1" w:styleId="143">
    <w:name w:val="图名 Char"/>
    <w:link w:val="142"/>
    <w:qFormat/>
    <w:uiPriority w:val="0"/>
    <w:rPr>
      <w:rFonts w:ascii="Arial Unicode MS" w:hAnsi="Arial Unicode MS" w:eastAsia="MingLiU" w:cs="Arial Unicode MS"/>
      <w:b/>
      <w:kern w:val="2"/>
      <w:sz w:val="24"/>
      <w:szCs w:val="22"/>
      <w:lang w:val="en-US" w:eastAsia="zh-CN" w:bidi="ar-SA"/>
    </w:rPr>
  </w:style>
  <w:style w:type="character" w:customStyle="1" w:styleId="144">
    <w:name w:val="正文文本缩进 3 Char Char"/>
    <w:qFormat/>
    <w:uiPriority w:val="0"/>
    <w:rPr>
      <w:rFonts w:ascii="MingLiU" w:hAnsi="MingLiU" w:eastAsia="MingLiU"/>
      <w:b/>
      <w:bCs/>
      <w:kern w:val="2"/>
      <w:sz w:val="24"/>
      <w:lang w:val="en-US" w:eastAsia="zh-CN" w:bidi="ar-SA"/>
    </w:rPr>
  </w:style>
  <w:style w:type="character" w:customStyle="1" w:styleId="145">
    <w:name w:val="Char Char8"/>
    <w:qFormat/>
    <w:uiPriority w:val="0"/>
    <w:rPr>
      <w:rFonts w:ascii="MingLiU" w:hAnsi="汉鼎简书宋" w:eastAsia="MingLiU"/>
      <w:kern w:val="2"/>
      <w:sz w:val="21"/>
      <w:lang w:val="en-US" w:eastAsia="zh-CN" w:bidi="ar-SA"/>
    </w:rPr>
  </w:style>
  <w:style w:type="character" w:customStyle="1" w:styleId="146">
    <w:name w:val="样式4 Char1"/>
    <w:link w:val="147"/>
    <w:qFormat/>
    <w:uiPriority w:val="0"/>
    <w:rPr>
      <w:rFonts w:ascii="等线 Light" w:hAnsi="等线 Light"/>
      <w:sz w:val="24"/>
    </w:rPr>
  </w:style>
  <w:style w:type="paragraph" w:customStyle="1" w:styleId="147">
    <w:name w:val="样式4"/>
    <w:basedOn w:val="13"/>
    <w:link w:val="146"/>
    <w:qFormat/>
    <w:uiPriority w:val="0"/>
    <w:pPr>
      <w:snapToGrid w:val="0"/>
      <w:spacing w:line="460" w:lineRule="exact"/>
    </w:pPr>
    <w:rPr>
      <w:rFonts w:ascii="等线 Light" w:hAnsi="等线 Light" w:eastAsia="宋体"/>
      <w:kern w:val="0"/>
      <w:sz w:val="24"/>
    </w:rPr>
  </w:style>
  <w:style w:type="character" w:customStyle="1" w:styleId="148">
    <w:name w:val="正文文本 Char1"/>
    <w:semiHidden/>
    <w:qFormat/>
    <w:uiPriority w:val="99"/>
    <w:rPr>
      <w:rFonts w:ascii="Arial Unicode MS" w:hAnsi="Arial Unicode MS"/>
      <w:kern w:val="2"/>
      <w:sz w:val="24"/>
      <w:szCs w:val="22"/>
    </w:rPr>
  </w:style>
  <w:style w:type="character" w:customStyle="1" w:styleId="149">
    <w:name w:val="正文(首行缩进) Char"/>
    <w:link w:val="150"/>
    <w:qFormat/>
    <w:uiPriority w:val="0"/>
    <w:rPr>
      <w:rFonts w:ascii="Arial Unicode MS" w:hAnsi="Arial Unicode MS" w:eastAsia="MingLiU" w:cs="Arial Unicode MS"/>
      <w:snapToGrid/>
      <w:sz w:val="24"/>
      <w:szCs w:val="24"/>
    </w:rPr>
  </w:style>
  <w:style w:type="paragraph" w:customStyle="1" w:styleId="150">
    <w:name w:val="正文(首行缩进)"/>
    <w:basedOn w:val="1"/>
    <w:link w:val="149"/>
    <w:qFormat/>
    <w:uiPriority w:val="0"/>
    <w:pPr>
      <w:adjustRightInd w:val="0"/>
      <w:snapToGrid w:val="0"/>
      <w:spacing w:line="360" w:lineRule="auto"/>
      <w:ind w:firstLine="200" w:firstLineChars="200"/>
    </w:pPr>
    <w:rPr>
      <w:rFonts w:ascii="Arial Unicode MS" w:hAnsi="Arial Unicode MS" w:eastAsia="MingLiU"/>
      <w:kern w:val="0"/>
      <w:sz w:val="24"/>
    </w:rPr>
  </w:style>
  <w:style w:type="character" w:customStyle="1" w:styleId="151">
    <w:name w:val="2编制说明 Char"/>
    <w:link w:val="152"/>
    <w:qFormat/>
    <w:uiPriority w:val="0"/>
    <w:rPr>
      <w:rFonts w:ascii="Arial Unicode MS" w:hAnsi="MingLiU" w:eastAsia="Tahoma" w:cs="Arial Unicode MS"/>
      <w:kern w:val="2"/>
      <w:sz w:val="32"/>
      <w:szCs w:val="24"/>
      <w:lang w:val="en-US" w:eastAsia="zh-CN" w:bidi="ar-SA"/>
    </w:rPr>
  </w:style>
  <w:style w:type="paragraph" w:customStyle="1" w:styleId="152">
    <w:name w:val="2编制说明"/>
    <w:link w:val="151"/>
    <w:qFormat/>
    <w:uiPriority w:val="0"/>
    <w:pPr>
      <w:spacing w:line="600" w:lineRule="exact"/>
      <w:jc w:val="center"/>
    </w:pPr>
    <w:rPr>
      <w:rFonts w:ascii="Arial Unicode MS" w:hAnsi="MingLiU" w:eastAsia="Tahoma" w:cs="Arial Unicode MS"/>
      <w:kern w:val="2"/>
      <w:sz w:val="32"/>
      <w:szCs w:val="24"/>
      <w:lang w:val="en-US" w:eastAsia="zh-CN" w:bidi="ar-SA"/>
    </w:rPr>
  </w:style>
  <w:style w:type="character" w:customStyle="1" w:styleId="153">
    <w:name w:val="表格注 Char"/>
    <w:link w:val="154"/>
    <w:qFormat/>
    <w:uiPriority w:val="0"/>
    <w:rPr>
      <w:rFonts w:ascii="Arial Unicode MS" w:hAnsi="Arial Unicode MS" w:eastAsia="MingLiU" w:cs="Arial Unicode MS"/>
      <w:b/>
      <w:color w:val="000000"/>
      <w:kern w:val="2"/>
      <w:sz w:val="21"/>
      <w:szCs w:val="24"/>
      <w:lang w:val="en-US" w:eastAsia="zh-CN" w:bidi="ar-SA"/>
    </w:rPr>
  </w:style>
  <w:style w:type="paragraph" w:customStyle="1" w:styleId="154">
    <w:name w:val="表格注"/>
    <w:next w:val="1"/>
    <w:link w:val="153"/>
    <w:qFormat/>
    <w:uiPriority w:val="0"/>
    <w:pPr>
      <w:spacing w:line="360" w:lineRule="exact"/>
    </w:pPr>
    <w:rPr>
      <w:rFonts w:ascii="Arial Unicode MS" w:hAnsi="Arial Unicode MS" w:eastAsia="MingLiU" w:cs="Arial Unicode MS"/>
      <w:b/>
      <w:color w:val="000000"/>
      <w:kern w:val="2"/>
      <w:sz w:val="21"/>
      <w:szCs w:val="24"/>
      <w:lang w:val="en-US" w:eastAsia="zh-CN" w:bidi="ar-SA"/>
    </w:rPr>
  </w:style>
  <w:style w:type="character" w:customStyle="1" w:styleId="155">
    <w:name w:val="注释页 Char"/>
    <w:link w:val="156"/>
    <w:qFormat/>
    <w:uiPriority w:val="0"/>
    <w:rPr>
      <w:rFonts w:ascii="Arial Unicode MS" w:hAnsi="Arial Unicode MS" w:eastAsia="MingLiU" w:cs="Arial Unicode MS"/>
      <w:b/>
      <w:kern w:val="2"/>
      <w:sz w:val="24"/>
      <w:szCs w:val="22"/>
      <w:lang w:val="en-US" w:eastAsia="zh-CN" w:bidi="ar-SA"/>
    </w:rPr>
  </w:style>
  <w:style w:type="paragraph" w:customStyle="1" w:styleId="156">
    <w:name w:val="注释页"/>
    <w:link w:val="155"/>
    <w:qFormat/>
    <w:uiPriority w:val="0"/>
    <w:pPr>
      <w:spacing w:line="500" w:lineRule="exact"/>
      <w:ind w:firstLine="482"/>
      <w:jc w:val="both"/>
    </w:pPr>
    <w:rPr>
      <w:rFonts w:ascii="Arial Unicode MS" w:hAnsi="Arial Unicode MS" w:eastAsia="MingLiU" w:cs="Arial Unicode MS"/>
      <w:b/>
      <w:kern w:val="2"/>
      <w:sz w:val="24"/>
      <w:szCs w:val="22"/>
      <w:lang w:val="en-US" w:eastAsia="zh-CN" w:bidi="ar-SA"/>
    </w:rPr>
  </w:style>
  <w:style w:type="character" w:customStyle="1" w:styleId="157">
    <w:name w:val="正文1 Char"/>
    <w:link w:val="158"/>
    <w:qFormat/>
    <w:uiPriority w:val="0"/>
    <w:rPr>
      <w:rFonts w:ascii="Arial Unicode MS" w:hAnsi="Arial Unicode MS" w:eastAsia="MingLiU" w:cs="Arial Unicode MS"/>
      <w:kern w:val="2"/>
      <w:sz w:val="24"/>
    </w:rPr>
  </w:style>
  <w:style w:type="paragraph" w:customStyle="1" w:styleId="158">
    <w:name w:val="正文1"/>
    <w:basedOn w:val="1"/>
    <w:link w:val="157"/>
    <w:qFormat/>
    <w:uiPriority w:val="0"/>
    <w:pPr>
      <w:adjustRightInd w:val="0"/>
      <w:snapToGrid w:val="0"/>
      <w:spacing w:line="480" w:lineRule="exact"/>
      <w:ind w:firstLine="200" w:firstLineChars="200"/>
    </w:pPr>
    <w:rPr>
      <w:rFonts w:ascii="Arial Unicode MS" w:hAnsi="Arial Unicode MS" w:eastAsia="MingLiU"/>
      <w:sz w:val="24"/>
      <w:szCs w:val="20"/>
    </w:rPr>
  </w:style>
  <w:style w:type="character" w:customStyle="1" w:styleId="159">
    <w:name w:val="Char Char1"/>
    <w:qFormat/>
    <w:uiPriority w:val="0"/>
    <w:rPr>
      <w:rFonts w:eastAsia="MingLiU"/>
      <w:kern w:val="2"/>
      <w:sz w:val="21"/>
      <w:lang w:val="en-US" w:eastAsia="zh-CN"/>
    </w:rPr>
  </w:style>
  <w:style w:type="character" w:customStyle="1" w:styleId="160">
    <w:name w:val="正文文本缩进 2 Char1"/>
    <w:qFormat/>
    <w:uiPriority w:val="99"/>
    <w:rPr>
      <w:kern w:val="2"/>
      <w:sz w:val="21"/>
      <w:szCs w:val="24"/>
    </w:rPr>
  </w:style>
  <w:style w:type="paragraph" w:customStyle="1" w:styleId="161">
    <w:name w:val="text"/>
    <w:basedOn w:val="1"/>
    <w:qFormat/>
    <w:uiPriority w:val="0"/>
    <w:pPr>
      <w:widowControl/>
      <w:spacing w:before="100" w:beforeAutospacing="1" w:after="100" w:afterAutospacing="1"/>
      <w:jc w:val="left"/>
    </w:pPr>
    <w:rPr>
      <w:rFonts w:ascii="MingLiU" w:hAnsi="MingLiU" w:eastAsia="MingLiU" w:cs="Arial Unicode MS"/>
      <w:kern w:val="0"/>
      <w:sz w:val="24"/>
    </w:rPr>
  </w:style>
  <w:style w:type="paragraph" w:customStyle="1" w:styleId="162">
    <w:name w:val="Char Char Char Char Char Char1 Char Char Char Char"/>
    <w:basedOn w:val="1"/>
    <w:qFormat/>
    <w:uiPriority w:val="0"/>
    <w:pPr>
      <w:widowControl/>
      <w:spacing w:after="160" w:line="240" w:lineRule="exact"/>
      <w:jc w:val="left"/>
    </w:pPr>
    <w:rPr>
      <w:rFonts w:ascii="华文中宋" w:hAnsi="华文中宋" w:eastAsia="MingLiU" w:cs="Arial Unicode MS"/>
      <w:kern w:val="0"/>
      <w:sz w:val="20"/>
      <w:szCs w:val="20"/>
      <w:lang w:eastAsia="en-US"/>
    </w:rPr>
  </w:style>
  <w:style w:type="paragraph" w:customStyle="1" w:styleId="163">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64">
    <w:name w:val="普通(网站)2"/>
    <w:basedOn w:val="1"/>
    <w:qFormat/>
    <w:uiPriority w:val="0"/>
    <w:pPr>
      <w:widowControl/>
      <w:spacing w:before="100" w:beforeAutospacing="1" w:after="100" w:afterAutospacing="1"/>
      <w:jc w:val="left"/>
    </w:pPr>
    <w:rPr>
      <w:rFonts w:ascii="宋体" w:hAnsi="宋体"/>
      <w:sz w:val="24"/>
      <w:szCs w:val="20"/>
    </w:rPr>
  </w:style>
  <w:style w:type="paragraph" w:customStyle="1" w:styleId="165">
    <w:name w:val=" Char2"/>
    <w:basedOn w:val="1"/>
    <w:qFormat/>
    <w:uiPriority w:val="0"/>
    <w:rPr>
      <w:rFonts w:ascii="Arial Unicode MS" w:hAnsi="Arial Unicode MS" w:eastAsia="MingLiU" w:cs="Arial Unicode MS"/>
      <w:szCs w:val="21"/>
    </w:rPr>
  </w:style>
  <w:style w:type="paragraph" w:customStyle="1" w:styleId="166">
    <w:name w:val="Char Char Char Char Char Char Char Char Char Char Char Char Char Char Char Char"/>
    <w:basedOn w:val="1"/>
    <w:semiHidden/>
    <w:qFormat/>
    <w:uiPriority w:val="0"/>
    <w:pPr>
      <w:widowControl/>
      <w:spacing w:line="40" w:lineRule="exact"/>
    </w:pPr>
    <w:rPr>
      <w:rFonts w:ascii="华文中宋" w:hAnsi="华文中宋" w:eastAsia="MingLiU" w:cs="Arial Unicode MS"/>
      <w:kern w:val="0"/>
      <w:sz w:val="20"/>
      <w:szCs w:val="20"/>
      <w:lang w:eastAsia="en-US"/>
    </w:rPr>
  </w:style>
  <w:style w:type="paragraph" w:customStyle="1" w:styleId="167">
    <w:name w:val="Char Char Char Char Char2 Char Char Char Char"/>
    <w:basedOn w:val="1"/>
    <w:qFormat/>
    <w:uiPriority w:val="0"/>
    <w:pPr>
      <w:adjustRightInd w:val="0"/>
      <w:snapToGrid w:val="0"/>
      <w:spacing w:line="360" w:lineRule="auto"/>
      <w:ind w:firstLine="200" w:firstLineChars="200"/>
    </w:pPr>
    <w:rPr>
      <w:rFonts w:ascii="MingLiU" w:hAnsi="MingLiU" w:eastAsia="MingLiU" w:cs="MingLiU"/>
      <w:sz w:val="24"/>
      <w:szCs w:val="26"/>
    </w:rPr>
  </w:style>
  <w:style w:type="paragraph" w:customStyle="1" w:styleId="168">
    <w:name w:val="Char"/>
    <w:basedOn w:val="1"/>
    <w:qFormat/>
    <w:uiPriority w:val="0"/>
    <w:pPr>
      <w:widowControl/>
      <w:spacing w:line="440" w:lineRule="atLeast"/>
      <w:jc w:val="center"/>
    </w:pPr>
    <w:rPr>
      <w:color w:val="FF0000"/>
      <w:sz w:val="24"/>
    </w:rPr>
  </w:style>
  <w:style w:type="paragraph" w:customStyle="1" w:styleId="169">
    <w:name w:val="默认段落字体 Para Char Char Char Char Char Char Char"/>
    <w:basedOn w:val="1"/>
    <w:qFormat/>
    <w:uiPriority w:val="0"/>
    <w:rPr>
      <w:rFonts w:ascii="等线 Light" w:hAnsi="等线 Light" w:eastAsia="MingLiU" w:cs="等线 Light"/>
      <w:sz w:val="20"/>
      <w:szCs w:val="20"/>
    </w:rPr>
  </w:style>
  <w:style w:type="paragraph" w:customStyle="1" w:styleId="170">
    <w:name w:val="报告书表格"/>
    <w:basedOn w:val="1"/>
    <w:qFormat/>
    <w:uiPriority w:val="0"/>
    <w:pPr>
      <w:adjustRightInd w:val="0"/>
      <w:spacing w:before="60" w:after="60" w:line="240" w:lineRule="atLeast"/>
      <w:jc w:val="center"/>
      <w:textAlignment w:val="baseline"/>
    </w:pPr>
    <w:rPr>
      <w:rFonts w:ascii="Microsoft YaHei UI" w:hAnsi="Microsoft YaHei UI" w:eastAsia="MingLiU" w:cs="Arial Unicode MS"/>
      <w:kern w:val="0"/>
      <w:szCs w:val="20"/>
    </w:rPr>
  </w:style>
  <w:style w:type="paragraph" w:customStyle="1" w:styleId="171">
    <w:name w:val="正文+宋体"/>
    <w:basedOn w:val="1"/>
    <w:qFormat/>
    <w:uiPriority w:val="0"/>
    <w:pPr>
      <w:tabs>
        <w:tab w:val="left" w:pos="4680"/>
      </w:tabs>
      <w:jc w:val="center"/>
    </w:pPr>
    <w:rPr>
      <w:rFonts w:ascii="MingLiU" w:hAnsi="MingLiU" w:eastAsia="MingLiU" w:cs="Arial Unicode MS"/>
      <w:color w:val="0000FF"/>
      <w:spacing w:val="-12"/>
      <w:szCs w:val="21"/>
    </w:rPr>
  </w:style>
  <w:style w:type="paragraph" w:customStyle="1" w:styleId="172">
    <w:name w:val="样式 四号 首行缩进:  2 字符"/>
    <w:basedOn w:val="1"/>
    <w:qFormat/>
    <w:uiPriority w:val="0"/>
    <w:pPr>
      <w:spacing w:line="480" w:lineRule="atLeast"/>
      <w:ind w:firstLine="200" w:firstLineChars="200"/>
    </w:pPr>
    <w:rPr>
      <w:rFonts w:ascii="Microsoft YaHei UI" w:hAnsi="Microsoft YaHei UI" w:eastAsia="MingLiU" w:cs="Arial Unicode MS"/>
      <w:sz w:val="24"/>
      <w:szCs w:val="20"/>
    </w:rPr>
  </w:style>
  <w:style w:type="paragraph" w:customStyle="1" w:styleId="173">
    <w:name w:val="默认段落字体 Para Char Char Char Char Char Char Char Char Char Char"/>
    <w:basedOn w:val="5"/>
    <w:qFormat/>
    <w:uiPriority w:val="0"/>
    <w:pPr>
      <w:keepNext w:val="0"/>
      <w:keepLines w:val="0"/>
      <w:tabs>
        <w:tab w:val="left" w:pos="360"/>
        <w:tab w:val="left" w:pos="900"/>
      </w:tabs>
      <w:snapToGrid w:val="0"/>
      <w:spacing w:before="0" w:after="0" w:line="360" w:lineRule="auto"/>
      <w:ind w:left="542" w:leftChars="-12" w:firstLine="200" w:firstLineChars="200"/>
      <w:jc w:val="left"/>
    </w:pPr>
    <w:rPr>
      <w:rFonts w:ascii="Arial Unicode MS" w:hAnsi="Arial Unicode MS" w:eastAsia="MingLiU" w:cs="Arial Unicode MS"/>
      <w:snapToGrid w:val="0"/>
      <w:kern w:val="0"/>
      <w:sz w:val="24"/>
      <w:szCs w:val="24"/>
    </w:rPr>
  </w:style>
  <w:style w:type="paragraph" w:customStyle="1" w:styleId="174">
    <w:name w:val="默认段落字体 Para Char Char Char Char"/>
    <w:basedOn w:val="1"/>
    <w:qFormat/>
    <w:uiPriority w:val="0"/>
    <w:pPr>
      <w:spacing w:line="360" w:lineRule="auto"/>
      <w:ind w:firstLine="200" w:firstLineChars="200"/>
    </w:pPr>
    <w:rPr>
      <w:rFonts w:ascii="Arial Unicode MS" w:hAnsi="Arial Unicode MS" w:eastAsia="MingLiU" w:cs="Arial Unicode MS"/>
      <w:szCs w:val="20"/>
    </w:rPr>
  </w:style>
  <w:style w:type="paragraph" w:customStyle="1" w:styleId="175">
    <w:name w:val="正文文本缩进1"/>
    <w:basedOn w:val="1"/>
    <w:qFormat/>
    <w:uiPriority w:val="0"/>
    <w:pPr>
      <w:spacing w:line="360" w:lineRule="exact"/>
      <w:ind w:firstLine="480" w:firstLineChars="200"/>
    </w:pPr>
    <w:rPr>
      <w:rFonts w:ascii="Microsoft YaHei UI" w:hAnsi="Microsoft YaHei UI" w:eastAsia="MingLiU" w:cs="Arial Unicode MS"/>
      <w:sz w:val="24"/>
    </w:rPr>
  </w:style>
  <w:style w:type="paragraph" w:styleId="176">
    <w:name w:val="No Spacing"/>
    <w:basedOn w:val="1"/>
    <w:qFormat/>
    <w:uiPriority w:val="1"/>
    <w:rPr>
      <w:rFonts w:ascii="Arial Unicode MS" w:hAnsi="Arial Unicode MS" w:eastAsia="MingLiU" w:cs="Arial Unicode MS"/>
      <w:szCs w:val="20"/>
    </w:rPr>
  </w:style>
  <w:style w:type="paragraph" w:customStyle="1" w:styleId="177">
    <w:name w:val="xl48"/>
    <w:basedOn w:val="1"/>
    <w:qFormat/>
    <w:uiPriority w:val="0"/>
    <w:pPr>
      <w:widowControl/>
      <w:pBdr>
        <w:bottom w:val="single" w:color="auto" w:sz="4" w:space="0"/>
        <w:right w:val="single" w:color="auto" w:sz="4" w:space="0"/>
      </w:pBdr>
      <w:spacing w:before="100" w:beforeAutospacing="1" w:after="100" w:afterAutospacing="1"/>
      <w:jc w:val="center"/>
    </w:pPr>
    <w:rPr>
      <w:rFonts w:ascii="MingLiU" w:hAnsi="MingLiU" w:eastAsia="MingLiU" w:cs="Arial Unicode MS"/>
      <w:kern w:val="0"/>
      <w:szCs w:val="20"/>
    </w:rPr>
  </w:style>
  <w:style w:type="paragraph" w:customStyle="1" w:styleId="178">
    <w:name w:val="样式5"/>
    <w:basedOn w:val="1"/>
    <w:qFormat/>
    <w:uiPriority w:val="0"/>
    <w:pPr>
      <w:snapToGrid w:val="0"/>
      <w:spacing w:line="360" w:lineRule="auto"/>
      <w:ind w:firstLine="510"/>
    </w:pPr>
    <w:rPr>
      <w:rFonts w:ascii="Microsoft YaHei UI" w:hAnsi="Microsoft YaHei UI" w:eastAsia="MingLiU" w:cs="Arial Unicode MS"/>
      <w:sz w:val="24"/>
    </w:rPr>
  </w:style>
  <w:style w:type="paragraph" w:customStyle="1" w:styleId="179">
    <w:name w:val="表内容"/>
    <w:basedOn w:val="1"/>
    <w:next w:val="1"/>
    <w:qFormat/>
    <w:uiPriority w:val="9"/>
    <w:pPr>
      <w:spacing w:line="360" w:lineRule="exact"/>
      <w:jc w:val="center"/>
    </w:pPr>
    <w:rPr>
      <w:rFonts w:ascii="Arial Unicode MS" w:hAnsi="Arial Unicode MS" w:eastAsia="MingLiU" w:cs="Arial Unicode MS"/>
      <w:szCs w:val="21"/>
    </w:rPr>
  </w:style>
  <w:style w:type="paragraph" w:customStyle="1" w:styleId="180">
    <w:name w:val="Char Char Char Char Char Char Char"/>
    <w:basedOn w:val="1"/>
    <w:qFormat/>
    <w:uiPriority w:val="0"/>
    <w:rPr>
      <w:rFonts w:ascii="Microsoft YaHei UI" w:hAnsi="Microsoft YaHei UI" w:eastAsia="MingLiU" w:cs="Arial Unicode MS"/>
      <w:szCs w:val="20"/>
    </w:rPr>
  </w:style>
  <w:style w:type="paragraph" w:customStyle="1" w:styleId="181">
    <w:name w:val="Char Char Char"/>
    <w:basedOn w:val="1"/>
    <w:next w:val="2"/>
    <w:qFormat/>
    <w:uiPriority w:val="0"/>
    <w:rPr>
      <w:rFonts w:ascii="Arial Unicode MS" w:hAnsi="Arial Unicode MS" w:eastAsia="MingLiU" w:cs="Arial Unicode MS"/>
    </w:rPr>
  </w:style>
  <w:style w:type="paragraph" w:customStyle="1" w:styleId="182">
    <w:name w:val="_Style 180"/>
    <w:basedOn w:val="3"/>
    <w:next w:val="1"/>
    <w:qFormat/>
    <w:uiPriority w:val="39"/>
    <w:pPr>
      <w:keepLines/>
      <w:overflowPunct/>
      <w:snapToGrid/>
      <w:spacing w:before="340" w:after="330" w:line="578" w:lineRule="auto"/>
      <w:ind w:left="0" w:firstLine="0"/>
      <w:outlineLvl w:val="9"/>
    </w:pPr>
    <w:rPr>
      <w:rFonts w:ascii="Arial Unicode MS" w:hAnsi="Arial Unicode MS" w:eastAsia="MingLiU" w:cs="Arial Unicode MS"/>
      <w:color w:val="auto"/>
      <w:sz w:val="44"/>
      <w:szCs w:val="44"/>
    </w:rPr>
  </w:style>
  <w:style w:type="paragraph" w:customStyle="1" w:styleId="183">
    <w:name w:val="默认段落字体 Para Char"/>
    <w:basedOn w:val="1"/>
    <w:next w:val="1"/>
    <w:qFormat/>
    <w:uiPriority w:val="0"/>
    <w:pPr>
      <w:keepNext/>
      <w:keepLines/>
      <w:widowControl/>
      <w:adjustRightInd w:val="0"/>
      <w:spacing w:line="360" w:lineRule="auto"/>
      <w:ind w:firstLine="480" w:firstLineChars="200"/>
      <w:jc w:val="left"/>
      <w:textAlignment w:val="baseline"/>
      <w:outlineLvl w:val="1"/>
    </w:pPr>
    <w:rPr>
      <w:rFonts w:ascii="MingLiU" w:hAnsi="MingLiU" w:eastAsia="MingLiU" w:cs="MingLiU"/>
      <w:bCs/>
      <w:kern w:val="0"/>
      <w:sz w:val="24"/>
    </w:rPr>
  </w:style>
  <w:style w:type="paragraph" w:customStyle="1" w:styleId="184">
    <w:name w:val="目录 11"/>
    <w:basedOn w:val="1"/>
    <w:next w:val="1"/>
    <w:qFormat/>
    <w:uiPriority w:val="0"/>
    <w:pPr>
      <w:spacing w:line="440" w:lineRule="exact"/>
    </w:pPr>
    <w:rPr>
      <w:rFonts w:ascii="Microsoft YaHei UI" w:hAnsi="Microsoft YaHei UI" w:eastAsia="MingLiU" w:cs="Arial Unicode MS"/>
      <w:b/>
      <w:sz w:val="24"/>
      <w:szCs w:val="20"/>
    </w:rPr>
  </w:style>
  <w:style w:type="paragraph" w:customStyle="1" w:styleId="185">
    <w:name w:val="样式 行距: 1.5 倍行距"/>
    <w:basedOn w:val="1"/>
    <w:qFormat/>
    <w:uiPriority w:val="0"/>
    <w:pPr>
      <w:spacing w:line="480" w:lineRule="exact"/>
      <w:ind w:firstLine="200" w:firstLineChars="200"/>
    </w:pPr>
    <w:rPr>
      <w:rFonts w:ascii="Microsoft YaHei UI" w:hAnsi="Microsoft YaHei UI" w:eastAsia="MingLiU" w:cs="Arial Unicode MS"/>
      <w:sz w:val="24"/>
      <w:szCs w:val="20"/>
    </w:rPr>
  </w:style>
  <w:style w:type="paragraph" w:customStyle="1" w:styleId="186">
    <w:name w:val=" Char Char61 Char Char Char Char Char Char Char Char"/>
    <w:basedOn w:val="1"/>
    <w:next w:val="1"/>
    <w:qFormat/>
    <w:uiPriority w:val="0"/>
    <w:pPr>
      <w:spacing w:line="360" w:lineRule="auto"/>
      <w:ind w:firstLine="200" w:firstLineChars="200"/>
    </w:pPr>
    <w:rPr>
      <w:rFonts w:ascii="MingLiU" w:hAnsi="MingLiU" w:eastAsia="Verdana" w:cs="MingLiU"/>
      <w:sz w:val="24"/>
    </w:rPr>
  </w:style>
  <w:style w:type="paragraph" w:customStyle="1" w:styleId="187">
    <w:name w:val=" Char4 Char Char Char"/>
    <w:basedOn w:val="1"/>
    <w:semiHidden/>
    <w:qFormat/>
    <w:uiPriority w:val="0"/>
    <w:pPr>
      <w:adjustRightInd w:val="0"/>
      <w:snapToGrid w:val="0"/>
      <w:spacing w:line="360" w:lineRule="auto"/>
      <w:ind w:firstLine="200" w:firstLineChars="200"/>
    </w:pPr>
    <w:rPr>
      <w:rFonts w:ascii="MingLiU" w:hAnsi="MingLiU" w:eastAsia="Tahoma" w:cs="MingLiU"/>
      <w:sz w:val="24"/>
      <w:szCs w:val="26"/>
    </w:rPr>
  </w:style>
  <w:style w:type="paragraph" w:customStyle="1" w:styleId="188">
    <w:name w:val="xl28"/>
    <w:basedOn w:val="1"/>
    <w:qFormat/>
    <w:uiPriority w:val="0"/>
    <w:pPr>
      <w:widowControl/>
      <w:pBdr>
        <w:bottom w:val="single" w:color="auto" w:sz="4" w:space="0"/>
        <w:right w:val="single" w:color="auto" w:sz="4" w:space="0"/>
      </w:pBdr>
      <w:spacing w:before="100" w:beforeAutospacing="1" w:after="100" w:afterAutospacing="1"/>
      <w:jc w:val="center"/>
      <w:textAlignment w:val="top"/>
    </w:pPr>
    <w:rPr>
      <w:rFonts w:ascii="Microsoft YaHei UI" w:hAnsi="Microsoft YaHei UI" w:eastAsia="MingLiU" w:cs="Arial Unicode MS"/>
      <w:kern w:val="0"/>
      <w:szCs w:val="20"/>
    </w:rPr>
  </w:style>
  <w:style w:type="paragraph" w:customStyle="1" w:styleId="189">
    <w:name w:val="样式 样式 四号 首行缩进:  1.92 字符 + 宋体"/>
    <w:basedOn w:val="1"/>
    <w:qFormat/>
    <w:uiPriority w:val="0"/>
    <w:pPr>
      <w:widowControl/>
      <w:ind w:firstLine="560" w:firstLineChars="200"/>
    </w:pPr>
    <w:rPr>
      <w:rFonts w:ascii="MingLiU" w:hAnsi="MingLiU" w:eastAsia="MingLiU" w:cs="Arial Unicode MS"/>
      <w:sz w:val="28"/>
      <w:szCs w:val="20"/>
    </w:rPr>
  </w:style>
  <w:style w:type="paragraph" w:customStyle="1" w:styleId="190">
    <w:name w:val="Char Char Char Char Char Char Char Char Char Char Char Char Char Char Char Char Char Char Char1"/>
    <w:basedOn w:val="1"/>
    <w:qFormat/>
    <w:uiPriority w:val="0"/>
    <w:pPr>
      <w:spacing w:line="360" w:lineRule="auto"/>
      <w:ind w:firstLine="200" w:firstLineChars="200"/>
    </w:pPr>
    <w:rPr>
      <w:rFonts w:ascii="MingLiU" w:hAnsi="MingLiU" w:eastAsia="MingLiU" w:cs="Arial Unicode MS"/>
      <w:sz w:val="24"/>
      <w:szCs w:val="20"/>
    </w:rPr>
  </w:style>
  <w:style w:type="paragraph" w:customStyle="1" w:styleId="191">
    <w:name w:val="Char1 Char Char Char"/>
    <w:basedOn w:val="1"/>
    <w:qFormat/>
    <w:uiPriority w:val="0"/>
    <w:pPr>
      <w:snapToGrid w:val="0"/>
      <w:spacing w:line="360" w:lineRule="auto"/>
      <w:ind w:firstLine="529" w:firstLineChars="200"/>
    </w:pPr>
    <w:rPr>
      <w:rFonts w:ascii="MingLiU" w:hAnsi="MingLiU" w:eastAsia="MingLiU" w:cs="Arial Unicode MS"/>
      <w:b/>
      <w:szCs w:val="20"/>
    </w:rPr>
  </w:style>
  <w:style w:type="paragraph" w:customStyle="1" w:styleId="192">
    <w:name w:val=" Char Char Char1 Char"/>
    <w:basedOn w:val="1"/>
    <w:next w:val="1"/>
    <w:qFormat/>
    <w:uiPriority w:val="0"/>
    <w:pPr>
      <w:spacing w:line="360" w:lineRule="auto"/>
      <w:ind w:firstLine="200" w:firstLineChars="200"/>
    </w:pPr>
    <w:rPr>
      <w:rFonts w:ascii="MingLiU" w:hAnsi="MingLiU" w:eastAsia="Verdana" w:cs="MingLiU"/>
      <w:sz w:val="24"/>
    </w:rPr>
  </w:style>
  <w:style w:type="paragraph" w:customStyle="1" w:styleId="193">
    <w:name w:val="0"/>
    <w:basedOn w:val="1"/>
    <w:qFormat/>
    <w:uiPriority w:val="0"/>
    <w:pPr>
      <w:widowControl/>
      <w:snapToGrid w:val="0"/>
    </w:pPr>
    <w:rPr>
      <w:rFonts w:ascii="Microsoft YaHei UI" w:hAnsi="Microsoft YaHei UI" w:eastAsia="MingLiU" w:cs="Arial Unicode MS"/>
      <w:kern w:val="0"/>
      <w:szCs w:val="20"/>
    </w:rPr>
  </w:style>
  <w:style w:type="paragraph" w:customStyle="1" w:styleId="194">
    <w:name w:val=" Char Char Char Char"/>
    <w:basedOn w:val="1"/>
    <w:qFormat/>
    <w:uiPriority w:val="0"/>
    <w:rPr>
      <w:rFonts w:ascii="Microsoft YaHei UI" w:hAnsi="Microsoft YaHei UI" w:eastAsia="MingLiU" w:cs="Arial Unicode MS"/>
      <w:szCs w:val="20"/>
    </w:rPr>
  </w:style>
  <w:style w:type="paragraph" w:customStyle="1" w:styleId="195">
    <w:name w:val="xl23"/>
    <w:basedOn w:val="1"/>
    <w:qFormat/>
    <w:uiPriority w:val="0"/>
    <w:pPr>
      <w:widowControl/>
      <w:spacing w:before="100" w:beforeAutospacing="1" w:after="100" w:afterAutospacing="1"/>
      <w:jc w:val="center"/>
    </w:pPr>
    <w:rPr>
      <w:rFonts w:ascii="MingLiU" w:hAnsi="MingLiU" w:eastAsia="MingLiU" w:cs="Arial Unicode MS"/>
      <w:kern w:val="0"/>
      <w:sz w:val="24"/>
    </w:rPr>
  </w:style>
  <w:style w:type="paragraph" w:customStyle="1" w:styleId="196">
    <w:name w:val="正文首行缩进1"/>
    <w:basedOn w:val="15"/>
    <w:qFormat/>
    <w:uiPriority w:val="0"/>
    <w:pPr>
      <w:widowControl w:val="0"/>
      <w:adjustRightInd w:val="0"/>
      <w:snapToGrid/>
      <w:spacing w:before="0" w:after="0" w:line="312" w:lineRule="auto"/>
      <w:ind w:right="0" w:firstLine="567"/>
      <w:textAlignment w:val="baseline"/>
    </w:pPr>
    <w:rPr>
      <w:rFonts w:ascii="Microsoft YaHei UI" w:hAnsi="Microsoft YaHei UI" w:eastAsia="MingLiU" w:cs="Arial Unicode MS"/>
      <w:sz w:val="28"/>
    </w:rPr>
  </w:style>
  <w:style w:type="paragraph" w:customStyle="1" w:styleId="197">
    <w:name w:val="标题  1"/>
    <w:basedOn w:val="1"/>
    <w:qFormat/>
    <w:uiPriority w:val="0"/>
    <w:pPr>
      <w:tabs>
        <w:tab w:val="left" w:pos="425"/>
      </w:tabs>
      <w:spacing w:line="360" w:lineRule="auto"/>
      <w:ind w:left="425" w:hanging="425"/>
    </w:pPr>
    <w:rPr>
      <w:rFonts w:ascii="Calibri Light" w:hAnsi="Calibri Light" w:eastAsia="MingLiU" w:cs="Arial Unicode MS"/>
      <w:sz w:val="24"/>
      <w:szCs w:val="20"/>
    </w:rPr>
  </w:style>
  <w:style w:type="paragraph" w:customStyle="1" w:styleId="198">
    <w:name w:val="1"/>
    <w:basedOn w:val="1"/>
    <w:next w:val="21"/>
    <w:qFormat/>
    <w:uiPriority w:val="0"/>
    <w:rPr>
      <w:rFonts w:ascii="MingLiU" w:hAnsi="汉鼎简书宋" w:eastAsia="MingLiU" w:cs="Arial Unicode MS"/>
      <w:szCs w:val="20"/>
    </w:rPr>
  </w:style>
  <w:style w:type="paragraph" w:customStyle="1" w:styleId="199">
    <w:name w:val="表文"/>
    <w:basedOn w:val="1"/>
    <w:qFormat/>
    <w:uiPriority w:val="0"/>
    <w:pPr>
      <w:ind w:firstLine="497" w:firstLineChars="200"/>
      <w:jc w:val="center"/>
    </w:pPr>
    <w:rPr>
      <w:rFonts w:ascii="Calibri" w:hAnsi="MingLiU" w:eastAsia="Calibri" w:cs="Arial Unicode MS"/>
      <w:spacing w:val="-8"/>
      <w:sz w:val="24"/>
      <w:szCs w:val="20"/>
      <w:lang w:val="zh-CN"/>
    </w:rPr>
  </w:style>
  <w:style w:type="paragraph" w:customStyle="1" w:styleId="200">
    <w:name w:val="表格式"/>
    <w:basedOn w:val="29"/>
    <w:qFormat/>
    <w:uiPriority w:val="0"/>
    <w:pPr>
      <w:spacing w:line="400" w:lineRule="exact"/>
      <w:ind w:left="0" w:firstLine="0" w:firstLineChars="0"/>
      <w:jc w:val="center"/>
    </w:pPr>
    <w:rPr>
      <w:rFonts w:ascii="MingLiU"/>
    </w:rPr>
  </w:style>
  <w:style w:type="paragraph" w:customStyle="1" w:styleId="201">
    <w:name w:val="表格内容居中"/>
    <w:qFormat/>
    <w:uiPriority w:val="0"/>
    <w:pPr>
      <w:adjustRightInd w:val="0"/>
      <w:snapToGrid w:val="0"/>
      <w:jc w:val="center"/>
    </w:pPr>
    <w:rPr>
      <w:rFonts w:ascii="Microsoft YaHei UI" w:hAnsi="Microsoft YaHei UI" w:eastAsia="MingLiU" w:cs="Arial Unicode MS"/>
      <w:snapToGrid w:val="0"/>
      <w:sz w:val="21"/>
      <w:lang w:val="en-US" w:eastAsia="zh-CN" w:bidi="ar-SA"/>
    </w:rPr>
  </w:style>
  <w:style w:type="paragraph" w:customStyle="1" w:styleId="202">
    <w:name w:val=" Char Char61 Char Char Char Char Char Char"/>
    <w:basedOn w:val="1"/>
    <w:next w:val="1"/>
    <w:qFormat/>
    <w:uiPriority w:val="0"/>
    <w:pPr>
      <w:spacing w:line="360" w:lineRule="auto"/>
      <w:ind w:firstLine="200" w:firstLineChars="200"/>
    </w:pPr>
    <w:rPr>
      <w:rFonts w:ascii="MingLiU" w:hAnsi="MingLiU" w:eastAsia="Verdana" w:cs="MingLiU"/>
      <w:sz w:val="24"/>
    </w:rPr>
  </w:style>
  <w:style w:type="paragraph" w:customStyle="1" w:styleId="203">
    <w:name w:val="样式 标题 2标题2Se节标题 1.11.1标题2条标题h2l22nd levelTitre22Heade..."/>
    <w:basedOn w:val="4"/>
    <w:qFormat/>
    <w:uiPriority w:val="0"/>
    <w:pPr>
      <w:keepNext w:val="0"/>
      <w:widowControl/>
      <w:spacing w:before="240" w:after="120" w:line="413" w:lineRule="auto"/>
    </w:pPr>
    <w:rPr>
      <w:rFonts w:ascii="MingLiU" w:hAnsi="仿宋_GB2312" w:eastAsia="Calibri" w:cs="Arial Unicode MS"/>
      <w:b w:val="0"/>
      <w:kern w:val="0"/>
      <w:sz w:val="28"/>
    </w:rPr>
  </w:style>
  <w:style w:type="paragraph" w:customStyle="1" w:styleId="204">
    <w:name w:val="Char1"/>
    <w:basedOn w:val="1"/>
    <w:qFormat/>
    <w:uiPriority w:val="0"/>
    <w:pPr>
      <w:spacing w:line="360" w:lineRule="auto"/>
    </w:pPr>
    <w:rPr>
      <w:rFonts w:ascii="Calibri Light" w:hAnsi="Calibri Light" w:eastAsia="MingLiU" w:cs="Arial Unicode MS"/>
      <w:sz w:val="24"/>
      <w:szCs w:val="20"/>
    </w:rPr>
  </w:style>
  <w:style w:type="paragraph" w:customStyle="1" w:styleId="205">
    <w:name w:val="样式 小四 首行缩进:  1.01 厘米 行距: 1.5 倍行距"/>
    <w:basedOn w:val="1"/>
    <w:qFormat/>
    <w:uiPriority w:val="0"/>
    <w:pPr>
      <w:adjustRightInd w:val="0"/>
      <w:snapToGrid w:val="0"/>
      <w:spacing w:line="360" w:lineRule="auto"/>
      <w:ind w:firstLine="200" w:firstLineChars="200"/>
    </w:pPr>
    <w:rPr>
      <w:rFonts w:ascii="Microsoft YaHei UI" w:hAnsi="Microsoft YaHei UI" w:eastAsia="MingLiU" w:cs="Arial Unicode MS"/>
      <w:snapToGrid w:val="0"/>
      <w:kern w:val="24"/>
      <w:sz w:val="24"/>
      <w:szCs w:val="20"/>
    </w:rPr>
  </w:style>
  <w:style w:type="paragraph" w:customStyle="1" w:styleId="206">
    <w:name w:val="样式3"/>
    <w:basedOn w:val="15"/>
    <w:qFormat/>
    <w:uiPriority w:val="0"/>
    <w:pPr>
      <w:widowControl w:val="0"/>
      <w:adjustRightInd w:val="0"/>
      <w:snapToGrid/>
      <w:spacing w:before="120" w:after="0" w:line="480" w:lineRule="exact"/>
      <w:ind w:right="0"/>
      <w:jc w:val="center"/>
      <w:textAlignment w:val="baseline"/>
    </w:pPr>
    <w:rPr>
      <w:rFonts w:ascii="Microsoft YaHei UI" w:hAnsi="Microsoft YaHei UI" w:eastAsia="Calibri" w:cs="Arial Unicode MS"/>
      <w:sz w:val="28"/>
    </w:rPr>
  </w:style>
  <w:style w:type="paragraph" w:customStyle="1" w:styleId="207">
    <w:name w:val="Char Char Char Char Char Char Char Char Char Char"/>
    <w:basedOn w:val="1"/>
    <w:qFormat/>
    <w:uiPriority w:val="0"/>
    <w:pPr>
      <w:spacing w:line="240" w:lineRule="exact"/>
      <w:ind w:firstLine="200" w:firstLineChars="200"/>
    </w:pPr>
    <w:rPr>
      <w:rFonts w:ascii="Microsoft YaHei UI" w:hAnsi="Microsoft YaHei UI" w:eastAsia="MingLiU" w:cs="Arial Unicode MS"/>
      <w:snapToGrid w:val="0"/>
      <w:color w:val="000000"/>
      <w:sz w:val="24"/>
      <w:szCs w:val="20"/>
    </w:rPr>
  </w:style>
  <w:style w:type="paragraph" w:customStyle="1" w:styleId="208">
    <w:name w:val="Char Char Char Char"/>
    <w:basedOn w:val="1"/>
    <w:qFormat/>
    <w:uiPriority w:val="0"/>
    <w:rPr>
      <w:rFonts w:ascii="Microsoft YaHei UI" w:hAnsi="Microsoft YaHei UI" w:eastAsia="MingLiU" w:cs="Arial Unicode MS"/>
      <w:szCs w:val="20"/>
    </w:rPr>
  </w:style>
  <w:style w:type="paragraph" w:customStyle="1" w:styleId="209">
    <w:name w:val="正文曹"/>
    <w:basedOn w:val="19"/>
    <w:qFormat/>
    <w:uiPriority w:val="0"/>
    <w:pPr>
      <w:spacing w:after="0" w:line="440" w:lineRule="exact"/>
      <w:ind w:left="0" w:leftChars="0" w:firstLine="482"/>
    </w:pPr>
    <w:rPr>
      <w:rFonts w:ascii="Arial Unicode MS" w:hAnsi="Arial Unicode MS" w:eastAsia="MingLiU" w:cs="Arial Unicode MS"/>
      <w:spacing w:val="-10"/>
      <w:sz w:val="20"/>
      <w:szCs w:val="21"/>
    </w:rPr>
  </w:style>
  <w:style w:type="paragraph" w:customStyle="1" w:styleId="210">
    <w:name w:val="Char Char Char Char Char Char Char Char Char"/>
    <w:basedOn w:val="1"/>
    <w:qFormat/>
    <w:uiPriority w:val="0"/>
    <w:rPr>
      <w:rFonts w:ascii="Microsoft YaHei UI" w:hAnsi="Microsoft YaHei UI" w:eastAsia="MingLiU" w:cs="Arial Unicode MS"/>
      <w:sz w:val="24"/>
      <w:szCs w:val="20"/>
    </w:rPr>
  </w:style>
  <w:style w:type="paragraph" w:customStyle="1" w:styleId="211">
    <w:name w:val="Char Char Char1 Char"/>
    <w:basedOn w:val="1"/>
    <w:next w:val="1"/>
    <w:qFormat/>
    <w:uiPriority w:val="0"/>
    <w:pPr>
      <w:spacing w:line="360" w:lineRule="auto"/>
      <w:ind w:firstLine="200" w:firstLineChars="200"/>
    </w:pPr>
    <w:rPr>
      <w:rFonts w:ascii="MingLiU" w:hAnsi="MingLiU" w:eastAsia="Verdana" w:cs="MingLiU"/>
      <w:sz w:val="24"/>
    </w:rPr>
  </w:style>
  <w:style w:type="paragraph" w:customStyle="1" w:styleId="212">
    <w:name w:val="表中文字"/>
    <w:basedOn w:val="1"/>
    <w:qFormat/>
    <w:uiPriority w:val="0"/>
    <w:pPr>
      <w:spacing w:line="240" w:lineRule="exact"/>
      <w:jc w:val="center"/>
    </w:pPr>
    <w:rPr>
      <w:rFonts w:ascii="MingLiU" w:hAnsi="MingLiU" w:eastAsia="MingLiU" w:cs="Arial Unicode MS"/>
      <w:szCs w:val="20"/>
    </w:rPr>
  </w:style>
  <w:style w:type="paragraph" w:customStyle="1" w:styleId="213">
    <w:name w:val="表格文字"/>
    <w:basedOn w:val="1"/>
    <w:next w:val="1"/>
    <w:qFormat/>
    <w:uiPriority w:val="0"/>
    <w:pPr>
      <w:snapToGrid w:val="0"/>
      <w:spacing w:line="360" w:lineRule="exact"/>
      <w:jc w:val="center"/>
    </w:pPr>
    <w:rPr>
      <w:rFonts w:ascii="Microsoft YaHei UI" w:hAnsi="Microsoft YaHei UI" w:eastAsia="MingLiU" w:cs="Arial Unicode MS"/>
      <w:kern w:val="0"/>
      <w:sz w:val="24"/>
      <w:szCs w:val="20"/>
    </w:rPr>
  </w:style>
  <w:style w:type="paragraph" w:customStyle="1" w:styleId="214">
    <w:name w:val="正文内容"/>
    <w:basedOn w:val="1"/>
    <w:qFormat/>
    <w:uiPriority w:val="0"/>
    <w:pPr>
      <w:spacing w:line="360" w:lineRule="auto"/>
      <w:ind w:firstLine="200" w:firstLineChars="200"/>
    </w:pPr>
    <w:rPr>
      <w:rFonts w:ascii="Microsoft YaHei UI" w:hAnsi="Microsoft YaHei UI" w:eastAsia="MingLiU" w:cs="Arial Unicode MS"/>
      <w:sz w:val="24"/>
    </w:rPr>
  </w:style>
  <w:style w:type="table" w:customStyle="1" w:styleId="215">
    <w:name w:val="网格型（pxg）1"/>
    <w:basedOn w:val="38"/>
    <w:qFormat/>
    <w:uiPriority w:val="0"/>
    <w:pPr>
      <w:widowControl w:val="0"/>
      <w:jc w:val="both"/>
    </w:pPr>
    <w:rPr>
      <w:rFonts w:ascii="Arial Unicode MS" w:hAnsi="Arial Unicode MS" w:eastAsia="MingLiU" w:cs="Arial Unicode M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16">
    <w:name w:val="样式 小四 红色 居中 行距: 固定值 16 磅"/>
    <w:basedOn w:val="1"/>
    <w:qFormat/>
    <w:uiPriority w:val="0"/>
    <w:pPr>
      <w:spacing w:line="360" w:lineRule="exact"/>
      <w:jc w:val="center"/>
    </w:pPr>
    <w:rPr>
      <w:rFonts w:cs="宋体"/>
      <w:color w:val="000000"/>
      <w:szCs w:val="20"/>
    </w:rPr>
  </w:style>
  <w:style w:type="character" w:customStyle="1" w:styleId="217">
    <w:name w:val="表格内容 Char Char"/>
    <w:qFormat/>
    <w:uiPriority w:val="0"/>
    <w:rPr>
      <w:rFonts w:ascii="Times New Roman" w:hAnsi="Times New Roman"/>
      <w:color w:val="000000"/>
      <w:sz w:val="21"/>
      <w:szCs w:val="24"/>
      <w:lang w:val="en-US" w:eastAsia="zh-CN" w:bidi="ar-SA"/>
    </w:rPr>
  </w:style>
  <w:style w:type="paragraph" w:customStyle="1" w:styleId="218">
    <w:name w:val="内容11"/>
    <w:basedOn w:val="21"/>
    <w:qFormat/>
    <w:uiPriority w:val="0"/>
    <w:pPr>
      <w:adjustRightInd w:val="0"/>
      <w:spacing w:line="360" w:lineRule="auto"/>
      <w:ind w:right="-92" w:rightChars="-44" w:firstLine="415" w:firstLineChars="179"/>
      <w:textAlignment w:val="baseline"/>
    </w:pPr>
    <w:rPr>
      <w:rFonts w:ascii="宋体" w:hAnsi="宋体" w:eastAsia="宋体" w:cs="宋体"/>
      <w:color w:val="auto"/>
      <w:spacing w:val="-4"/>
      <w:position w:val="6"/>
      <w:sz w:val="24"/>
      <w:szCs w:val="24"/>
      <w:lang w:val="en-US" w:eastAsia="zh-CN"/>
    </w:rPr>
  </w:style>
  <w:style w:type="paragraph" w:customStyle="1" w:styleId="219">
    <w:name w:val="CEE正文"/>
    <w:basedOn w:val="1"/>
    <w:qFormat/>
    <w:uiPriority w:val="0"/>
    <w:pPr>
      <w:spacing w:line="312" w:lineRule="auto"/>
      <w:ind w:firstLine="200" w:firstLineChars="200"/>
    </w:pPr>
    <w:rPr>
      <w:rFonts w:ascii="Calibri" w:hAnsi="Calibri"/>
      <w:kern w:val="0"/>
      <w:szCs w:val="20"/>
    </w:rPr>
  </w:style>
  <w:style w:type="paragraph" w:customStyle="1" w:styleId="220">
    <w:name w:val="_Style 74"/>
    <w:basedOn w:val="1"/>
    <w:next w:val="1"/>
    <w:qFormat/>
    <w:uiPriority w:val="39"/>
    <w:pPr>
      <w:ind w:left="210"/>
      <w:jc w:val="left"/>
    </w:pPr>
    <w:rPr>
      <w:smallCaps/>
      <w:sz w:val="20"/>
      <w:szCs w:val="20"/>
    </w:rPr>
  </w:style>
  <w:style w:type="character" w:customStyle="1" w:styleId="221">
    <w:name w:val="表格居中 Char Char"/>
    <w:qFormat/>
    <w:uiPriority w:val="0"/>
    <w:rPr>
      <w:rFonts w:ascii="Times New Roman" w:hAnsi="Times New Roman"/>
      <w:sz w:val="24"/>
      <w:szCs w:val="24"/>
      <w:lang w:val="en-US" w:eastAsia="zh-CN" w:bidi="ar-SA"/>
    </w:rPr>
  </w:style>
  <w:style w:type="character" w:customStyle="1" w:styleId="222">
    <w:name w:val="标题 4 字符"/>
    <w:qFormat/>
    <w:uiPriority w:val="0"/>
    <w:rPr>
      <w:b/>
      <w:bCs/>
      <w:sz w:val="24"/>
      <w:szCs w:val="28"/>
      <w:lang w:val="en-GB" w:bidi="ar-SA"/>
    </w:rPr>
  </w:style>
  <w:style w:type="paragraph" w:customStyle="1" w:styleId="223">
    <w:name w:val="A-表格文字"/>
    <w:basedOn w:val="1"/>
    <w:next w:val="224"/>
    <w:qFormat/>
    <w:uiPriority w:val="0"/>
    <w:pPr>
      <w:autoSpaceDE w:val="0"/>
      <w:autoSpaceDN w:val="0"/>
      <w:adjustRightInd w:val="0"/>
      <w:spacing w:line="240" w:lineRule="auto"/>
      <w:ind w:firstLine="0" w:firstLineChars="0"/>
      <w:jc w:val="center"/>
      <w:textAlignment w:val="center"/>
    </w:pPr>
    <w:rPr>
      <w:kern w:val="0"/>
      <w:sz w:val="21"/>
      <w:szCs w:val="21"/>
    </w:rPr>
  </w:style>
  <w:style w:type="paragraph" w:customStyle="1" w:styleId="224">
    <w:name w:val="A-z正文"/>
    <w:basedOn w:val="1"/>
    <w:next w:val="225"/>
    <w:link w:val="226"/>
    <w:qFormat/>
    <w:uiPriority w:val="0"/>
    <w:rPr>
      <w:rFonts w:cs="宋体"/>
      <w:szCs w:val="20"/>
    </w:rPr>
  </w:style>
  <w:style w:type="paragraph" w:customStyle="1" w:styleId="225">
    <w:name w:val="Body text|1"/>
    <w:basedOn w:val="1"/>
    <w:qFormat/>
    <w:uiPriority w:val="0"/>
    <w:pPr>
      <w:widowControl w:val="0"/>
      <w:shd w:val="clear" w:color="auto" w:fill="auto"/>
      <w:spacing w:line="480" w:lineRule="auto"/>
      <w:ind w:firstLine="400"/>
    </w:pPr>
    <w:rPr>
      <w:rFonts w:ascii="宋体" w:hAnsi="宋体" w:eastAsia="宋体" w:cs="宋体"/>
      <w:sz w:val="26"/>
      <w:szCs w:val="26"/>
      <w:u w:val="none"/>
      <w:shd w:val="clear" w:color="auto" w:fill="auto"/>
      <w:lang w:val="zh-TW" w:eastAsia="zh-TW" w:bidi="zh-TW"/>
    </w:rPr>
  </w:style>
  <w:style w:type="character" w:customStyle="1" w:styleId="226">
    <w:name w:val="A-z正文 Char"/>
    <w:link w:val="224"/>
    <w:qFormat/>
    <w:uiPriority w:val="0"/>
    <w:rPr>
      <w:rFonts w:cs="宋体"/>
      <w:szCs w:val="20"/>
    </w:rPr>
  </w:style>
  <w:style w:type="paragraph" w:customStyle="1" w:styleId="227">
    <w:name w:val="高正文"/>
    <w:basedOn w:val="1"/>
    <w:qFormat/>
    <w:uiPriority w:val="0"/>
    <w:pPr>
      <w:spacing w:line="480" w:lineRule="exact"/>
      <w:ind w:firstLine="200" w:firstLineChars="200"/>
    </w:pPr>
    <w:rPr>
      <w:rFonts w:ascii="宋体" w:hAnsi="宋体" w:cs="宋体"/>
      <w:sz w:val="24"/>
      <w:szCs w:val="22"/>
    </w:rPr>
  </w:style>
  <w:style w:type="paragraph" w:customStyle="1" w:styleId="228">
    <w:name w:val="长江报告表正文"/>
    <w:basedOn w:val="176"/>
    <w:qFormat/>
    <w:uiPriority w:val="0"/>
    <w:pPr>
      <w:spacing w:line="480" w:lineRule="atLeast"/>
      <w:ind w:firstLine="200" w:firstLineChars="200"/>
    </w:pPr>
    <w:rPr>
      <w:sz w:val="24"/>
      <w:szCs w:val="22"/>
      <w:lang w:val="zh-CN"/>
    </w:rPr>
  </w:style>
  <w:style w:type="paragraph" w:customStyle="1" w:styleId="229">
    <w:name w:val="报告正文"/>
    <w:basedOn w:val="1"/>
    <w:next w:val="1"/>
    <w:qFormat/>
    <w:uiPriority w:val="0"/>
    <w:pPr>
      <w:spacing w:line="360" w:lineRule="auto"/>
    </w:pPr>
    <w:rPr>
      <w:sz w:val="24"/>
    </w:rPr>
  </w:style>
  <w:style w:type="paragraph" w:customStyle="1" w:styleId="230">
    <w:name w:val="德源报告表正文"/>
    <w:basedOn w:val="13"/>
    <w:qFormat/>
    <w:uiPriority w:val="0"/>
    <w:pPr>
      <w:spacing w:line="480" w:lineRule="exact"/>
      <w:ind w:firstLine="510"/>
      <w:jc w:val="both"/>
    </w:pPr>
  </w:style>
  <w:style w:type="paragraph" w:customStyle="1" w:styleId="231">
    <w:name w:val="Table Paragraph"/>
    <w:basedOn w:val="1"/>
    <w:qFormat/>
    <w:uiPriority w:val="1"/>
    <w:pPr>
      <w:autoSpaceDE w:val="0"/>
      <w:autoSpaceDN w:val="0"/>
      <w:jc w:val="left"/>
    </w:pPr>
    <w:rPr>
      <w:rFonts w:ascii="宋体" w:hAnsi="宋体" w:cs="宋体"/>
      <w:kern w:val="0"/>
      <w:sz w:val="22"/>
      <w:szCs w:val="22"/>
      <w:lang w:eastAsia="en-US"/>
    </w:rPr>
  </w:style>
  <w:style w:type="paragraph" w:customStyle="1" w:styleId="232">
    <w:name w:val="普通(网站)1"/>
    <w:basedOn w:val="1"/>
    <w:qFormat/>
    <w:uiPriority w:val="0"/>
    <w:pPr>
      <w:widowControl/>
      <w:spacing w:before="100" w:beforeAutospacing="1" w:after="100" w:afterAutospacing="1"/>
      <w:jc w:val="left"/>
    </w:pPr>
    <w:rPr>
      <w:rFonts w:ascii="宋体" w:hAnsi="宋体" w:cs="宋体"/>
      <w:kern w:val="0"/>
      <w:sz w:val="24"/>
    </w:rPr>
  </w:style>
  <w:style w:type="paragraph" w:customStyle="1" w:styleId="233">
    <w:name w:val="...正文"/>
    <w:basedOn w:val="234"/>
    <w:qFormat/>
    <w:uiPriority w:val="0"/>
    <w:pPr>
      <w:ind w:firstLine="200" w:firstLineChars="200"/>
    </w:pPr>
    <w:rPr>
      <w:sz w:val="24"/>
    </w:rPr>
  </w:style>
  <w:style w:type="paragraph" w:customStyle="1" w:styleId="234">
    <w:name w:val="——"/>
    <w:basedOn w:val="235"/>
    <w:qFormat/>
    <w:uiPriority w:val="0"/>
    <w:pPr>
      <w:ind w:left="0" w:firstLine="660" w:firstLineChars="300"/>
    </w:pPr>
  </w:style>
  <w:style w:type="paragraph" w:customStyle="1" w:styleId="235">
    <w:name w:val="Texte"/>
    <w:basedOn w:val="1"/>
    <w:qFormat/>
    <w:uiPriority w:val="0"/>
    <w:pPr>
      <w:widowControl/>
      <w:spacing w:before="120" w:after="120" w:line="480" w:lineRule="exact"/>
      <w:ind w:left="851" w:firstLine="200" w:firstLineChars="200"/>
    </w:pPr>
    <w:rPr>
      <w:rFonts w:ascii="Arial" w:hAnsi="Arial"/>
      <w:kern w:val="0"/>
      <w:sz w:val="22"/>
      <w:lang w:val="en-GB"/>
    </w:rPr>
  </w:style>
  <w:style w:type="character" w:customStyle="1" w:styleId="236">
    <w:name w:val="报告书正文 Char"/>
    <w:link w:val="237"/>
    <w:qFormat/>
    <w:uiPriority w:val="0"/>
    <w:rPr>
      <w:spacing w:val="5"/>
      <w:sz w:val="24"/>
      <w:szCs w:val="25"/>
      <w:lang w:val="zh-CN"/>
    </w:rPr>
  </w:style>
  <w:style w:type="paragraph" w:customStyle="1" w:styleId="237">
    <w:name w:val="报告书正文"/>
    <w:basedOn w:val="1"/>
    <w:link w:val="236"/>
    <w:qFormat/>
    <w:uiPriority w:val="0"/>
    <w:pPr>
      <w:spacing w:line="360" w:lineRule="auto"/>
      <w:ind w:firstLine="480" w:firstLineChars="200"/>
    </w:pPr>
    <w:rPr>
      <w:spacing w:val="5"/>
      <w:sz w:val="24"/>
      <w:szCs w:val="25"/>
      <w:lang w:val="zh-CN"/>
    </w:rPr>
  </w:style>
  <w:style w:type="paragraph" w:customStyle="1" w:styleId="238">
    <w:name w:val="环评正文"/>
    <w:basedOn w:val="1"/>
    <w:qFormat/>
    <w:uiPriority w:val="0"/>
    <w:pPr>
      <w:spacing w:line="480" w:lineRule="exact"/>
      <w:ind w:firstLine="200" w:firstLineChars="200"/>
    </w:pPr>
    <w:rPr>
      <w:sz w:val="24"/>
      <w:szCs w:val="44"/>
    </w:rPr>
  </w:style>
  <w:style w:type="paragraph" w:customStyle="1" w:styleId="239">
    <w:name w:val="z报告书正文  小四1.5倍"/>
    <w:basedOn w:val="1"/>
    <w:qFormat/>
    <w:uiPriority w:val="0"/>
    <w:pPr>
      <w:spacing w:line="360" w:lineRule="auto"/>
      <w:ind w:firstLine="480" w:firstLineChars="200"/>
    </w:pPr>
    <w:rPr>
      <w:kern w:val="0"/>
      <w:sz w:val="24"/>
      <w:szCs w:val="21"/>
      <w:lang w:val="zh-CN"/>
    </w:rPr>
  </w:style>
  <w:style w:type="character" w:customStyle="1" w:styleId="240">
    <w:name w:val="normal1"/>
    <w:basedOn w:val="40"/>
    <w:qFormat/>
    <w:uiPriority w:val="0"/>
    <w:rPr>
      <w:sz w:val="19"/>
      <w:szCs w:val="19"/>
    </w:rPr>
  </w:style>
  <w:style w:type="paragraph" w:customStyle="1" w:styleId="241">
    <w:name w:val="表格正文"/>
    <w:basedOn w:val="1"/>
    <w:next w:val="1"/>
    <w:qFormat/>
    <w:uiPriority w:val="0"/>
    <w:pPr>
      <w:spacing w:line="320" w:lineRule="exact"/>
      <w:jc w:val="center"/>
    </w:pPr>
    <w:rPr>
      <w:szCs w:val="24"/>
    </w:rPr>
  </w:style>
  <w:style w:type="paragraph" w:customStyle="1" w:styleId="242">
    <w:name w:val="正文文字 6"/>
    <w:next w:val="1"/>
    <w:qFormat/>
    <w:uiPriority w:val="0"/>
    <w:pPr>
      <w:widowControl w:val="0"/>
      <w:ind w:left="240"/>
      <w:jc w:val="both"/>
    </w:pPr>
    <w:rPr>
      <w:rFonts w:ascii="宋体" w:hAnsi="Calibri" w:eastAsia="宋体" w:cs="Times New Roman"/>
      <w:b/>
      <w:bCs/>
      <w:kern w:val="2"/>
      <w:sz w:val="32"/>
      <w:szCs w:val="32"/>
      <w:lang w:val="en-US" w:eastAsia="zh-CN" w:bidi="ar-SA"/>
    </w:rPr>
  </w:style>
  <w:style w:type="paragraph" w:customStyle="1" w:styleId="243">
    <w:name w:val="表格_正文"/>
    <w:qFormat/>
    <w:uiPriority w:val="0"/>
    <w:pPr>
      <w:widowControl w:val="0"/>
      <w:adjustRightInd w:val="0"/>
      <w:snapToGrid w:val="0"/>
      <w:spacing w:line="440" w:lineRule="atLeast"/>
      <w:jc w:val="center"/>
    </w:pPr>
    <w:rPr>
      <w:rFonts w:ascii="宋体" w:hAnsi="宋体" w:eastAsia="楷体_GB2312" w:cs="Times New Roman"/>
      <w:bCs/>
      <w:spacing w:val="4"/>
      <w:kern w:val="2"/>
      <w:sz w:val="21"/>
      <w:szCs w:val="28"/>
      <w:lang w:val="en-US" w:eastAsia="zh-CN" w:bidi="ar-SA"/>
    </w:rPr>
  </w:style>
  <w:style w:type="paragraph" w:customStyle="1" w:styleId="244">
    <w:name w:val="表格格式"/>
    <w:basedOn w:val="1"/>
    <w:next w:val="1"/>
    <w:qFormat/>
    <w:uiPriority w:val="0"/>
    <w:pPr>
      <w:widowControl w:val="0"/>
      <w:spacing w:line="240" w:lineRule="auto"/>
      <w:jc w:val="center"/>
      <w:textAlignment w:val="auto"/>
    </w:pPr>
    <w:rPr>
      <w:snapToGrid w:val="0"/>
      <w:color w:val="auto"/>
    </w:rPr>
  </w:style>
  <w:style w:type="paragraph" w:customStyle="1" w:styleId="245">
    <w:name w:val="报告表正文"/>
    <w:basedOn w:val="1"/>
    <w:qFormat/>
    <w:uiPriority w:val="0"/>
    <w:pPr>
      <w:spacing w:line="360" w:lineRule="auto"/>
      <w:ind w:firstLine="560" w:firstLineChars="200"/>
    </w:pPr>
    <w:rPr>
      <w:rFonts w:ascii="Times New Roman" w:hAnsi="Times New Roman"/>
      <w:sz w:val="24"/>
      <w:szCs w:val="20"/>
    </w:rPr>
  </w:style>
  <w:style w:type="paragraph" w:customStyle="1" w:styleId="246">
    <w:name w:val="正文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247">
    <w:name w:val="长江报告表表格"/>
    <w:basedOn w:val="1"/>
    <w:qFormat/>
    <w:uiPriority w:val="0"/>
    <w:pPr>
      <w:spacing w:line="360" w:lineRule="atLeast"/>
      <w:jc w:val="center"/>
    </w:pPr>
    <w:rPr>
      <w:szCs w:val="22"/>
    </w:rPr>
  </w:style>
  <w:style w:type="paragraph" w:customStyle="1" w:styleId="248">
    <w:name w:val="表格内-MB"/>
    <w:basedOn w:val="1"/>
    <w:qFormat/>
    <w:uiPriority w:val="0"/>
    <w:pPr>
      <w:contextualSpacing/>
      <w:jc w:val="center"/>
    </w:p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6" Type="http://schemas.openxmlformats.org/officeDocument/2006/relationships/fontTable" Target="fontTable.xml"/><Relationship Id="rId35" Type="http://schemas.openxmlformats.org/officeDocument/2006/relationships/customXml" Target="../customXml/item2.xml"/><Relationship Id="rId34" Type="http://schemas.openxmlformats.org/officeDocument/2006/relationships/numbering" Target="numbering.xml"/><Relationship Id="rId33" Type="http://schemas.openxmlformats.org/officeDocument/2006/relationships/customXml" Target="../customXml/item1.xml"/><Relationship Id="rId32" Type="http://schemas.openxmlformats.org/officeDocument/2006/relationships/image" Target="media/image26.png"/><Relationship Id="rId31" Type="http://schemas.openxmlformats.org/officeDocument/2006/relationships/image" Target="media/image25.png"/><Relationship Id="rId30" Type="http://schemas.openxmlformats.org/officeDocument/2006/relationships/image" Target="media/image24.png"/><Relationship Id="rId3" Type="http://schemas.openxmlformats.org/officeDocument/2006/relationships/footer" Target="footer1.xml"/><Relationship Id="rId29" Type="http://schemas.openxmlformats.org/officeDocument/2006/relationships/image" Target="media/image23.png"/><Relationship Id="rId28" Type="http://schemas.openxmlformats.org/officeDocument/2006/relationships/image" Target="media/image22.jpeg"/><Relationship Id="rId27" Type="http://schemas.openxmlformats.org/officeDocument/2006/relationships/image" Target="media/image21.jpeg"/><Relationship Id="rId26" Type="http://schemas.openxmlformats.org/officeDocument/2006/relationships/image" Target="media/image20.png"/><Relationship Id="rId25" Type="http://schemas.openxmlformats.org/officeDocument/2006/relationships/image" Target="media/image19.png"/><Relationship Id="rId24" Type="http://schemas.openxmlformats.org/officeDocument/2006/relationships/image" Target="media/image18.png"/><Relationship Id="rId23" Type="http://schemas.openxmlformats.org/officeDocument/2006/relationships/image" Target="media/image17.png"/><Relationship Id="rId22" Type="http://schemas.openxmlformats.org/officeDocument/2006/relationships/image" Target="media/image16.png"/><Relationship Id="rId21" Type="http://schemas.openxmlformats.org/officeDocument/2006/relationships/image" Target="media/image15.png"/><Relationship Id="rId20" Type="http://schemas.openxmlformats.org/officeDocument/2006/relationships/image" Target="media/image14.png"/><Relationship Id="rId2" Type="http://schemas.openxmlformats.org/officeDocument/2006/relationships/settings" Target="settings.xml"/><Relationship Id="rId19" Type="http://schemas.openxmlformats.org/officeDocument/2006/relationships/image" Target="media/image13.png"/><Relationship Id="rId18" Type="http://schemas.openxmlformats.org/officeDocument/2006/relationships/image" Target="media/image12.png"/><Relationship Id="rId17" Type="http://schemas.openxmlformats.org/officeDocument/2006/relationships/image" Target="media/image11.png"/><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contractReview xmlns="http://schemas.wps.cn/vas-ai-hub/contract-review">
  <reviewItems>
    <reviewItem>
      <errorID>c202d724-d36b-478e-a2d1-f82ad8fb0321</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17DCF05A</paraID>
      <start>32</start>
      <end>33</end>
      <status>unmodified</status>
      <modifiedWord/>
      <trackRevisions>false</trackRevisions>
    </reviewItem>
    <reviewItem>
      <errorID>c5fe2cf2-f7a6-49d4-8c41-428f272037e9</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390D38B0</paraID>
      <start>34</start>
      <end>35</end>
      <status>unmodified</status>
      <modifiedWord/>
      <trackRevisions>false</trackRevisions>
    </reviewItem>
    <reviewItem>
      <errorID>7d37ae45-55b3-4bea-b6ee-b022fc856028</errorID>
      <errorWord>&lt;</errorWord>
      <group>L1_Format</group>
      <groupName>格式问题</groupName>
      <ability>L2_HalfPunc</ability>
      <abilityName>全半角检查</abilityName>
      <candidateList>
        <item>〈</item>
      </candidateList>
      <explain>文本全半角错误。</explain>
      <paraID>7D72A661</paraID>
      <start>8</start>
      <end>9</end>
      <status>unmodified</status>
      <modifiedWord/>
      <trackRevisions>false</trackRevisions>
    </reviewItem>
    <reviewItem>
      <errorID>c9319253-816c-41e2-a70c-08f746f5a397</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7D72A661</paraID>
      <start>35</start>
      <end>36</end>
      <status>unmodified</status>
      <modifiedWord/>
      <trackRevisions>false</trackRevisions>
    </reviewItem>
    <reviewItem>
      <errorID>5f0862df-b1d7-41e1-86a6-641fd5dd90c3</errorID>
      <errorWord>&gt;</errorWord>
      <group>L1_Format</group>
      <groupName>格式问题</groupName>
      <ability>L2_HalfPunc</ability>
      <abilityName>全半角检查</abilityName>
      <candidateList>
        <item>〉</item>
      </candidateList>
      <explain>文本全半角错误。</explain>
      <paraID>7D72A661</paraID>
      <start>49</start>
      <end>50</end>
      <status>unmodified</status>
      <modifiedWord/>
      <trackRevisions>false</trackRevisions>
    </reviewItem>
    <reviewItem>
      <errorID>4fbc65e6-7c8a-4ddb-abc5-d041532877f7</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56A49DDC</paraID>
      <start>0</start>
      <end>2</end>
      <status>unmodified</status>
      <modifiedWord/>
      <trackRevisions>false</trackRevisions>
    </reviewItem>
    <reviewItem>
      <errorID>be1236fa-9365-4543-a7d4-8abe1f4fe47d</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63B4AE3B</paraID>
      <start>0</start>
      <end>2</end>
      <status>unmodified</status>
      <modifiedWord/>
      <trackRevisions>false</trackRevisions>
    </reviewItem>
    <reviewItem>
      <errorID>495d3026-62ff-4c9b-86b3-5781644567d1</errorID>
      <errorWord>符和</errorWord>
      <group>L1_AI</group>
      <groupName>深度校对</groupName>
      <ability>L2_AI_Word</ability>
      <abilityName>字词纠错</abilityName>
      <candidateList>
        <item>符合</item>
      </candidateList>
      <explain/>
      <paraID>57094409</paraID>
      <start>19</start>
      <end>21</end>
      <status>modified</status>
      <modifiedWord>符合</modifiedWord>
      <trackRevisions>false</trackRevisions>
    </reviewItem>
    <reviewItem>
      <errorID>e34a7d11-bf3b-4faf-a2f8-badf32c6bc8b</errorID>
      <errorWord>控制及</errorWord>
      <group>L1_Word</group>
      <groupName>字词问题</groupName>
      <ability>L2_Typo</ability>
      <abilityName>字词错误</abilityName>
      <candidateList>
        <item>控制</item>
      </candidateList>
      <explain/>
      <paraID>3D96D097</paraID>
      <start>120</start>
      <end>123</end>
      <status>unmodified</status>
      <modifiedWord/>
      <trackRevisions>false</trackRevisions>
    </reviewItem>
    <reviewItem>
      <errorID>8161962a-a823-4efc-9317-a54e97c12f61</errorID>
      <errorWord>上线</errorWord>
      <group>L1_Word</group>
      <groupName>字词问题</groupName>
      <ability>L2_Typo</ability>
      <abilityName>字词错误</abilityName>
      <candidateList>
        <item>上限</item>
      </candidateList>
      <explain/>
      <paraID>31B2002E</paraID>
      <start>6</start>
      <end>8</end>
      <status>unmodified</status>
      <modifiedWord/>
      <trackRevisions>false</trackRevisions>
    </reviewItem>
    <reviewItem>
      <errorID>a5de672e-4704-4b65-8e60-0e41a66be84a</errorID>
      <errorWord>管控区</errorWord>
      <group>L1_Word</group>
      <groupName>字词问题</groupName>
      <ability>L2_Typo</ability>
      <abilityName>字词错误</abilityName>
      <candidateList>
        <item>管控</item>
      </candidateList>
      <explain/>
      <paraID>1B36ED32</paraID>
      <start>115</start>
      <end>118</end>
      <status>unmodified</status>
      <modifiedWord/>
      <trackRevisions>false</trackRevisions>
    </reviewItem>
    <reviewItem>
      <errorID>74a4fc21-6997-4534-847d-f710d5945a5d</errorID>
      <errorWord>[2015]4号</errorWord>
      <group>L1_Knowledge</group>
      <groupName>知识性问题</groupName>
      <ability>L2_Knowledge</ability>
      <abilityName>其他知识</abilityName>
      <candidateList>
        <item>〔2015〕4号</item>
      </candidateList>
      <explain>发文字号格式错误。</explain>
      <paraID> B889741</paraID>
      <start>41</start>
      <end>49</end>
      <status>unmodified</status>
      <modifiedWord/>
      <trackRevisions>false</trackRevisions>
    </reviewItem>
    <reviewItem>
      <errorID>8a807359-7866-47f8-9d5b-108f399acfa4</errorID>
      <errorWord>[2016]166号</errorWord>
      <group>L1_Knowledge</group>
      <groupName>知识性问题</groupName>
      <ability>L2_Knowledge</ability>
      <abilityName>其他知识</abilityName>
      <candidateList>
        <item>〔2016〕166号</item>
      </candidateList>
      <explain>发文字号格式错误。</explain>
      <paraID>1F4FD14C</paraID>
      <start>35</start>
      <end>45</end>
      <status>unmodified</status>
      <modifiedWord/>
      <trackRevisions>false</trackRevisions>
    </reviewItem>
    <reviewItem>
      <errorID>07bfa2cf-b138-4b93-a144-66199839dbc9</errorID>
      <errorWord>[2018]4号</errorWord>
      <group>L1_Knowledge</group>
      <groupName>知识性问题</groupName>
      <ability>L2_Knowledge</ability>
      <abilityName>其他知识</abilityName>
      <candidateList>
        <item>〔2018〕4号</item>
      </candidateList>
      <explain>发文字号格式错误。</explain>
      <paraID>33EBCD85</paraID>
      <start>37</start>
      <end>45</end>
      <status>unmodified</status>
      <modifiedWord/>
      <trackRevisions>false</trackRevisions>
    </reviewItem>
    <reviewItem>
      <errorID>8dc5b616-5bb4-4674-956f-573f55fcd827</errorID>
      <errorWord>[2018]46号</errorWord>
      <group>L1_Knowledge</group>
      <groupName>知识性问题</groupName>
      <ability>L2_Knowledge</ability>
      <abilityName>其他知识</abilityName>
      <candidateList>
        <item>〔2018〕46号</item>
      </candidateList>
      <explain>发文字号格式错误。</explain>
      <paraID>316539FD</paraID>
      <start>37</start>
      <end>46</end>
      <status>unmodified</status>
      <modifiedWord/>
      <trackRevisions>false</trackRevisions>
    </reviewItem>
    <reviewItem>
      <errorID>bf545549-56cb-40cf-8650-95fc87ef1ecb</errorID>
      <errorWord>[2018]106号</errorWord>
      <group>L1_Knowledge</group>
      <groupName>知识性问题</groupName>
      <ability>L2_Knowledge</ability>
      <abilityName>其他知识</abilityName>
      <candidateList>
        <item>〔2018〕106号</item>
      </candidateList>
      <explain>发文字号格式错误。</explain>
      <paraID>651712AC</paraID>
      <start>28</start>
      <end>38</end>
      <status>unmodified</status>
      <modifiedWord/>
      <trackRevisions>false</trackRevisions>
    </reviewItem>
    <reviewItem>
      <errorID>79aed9ba-39ad-4b1d-9c05-9e6771b870dc</errorID>
      <errorWord>[2018]114号</errorWord>
      <group>L1_Knowledge</group>
      <groupName>知识性问题</groupName>
      <ability>L2_Knowledge</ability>
      <abilityName>其他知识</abilityName>
      <candidateList>
        <item>〔2018〕114号</item>
      </candidateList>
      <explain>发文字号格式错误。</explain>
      <paraID>49012BFE</paraID>
      <start>32</start>
      <end>42</end>
      <status>unmodified</status>
      <modifiedWord/>
      <trackRevisions>false</trackRevisions>
    </reviewItem>
    <reviewItem>
      <errorID>07a80f2c-e1b1-4677-b65d-512fbebab141</errorID>
      <errorWord>[2018]</errorWord>
      <group>L1_Punc</group>
      <groupName>标点问题</groupName>
      <ability>L2_Punc</ability>
      <abilityName>标点符号检查</abilityName>
      <candidateList>
        <item>〔2018〕</item>
      </candidateList>
      <explain/>
      <paraID>2337553F</paraID>
      <start>38</start>
      <end>44</end>
      <status>unmodified</status>
      <modifiedWord/>
      <trackRevisions>false</trackRevisions>
    </reviewItem>
    <reviewItem>
      <errorID>5959f061-a4c0-47b9-9b3e-f4d262bd03ac</errorID>
      <errorWord>[2019]69号</errorWord>
      <group>L1_Knowledge</group>
      <groupName>知识性问题</groupName>
      <ability>L2_Knowledge</ability>
      <abilityName>其他知识</abilityName>
      <candidateList>
        <item>〔2019〕69号</item>
      </candidateList>
      <explain>发文字号格式错误。</explain>
      <paraID>26B9A6CD</paraID>
      <start>42</start>
      <end>51</end>
      <status>unmodified</status>
      <modifiedWord/>
      <trackRevisions>false</trackRevisions>
    </reviewItem>
    <reviewItem>
      <errorID>a3d2dbac-f167-4206-b8eb-dd5c07138991</errorID>
      <errorWord>[2019]59号</errorWord>
      <group>L1_Knowledge</group>
      <groupName>知识性问题</groupName>
      <ability>L2_Knowledge</ability>
      <abilityName>其他知识</abilityName>
      <candidateList>
        <item>〔2019〕59号</item>
      </candidateList>
      <explain>发文字号格式错误。</explain>
      <paraID>44FB42C0</paraID>
      <start>49</start>
      <end>58</end>
      <status>unmodified</status>
      <modifiedWord/>
      <trackRevisions>false</trackRevisions>
    </reviewItem>
    <reviewItem>
      <errorID>9fce7954-8063-4f93-b2c7-991c2a47e725</errorID>
      <errorWord>控制及</errorWord>
      <group>L1_Word</group>
      <groupName>字词问题</groupName>
      <ability>L2_Typo</ability>
      <abilityName>字词错误</abilityName>
      <candidateList>
        <item>控制</item>
      </candidateList>
      <explain/>
      <paraID>39B37BDC</paraID>
      <start>104</start>
      <end>107</end>
      <status>unmodified</status>
      <modifiedWord/>
      <trackRevisions>false</trackRevisions>
    </reviewItem>
    <reviewItem>
      <errorID>58c8a4fc-fdb9-4c65-b28a-04a72c8fee7c</errorID>
      <errorWord>生态保护红和</errorWord>
      <group>L1_Knowledge</group>
      <groupName>知识性问题</groupName>
      <ability>L2_Term</ability>
      <abilityName>专业术语</abilityName>
      <candidateList>
        <item>生态保护红线</item>
      </candidateList>
      <explain/>
      <paraID>25DB7604</paraID>
      <start>2</start>
      <end>8</end>
      <status>modified</status>
      <modifiedWord>生态保护红线</modifiedWord>
      <trackRevisions>false</trackRevisions>
    </reviewItem>
    <reviewItem>
      <errorID>6d064d0e-6f3d-47ad-a3db-8ba54e19c770</errorID>
      <errorWord>经对照项目</errorWord>
      <group>L1_AI</group>
      <groupName>深度校对</groupName>
      <ability>L2_AI_Word</ability>
      <abilityName>字词纠错</abilityName>
      <candidateList>
        <item>项目经对照</item>
      </candidateList>
      <explain/>
      <paraID>5B07765B</paraID>
      <start>78</start>
      <end>83</end>
      <status>unmodified</status>
      <modifiedWord/>
      <trackRevisions>false</trackRevisions>
    </reviewItem>
    <reviewItem>
      <errorID>9cc87d93-382c-4028-85e8-92cc1b37e58f</errorID>
      <errorWord>上线</errorWord>
      <group>L1_Word</group>
      <groupName>字词问题</groupName>
      <ability>L2_Typo</ability>
      <abilityName>字词错误</abilityName>
      <candidateList>
        <item>上限</item>
      </candidateList>
      <explain/>
      <paraID>4A5329B1</paraID>
      <start>6</start>
      <end>8</end>
      <status>unmodified</status>
      <modifiedWord/>
      <trackRevisions>false</trackRevisions>
    </reviewItem>
    <reviewItem>
      <errorID>d228f111-66fd-49d5-9849-a96a8653eb51</errorID>
      <errorWord>管控区</errorWord>
      <group>L1_Word</group>
      <groupName>字词问题</groupName>
      <ability>L2_Typo</ability>
      <abilityName>字词错误</abilityName>
      <candidateList>
        <item>管控</item>
      </candidateList>
      <explain/>
      <paraID>1451F2D1</paraID>
      <start>90</start>
      <end>93</end>
      <status>unmodified</status>
      <modifiedWord/>
      <trackRevisions>false</trackRevisions>
    </reviewItem>
    <reviewItem>
      <errorID>49758db0-30ee-4cdd-a0c2-bc197c61f536</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2D446CB5</paraID>
      <start>0</start>
      <end>2</end>
      <status>unmodified</status>
      <modifiedWord/>
      <trackRevisions>false</trackRevisions>
    </reviewItem>
    <reviewItem>
      <errorID>5ec1fe83-6fa1-4500-8b2f-11699703857b</errorID>
      <errorWord>[2024]89号</errorWord>
      <group>L1_Knowledge</group>
      <groupName>知识性问题</groupName>
      <ability>L2_Knowledge</ability>
      <abilityName>其他知识</abilityName>
      <candidateList>
        <item>〔2024〕89号</item>
      </candidateList>
      <explain>发文字号格式错误。</explain>
      <paraID>251CC539</paraID>
      <start>42</start>
      <end>51</end>
      <status>unmodified</status>
      <modifiedWord/>
      <trackRevisions>false</trackRevisions>
    </reviewItem>
    <reviewItem>
      <errorID>433e79c4-a313-4331-b3a5-db82defe08a8</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22D3DF2A</paraID>
      <start>0</start>
      <end>2</end>
      <status>unmodified</status>
      <modifiedWord/>
      <trackRevisions>false</trackRevisions>
    </reviewItem>
    <reviewItem>
      <errorID>5f373c4f-dcdf-4ff0-a676-6f02e881d486</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DB4ADC3</paraID>
      <start>0</start>
      <end>2</end>
      <status>unmodified</status>
      <modifiedWord/>
      <trackRevisions>false</trackRevisions>
    </reviewItem>
    <reviewItem>
      <errorID>cabf0f9a-3045-45fc-8cc3-46424618b731</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39C3E828</paraID>
      <start>0</start>
      <end>2</end>
      <status>unmodified</status>
      <modifiedWord/>
      <trackRevisions>false</trackRevisions>
    </reviewItem>
    <reviewItem>
      <errorID>3b9a5c50-b37e-459e-b48d-f3475446dcbd</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777ACAD4</paraID>
      <start>0</start>
      <end>2</end>
      <status>unmodified</status>
      <modifiedWord/>
      <trackRevisions>false</trackRevisions>
    </reviewItem>
    <reviewItem>
      <errorID>fd83561e-0843-41a0-b777-fb988f73dfda</errorID>
      <errorWord>~</errorWord>
      <group>L1_Format</group>
      <groupName>格式问题</groupName>
      <ability>L2_HalfPunc</ability>
      <abilityName>全半角检查</abilityName>
      <candidateList>
        <item>～</item>
      </candidateList>
      <explain>文本全半角错误。</explain>
      <paraID>777ACAD4</paraID>
      <start>27</start>
      <end>28</end>
      <status>unmodified</status>
      <modifiedWord/>
      <trackRevisions>false</trackRevisions>
    </reviewItem>
    <reviewItem>
      <errorID>1da1a4e4-6083-4659-b50e-6e35b8305824</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47F0DA65</paraID>
      <start>0</start>
      <end>2</end>
      <status>unmodified</status>
      <modifiedWord/>
      <trackRevisions>false</trackRevisions>
    </reviewItem>
    <reviewItem>
      <errorID>c46fab14-888c-4528-bea4-1de5d255a50b</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51F78851</paraID>
      <start>0</start>
      <end>2</end>
      <status>unmodified</status>
      <modifiedWord/>
      <trackRevisions>false</trackRevisions>
    </reviewItem>
    <reviewItem>
      <errorID>5428d2d7-e6ca-41e7-9f00-59577142bfa2</errorID>
      <errorWord>[2017]10号</errorWord>
      <group>L1_Knowledge</group>
      <groupName>知识性问题</groupName>
      <ability>L2_Knowledge</ability>
      <abilityName>其他知识</abilityName>
      <candidateList>
        <item>〔2017〕10号</item>
      </candidateList>
      <explain>发文字号格式错误。</explain>
      <paraID>51F78851</paraID>
      <start>22</start>
      <end>31</end>
      <status>unmodified</status>
      <modifiedWord/>
      <trackRevisions>false</trackRevisions>
    </reviewItem>
    <reviewItem>
      <errorID>1eeefd13-137f-4ca3-9090-e9e80dc5494a</errorID>
      <errorWord>8、</errorWord>
      <group>L1_Format</group>
      <groupName>格式问题</groupName>
      <ability>L2_Ordinal</ability>
      <abilityName>序号格式</abilityName>
      <candidateList>
        <item>8.</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2F79B325</paraID>
      <start>0</start>
      <end>2</end>
      <status>unmodified</status>
      <modifiedWord/>
      <trackRevisions>false</trackRevisions>
    </reviewItem>
    <reviewItem>
      <errorID>c46d296c-8429-4857-beee-71d5179e9742</errorID>
      <errorWord>[2017]48号</errorWord>
      <group>L1_Knowledge</group>
      <groupName>知识性问题</groupName>
      <ability>L2_Knowledge</ability>
      <abilityName>其他知识</abilityName>
      <candidateList>
        <item>〔2017〕48号</item>
      </candidateList>
      <explain>发文字号格式错误。</explain>
      <paraID>2F79B325</paraID>
      <start>20</start>
      <end>29</end>
      <status>unmodified</status>
      <modifiedWord/>
      <trackRevisions>false</trackRevisions>
    </reviewItem>
    <reviewItem>
      <errorID>c1b23618-0086-4962-bcba-52c848c343cd</errorID>
      <errorWord>9、</errorWord>
      <group>L1_Format</group>
      <groupName>格式问题</groupName>
      <ability>L2_Ordinal</ability>
      <abilityName>序号格式</abilityName>
      <candidateList>
        <item>9.</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41FEB6F5</paraID>
      <start>0</start>
      <end>2</end>
      <status>unmodified</status>
      <modifiedWord/>
      <trackRevisions>false</trackRevisions>
    </reviewItem>
    <reviewItem>
      <errorID>f961146e-e931-49b2-a4ac-3385d0a3a9c9</errorID>
      <errorWord>[2015]7号</errorWord>
      <group>L1_Knowledge</group>
      <groupName>知识性问题</groupName>
      <ability>L2_Knowledge</ability>
      <abilityName>其他知识</abilityName>
      <candidateList>
        <item>〔2015〕7号</item>
      </candidateList>
      <explain>发文字号格式错误。</explain>
      <paraID>41FEB6F5</paraID>
      <start>136</start>
      <end>144</end>
      <status>unmodified</status>
      <modifiedWord/>
      <trackRevisions>false</trackRevisions>
    </reviewItem>
    <reviewItem>
      <errorID>53bfbefb-5da0-429e-99f5-83d0d99f79e7</errorID>
      <errorWord>10、</errorWord>
      <group>L1_Format</group>
      <groupName>格式问题</groupName>
      <ability>L2_Ordinal</ability>
      <abilityName>序号格式</abilityName>
      <candidateList>
        <item>10.</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4C0805B</paraID>
      <start>0</start>
      <end>3</end>
      <status>unmodified</status>
      <modifiedWord/>
      <trackRevisions>false</trackRevisions>
    </reviewItem>
    <reviewItem>
      <errorID>32877016-7b01-4184-8243-692a88e2722c</errorID>
      <errorWord>11、</errorWord>
      <group>L1_Format</group>
      <groupName>格式问题</groupName>
      <ability>L2_Ordinal</ability>
      <abilityName>序号格式</abilityName>
      <candidateList>
        <item>11.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15E6CBD6</paraID>
      <start>0</start>
      <end>3</end>
      <status>unmodified</status>
      <modifiedWord/>
      <trackRevisions>false</trackRevisions>
    </reviewItem>
    <reviewItem>
      <errorID>83b30148-34a9-4463-be32-f2dc0a892cee</errorID>
      <errorWord>（</errorWord>
      <group>L1_Punc</group>
      <groupName>标点问题</groupName>
      <ability>L2_Punc</ability>
      <abilityName>标点符号检查</abilityName>
      <candidateList/>
      <explain>同一形式括号套用。</explain>
      <paraID>15E6CBD6</paraID>
      <start>72</start>
      <end>73</end>
      <status>unmodified</status>
      <modifiedWord/>
      <trackRevisions>false</trackRevisions>
    </reviewItem>
    <reviewItem>
      <errorID>c6d91905-ac64-4bbf-a60f-758f8d637fd7</errorID>
      <errorWord>）</errorWord>
      <group>L1_Punc</group>
      <groupName>标点问题</groupName>
      <ability>L2_Punc</ability>
      <abilityName>标点符号检查</abilityName>
      <candidateList/>
      <explain>同一形式括号套用。</explain>
      <paraID>15E6CBD6</paraID>
      <start>76</start>
      <end>77</end>
      <status>unmodified</status>
      <modifiedWord/>
      <trackRevisions>false</trackRevisions>
    </reviewItem>
    <reviewItem>
      <errorID>616c74f7-58b3-4d95-8e12-2397543494aa</errorID>
      <errorWord>12、</errorWord>
      <group>L1_Format</group>
      <groupName>格式问题</groupName>
      <ability>L2_Ordinal</ability>
      <abilityName>序号格式</abilityName>
      <candidateList>
        <item>12.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2A1FC9ED</paraID>
      <start>0</start>
      <end>3</end>
      <status>unmodified</status>
      <modifiedWord/>
      <trackRevisions>false</trackRevisions>
    </reviewItem>
    <reviewItem>
      <errorID>bb0d1e04-694d-46b3-a8fe-4c19a2a02d27</errorID>
      <errorWord>[2018]18号</errorWord>
      <group>L1_Knowledge</group>
      <groupName>知识性问题</groupName>
      <ability>L2_Knowledge</ability>
      <abilityName>其他知识</abilityName>
      <candidateList>
        <item>〔2018〕18号</item>
      </candidateList>
      <explain>发文字号格式错误。</explain>
      <paraID>2A1FC9ED</paraID>
      <start>39</start>
      <end>48</end>
      <status>unmodified</status>
      <modifiedWord/>
      <trackRevisions>false</trackRevisions>
    </reviewItem>
    <reviewItem>
      <errorID>d8cb65f1-fe22-4b39-ac87-a7a2801530f2</errorID>
      <errorWord>监测报告</errorWord>
      <group>L1_Word</group>
      <groupName>字词问题</groupName>
      <ability>L2_Typo</ability>
      <abilityName>字词错误</abilityName>
      <candidateList>
        <item>检测报告</item>
      </candidateList>
      <explain/>
      <paraID>5C51EAF4</paraID>
      <start>42</start>
      <end>46</end>
      <status>unmodified</status>
      <modifiedWord/>
      <trackRevisions>false</trackRevisions>
    </reviewItem>
    <reviewItem>
      <errorID>2362f378-f213-4f65-9a53-1f1b867cc06f</errorID>
      <errorWord>13、</errorWord>
      <group>L1_Format</group>
      <groupName>格式问题</groupName>
      <ability>L2_Ordinal</ability>
      <abilityName>序号格式</abilityName>
      <candidateList>
        <item>13.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43C5FCA7</paraID>
      <start>0</start>
      <end>3</end>
      <status>unmodified</status>
      <modifiedWord/>
      <trackRevisions>false</trackRevisions>
    </reviewItem>
    <reviewItem>
      <errorID>5990b037-a50b-4ca2-adef-045f1c632513</errorID>
      <errorWord>14、</errorWord>
      <group>L1_Format</group>
      <groupName>格式问题</groupName>
      <ability>L2_Ordinal</ability>
      <abilityName>序号格式</abilityName>
      <candidateList>
        <item>14.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7934332D</paraID>
      <start>0</start>
      <end>3</end>
      <status>unmodified</status>
      <modifiedWord/>
      <trackRevisions>false</trackRevisions>
    </reviewItem>
    <reviewItem>
      <errorID>757e7f77-5f3d-45e7-baed-01732598466b</errorID>
      <errorWord>15、</errorWord>
      <group>L1_Format</group>
      <groupName>格式问题</groupName>
      <ability>L2_Ordinal</ability>
      <abilityName>序号格式</abilityName>
      <candidateList>
        <item>15.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73CBF549</paraID>
      <start>0</start>
      <end>3</end>
      <status>unmodified</status>
      <modifiedWord/>
      <trackRevisions>false</trackRevisions>
    </reviewItem>
    <reviewItem>
      <errorID>3531eaa0-6da5-450c-9f29-72a0aa708a11</errorID>
      <errorWord>16、</errorWord>
      <group>L1_Format</group>
      <groupName>格式问题</groupName>
      <ability>L2_Ordinal</ability>
      <abilityName>序号格式</abilityName>
      <candidateList>
        <item>16.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BFCFAF4</paraID>
      <start>0</start>
      <end>3</end>
      <status>unmodified</status>
      <modifiedWord/>
      <trackRevisions>false</trackRevisions>
    </reviewItem>
    <reviewItem>
      <errorID>21ae68ad-8538-424e-a0f0-6e85c2cccd45</errorID>
      <errorWord>17、</errorWord>
      <group>L1_Format</group>
      <groupName>格式问题</groupName>
      <ability>L2_Ordinal</ability>
      <abilityName>序号格式</abilityName>
      <candidateList>
        <item>17.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5DCD9C90</paraID>
      <start>0</start>
      <end>3</end>
      <status>unmodified</status>
      <modifiedWord/>
      <trackRevisions>false</trackRevisions>
    </reviewItem>
    <reviewItem>
      <errorID>b4603bf0-9e51-4344-bb2e-4616af77897d</errorID>
      <errorWord>18、</errorWord>
      <group>L1_Format</group>
      <groupName>格式问题</groupName>
      <ability>L2_Ordinal</ability>
      <abilityName>序号格式</abilityName>
      <candidateList>
        <item>18.</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5C861826</paraID>
      <start>0</start>
      <end>3</end>
      <status>unmodified</status>
      <modifiedWord/>
      <trackRevisions>false</trackRevisions>
    </reviewItem>
    <reviewItem>
      <errorID>a155ab4c-1a66-4bc5-ab7a-8481c1446b7a</errorID>
      <errorWord>19、</errorWord>
      <group>L1_Format</group>
      <groupName>格式问题</groupName>
      <ability>L2_Ordinal</ability>
      <abilityName>序号格式</abilityName>
      <candidateList>
        <item>19.</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4CEE0162</paraID>
      <start>0</start>
      <end>3</end>
      <status>unmodified</status>
      <modifiedWord/>
      <trackRevisions>false</trackRevisions>
    </reviewItem>
    <reviewItem>
      <errorID>365dceab-bf70-4360-8557-24e8b825d9da</errorID>
      <errorWord>[2019]13号</errorWord>
      <group>L1_Knowledge</group>
      <groupName>知识性问题</groupName>
      <ability>L2_Knowledge</ability>
      <abilityName>其他知识</abilityName>
      <candidateList>
        <item>〔2019〕13号</item>
      </candidateList>
      <explain>发文字号格式错误。</explain>
      <paraID>4CEE0162</paraID>
      <start>34</start>
      <end>43</end>
      <status>unmodified</status>
      <modifiedWord/>
      <trackRevisions>false</trackRevisions>
    </reviewItem>
    <reviewItem>
      <errorID>e1308c81-f3f0-43de-b2c9-05ea93b159e2</errorID>
      <errorWord>20、</errorWord>
      <group>L1_Format</group>
      <groupName>格式问题</groupName>
      <ability>L2_Ordinal</ability>
      <abilityName>序号格式</abilityName>
      <candidateList>
        <item>20.</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2566160D</paraID>
      <start>0</start>
      <end>3</end>
      <status>unmodified</status>
      <modifiedWord/>
      <trackRevisions>false</trackRevisions>
    </reviewItem>
    <reviewItem>
      <errorID>8dc9362c-da44-4861-9054-6f5b0737f212</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20E983FE</paraID>
      <start>0</start>
      <end>2</end>
      <status>unmodified</status>
      <modifiedWord/>
      <trackRevisions>false</trackRevisions>
    </reviewItem>
    <reviewItem>
      <errorID>ba5a79a6-3e9f-4061-8260-101d56278604</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41C440BA</paraID>
      <start>0</start>
      <end>2</end>
      <status>unmodified</status>
      <modifiedWord/>
      <trackRevisions>false</trackRevisions>
    </reviewItem>
    <reviewItem>
      <errorID>60498b0a-ff6b-44d8-a736-860d6048fa89</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A451840</paraID>
      <start>0</start>
      <end>2</end>
      <status>unmodified</status>
      <modifiedWord/>
      <trackRevisions>false</trackRevisions>
    </reviewItem>
    <reviewItem>
      <errorID>ec26baf7-eac9-4593-bd2c-20b6d358fbe8</errorID>
      <errorWord>平台中</errorWord>
      <group>L1_Word</group>
      <groupName>字词问题</groupName>
      <ability>L2_Typo</ability>
      <abilityName>字词错误</abilityName>
      <candidateList>
        <item>平台</item>
      </candidateList>
      <explain>〈名〉❶晒台。❷生产和施工过程中，为操作方便而设置的工作台，有的能移动和升降。❸指计算机硬件或软件的操作环境。❹泛指进行某项工作所需要的环境或条件：科技推广站为农民学习科学知识、获取市场信息提供了～。</explain>
      <paraID> A451840</paraID>
      <start>26</start>
      <end>29</end>
      <status>unmodified</status>
      <modifiedWord/>
      <trackRevisions>false</trackRevisions>
    </reviewItem>
    <reviewItem>
      <errorID>723eee34-dad5-4937-80da-293718fb210c</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14CC5A0F</paraID>
      <start>0</start>
      <end>2</end>
      <status>unmodified</status>
      <modifiedWord/>
      <trackRevisions>false</trackRevisions>
    </reviewItem>
    <reviewItem>
      <errorID>e26a2c1d-d588-4287-8335-827fcfb4e0ec</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15C966E0</paraID>
      <start>0</start>
      <end>2</end>
      <status>unmodified</status>
      <modifiedWord/>
      <trackRevisions>false</trackRevisions>
    </reviewItem>
    <reviewItem>
      <errorID>1e1ee471-d420-4b54-9da4-ca4df0e6835b</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56C21FC5</paraID>
      <start>0</start>
      <end>2</end>
      <status>unmodified</status>
      <modifiedWord/>
      <trackRevisions>false</trackRevisions>
    </reviewItem>
    <reviewItem>
      <errorID>d8a6a351-c374-4094-98de-c3a5c0f58c6e</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2172320B</paraID>
      <start>0</start>
      <end>2</end>
      <status>unmodified</status>
      <modifiedWord/>
      <trackRevisions>false</trackRevisions>
    </reviewItem>
    <reviewItem>
      <errorID>6e3a4b1f-04ca-4de8-93a0-f05f288defd1</errorID>
      <errorWord>先</errorWord>
      <group>L1_Word</group>
      <groupName>字词问题</groupName>
      <ability>L2_Typo</ability>
      <abilityName>字词错误</abilityName>
      <candidateList>
        <item>先进</item>
      </candidateList>
      <explain/>
      <paraID>2172320B</paraID>
      <start>26</start>
      <end>28</end>
      <status>modified</status>
      <modifiedWord>先进</modifiedWord>
      <trackRevisions>false</trackRevisions>
    </reviewItem>
    <reviewItem>
      <errorID>e7053fe5-4dab-4e38-bd99-e922fb78013f</errorID>
      <errorWord>8、</errorWord>
      <group>L1_Format</group>
      <groupName>格式问题</groupName>
      <ability>L2_Ordinal</ability>
      <abilityName>序号格式</abilityName>
      <candidateList>
        <item>8.</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6AEDBEA3</paraID>
      <start>0</start>
      <end>2</end>
      <status>unmodified</status>
      <modifiedWord/>
      <trackRevisions>false</trackRevisions>
    </reviewItem>
    <reviewItem>
      <errorID>0c2c91eb-8e63-48d4-a330-bed62a5b5775</errorID>
      <errorWord>9、</errorWord>
      <group>L1_Format</group>
      <groupName>格式问题</groupName>
      <ability>L2_Ordinal</ability>
      <abilityName>序号格式</abilityName>
      <candidateList>
        <item>9.</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43FF55CE</paraID>
      <start>0</start>
      <end>2</end>
      <status>unmodified</status>
      <modifiedWord/>
      <trackRevisions>false</trackRevisions>
    </reviewItem>
    <reviewItem>
      <errorID>3ffc0d7e-c6db-491c-a0ee-91b8600f7831</errorID>
      <errorWord>10、</errorWord>
      <group>L1_Format</group>
      <groupName>格式问题</groupName>
      <ability>L2_Ordinal</ability>
      <abilityName>序号格式</abilityName>
      <candidateList>
        <item>10.</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111A83E1</paraID>
      <start>0</start>
      <end>3</end>
      <status>unmodified</status>
      <modifiedWord/>
      <trackRevisions>false</trackRevisions>
    </reviewItem>
    <reviewItem>
      <errorID>db876d5f-c709-4b2b-85ce-32b30d6ff98c</errorID>
      <errorWord>废气污染物</errorWord>
      <group>L1_Knowledge</group>
      <groupName>知识性问题</groupName>
      <ability>L2_Term</ability>
      <abilityName>专业术语</abilityName>
      <candidateList>
        <item>空气污染物</item>
      </candidateList>
      <explain/>
      <paraID>60C34E37</paraID>
      <start>35</start>
      <end>40</end>
      <status>unmodified</status>
      <modifiedWord/>
      <trackRevisions>false</trackRevisions>
    </reviewItem>
    <reviewItem>
      <errorID>db3184c6-74dc-4b09-9994-512c8b401020</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2B53A451</paraID>
      <start>0</start>
      <end>2</end>
      <status>unmodified</status>
      <modifiedWord/>
      <trackRevisions>false</trackRevisions>
    </reviewItem>
    <reviewItem>
      <errorID>85eb5ffe-d3be-4f26-81a1-f9c1ec8dd082</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677B9E3F</paraID>
      <start>38</start>
      <end>39</end>
      <status>unmodified</status>
      <modifiedWord/>
      <trackRevisions>false</trackRevisions>
    </reviewItem>
    <reviewItem>
      <errorID>22f53e12-df97-4726-85b2-5ca8fde95dcc</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677B9E3F</paraID>
      <start>89</start>
      <end>90</end>
      <status>unmodified</status>
      <modifiedWord/>
      <trackRevisions>false</trackRevisions>
    </reviewItem>
    <reviewItem>
      <errorID>aed74f8f-0cda-4275-87bb-589ad9449c98</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677B9E3F</paraID>
      <start>103</start>
      <end>106</end>
      <status>unmodified</status>
      <modifiedWord/>
      <trackRevisions>false</trackRevisions>
    </reviewItem>
    <reviewItem>
      <errorID>f8f100b2-fd97-45d0-a5ec-b7cc7efd2c8d</errorID>
      <errorWord>&lt;</errorWord>
      <group>L1_Format</group>
      <groupName>格式问题</groupName>
      <ability>L2_HalfPunc</ability>
      <abilityName>全半角检查</abilityName>
      <candidateList>
        <item>〈</item>
      </candidateList>
      <explain>文本全半角错误。</explain>
      <paraID>677B9E3F</paraID>
      <start>108</start>
      <end>109</end>
      <status>unmodified</status>
      <modifiedWord/>
      <trackRevisions>false</trackRevisions>
    </reviewItem>
    <reviewItem>
      <errorID>1bc8d4fd-4722-4756-a735-d42b03c03440</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677B9E3F</paraID>
      <start>135</start>
      <end>136</end>
      <status>unmodified</status>
      <modifiedWord/>
      <trackRevisions>false</trackRevisions>
    </reviewItem>
    <reviewItem>
      <errorID>f64ae16e-9e92-42ee-a81a-51bb1cffd817</errorID>
      <errorWord>&gt;</errorWord>
      <group>L1_Format</group>
      <groupName>格式问题</groupName>
      <ability>L2_HalfPunc</ability>
      <abilityName>全半角检查</abilityName>
      <candidateList>
        <item>〉</item>
      </candidateList>
      <explain>文本全半角错误。</explain>
      <paraID>677B9E3F</paraID>
      <start>149</start>
      <end>150</end>
      <status>unmodified</status>
      <modifiedWord/>
      <trackRevisions>false</trackRevisions>
    </reviewItem>
    <reviewItem>
      <errorID>f3ab8221-1bdc-49b1-bd6c-c88e430176ef</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610FBF8E</paraID>
      <start>0</start>
      <end>2</end>
      <status>unmodified</status>
      <modifiedWord/>
      <trackRevisions>false</trackRevisions>
    </reviewItem>
    <reviewItem>
      <errorID>7203ae1c-1029-42bd-94a0-0a86c72a2aa0</errorID>
      <errorWord>三线一单</errorWord>
      <group>L1_Political</group>
      <groupName>政治性问题</groupName>
      <ability>L2_Keyword</ability>
      <abilityName>固定表述</abilityName>
      <candidateList>
        <item>“三线一单”</item>
      </candidateList>
      <explain>注意检查当前固定表述标点是否使用规范。</explain>
      <paraID>610FBF8E</paraID>
      <start>2</start>
      <end>6</end>
      <status>unmodified</status>
      <modifiedWord/>
      <trackRevisions>false</trackRevisions>
    </reviewItem>
    <reviewItem>
      <errorID>f4158efc-6855-4326-a15f-5c41beb627a3</errorID>
      <errorWord>[2016]150号</errorWord>
      <group>L1_Knowledge</group>
      <groupName>知识性问题</groupName>
      <ability>L2_Knowledge</ability>
      <abilityName>其他知识</abilityName>
      <candidateList>
        <item>〔2016〕150号</item>
      </candidateList>
      <explain>发文字号格式错误。</explain>
      <paraID>5DFB681E</paraID>
      <start>36</start>
      <end>46</end>
      <status>unmodified</status>
      <modifiedWord/>
      <trackRevisions>false</trackRevisions>
    </reviewItem>
    <reviewItem>
      <errorID>556fd856-208c-4339-974f-183d6fc14333</errorID>
      <errorWord>&lt;</errorWord>
      <group>L1_Format</group>
      <groupName>格式问题</groupName>
      <ability>L2_HalfPunc</ability>
      <abilityName>全半角检查</abilityName>
      <candidateList>
        <item>〈</item>
      </candidateList>
      <explain>文本全半角错误。</explain>
      <paraID>5DFB681E</paraID>
      <start>107</start>
      <end>108</end>
      <status>unmodified</status>
      <modifiedWord/>
      <trackRevisions>false</trackRevisions>
    </reviewItem>
    <reviewItem>
      <errorID>7899a5d8-c3f7-4569-a7e4-3114651c3ee6</errorID>
      <errorWord>&gt;的通知》</errorWord>
      <group>L1_Punc</group>
      <groupName>标点问题</groupName>
      <ability>L2_Punc</ability>
      <abilityName>标点符号检查</abilityName>
      <candidateList>
        <item>〉的通知》</item>
      </candidateList>
      <explain/>
      <paraID>5DFB681E</paraID>
      <start>127</start>
      <end>132</end>
      <status>unmodified</status>
      <modifiedWord/>
      <trackRevisions>false</trackRevisions>
    </reviewItem>
    <reviewItem>
      <errorID>cedcf4e5-547b-449c-a527-c15d16740843</errorID>
      <errorWord>[2024]89号</errorWord>
      <group>L1_Knowledge</group>
      <groupName>知识性问题</groupName>
      <ability>L2_Knowledge</ability>
      <abilityName>其他知识</abilityName>
      <candidateList>
        <item>〔2024〕89号</item>
      </candidateList>
      <explain>发文字号格式错误。</explain>
      <paraID>5DFB681E</paraID>
      <start>185</start>
      <end>194</end>
      <status>unmodified</status>
      <modifiedWord/>
      <trackRevisions>false</trackRevisions>
    </reviewItem>
    <reviewItem>
      <errorID>f48f36bd-262a-461c-ac8a-bd232adc3658</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4523BA75</paraID>
      <start>19</start>
      <end>20</end>
      <status>unmodified</status>
      <modifiedWord/>
      <trackRevisions>false</trackRevisions>
    </reviewItem>
    <reviewItem>
      <errorID>818e24c2-f319-4b2b-b602-fc333339fdfe</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67C2101D</paraID>
      <start>119</start>
      <end>120</end>
      <status>unmodified</status>
      <modifiedWord/>
      <trackRevisions>false</trackRevisions>
    </reviewItem>
    <reviewItem>
      <errorID>00ed2cd9-e5b2-40a6-8cff-003bba6c918e</errorID>
      <errorWord>II类</errorWord>
      <group>L1_Knowledge</group>
      <groupName>知识性问题</groupName>
      <ability>L2_Knowledge</ability>
      <abilityName>其他知识</abilityName>
      <candidateList>
        <item>Ⅱ类</item>
      </candidateList>
      <explain/>
      <paraID>649EACDC</paraID>
      <start>63</start>
      <end>66</end>
      <status>unmodified</status>
      <modifiedWord/>
      <trackRevisions>false</trackRevisions>
    </reviewItem>
    <reviewItem>
      <errorID>57ebab72-0b8c-4e09-8490-0f0db06ff760</errorID>
      <errorWord>III类</errorWord>
      <group>L1_Knowledge</group>
      <groupName>知识性问题</groupName>
      <ability>L2_Knowledge</ability>
      <abilityName>其他知识</abilityName>
      <candidateList>
        <item>Ⅲ类</item>
      </candidateList>
      <explain/>
      <paraID>649EACDC</paraID>
      <start>85</start>
      <end>89</end>
      <status>unmodified</status>
      <modifiedWord/>
      <trackRevisions>false</trackRevisions>
    </reviewItem>
    <reviewItem>
      <errorID>54e9fb65-805c-41a3-b94a-1202dbd5620d</errorID>
      <errorWord>IV类</errorWord>
      <group>L1_Knowledge</group>
      <groupName>知识性问题</groupName>
      <ability>L2_Knowledge</ability>
      <abilityName>其他知识</abilityName>
      <candidateList>
        <item>Ⅳ类</item>
      </candidateList>
      <explain/>
      <paraID>649EACDC</paraID>
      <start>172</start>
      <end>175</end>
      <status>unmodified</status>
      <modifiedWord/>
      <trackRevisions>false</trackRevisions>
    </reviewItem>
    <reviewItem>
      <errorID>fb0b1f45-513b-4b96-85b6-0ccaced2cfbf</errorID>
      <errorWord>III类</errorWord>
      <group>L1_Knowledge</group>
      <groupName>知识性问题</groupName>
      <ability>L2_Knowledge</ability>
      <abilityName>其他知识</abilityName>
      <candidateList>
        <item>Ⅲ类</item>
      </candidateList>
      <explain/>
      <paraID>21B204A0</paraID>
      <start>31</start>
      <end>35</end>
      <status>unmodified</status>
      <modifiedWord/>
      <trackRevisions>false</trackRevisions>
    </reviewItem>
    <reviewItem>
      <errorID>8d2e44af-460b-4792-ac1b-15b50a3999f7</errorID>
      <errorWord>交有</errorWord>
      <group>L1_Word</group>
      <groupName>字词问题</groupName>
      <ability>L2_Typo</ability>
      <abilityName>字词错误</abilityName>
      <candidateList>
        <item>交由</item>
      </candidateList>
      <explain>存在发音相同字词的误用。</explain>
      <paraID>46AB59CC</paraID>
      <start>139</start>
      <end>141</end>
      <status>unmodified</status>
      <modifiedWord/>
      <trackRevisions>false</trackRevisions>
    </reviewItem>
    <reviewItem>
      <errorID>98bf6efb-3311-4f5d-a15f-42fedc14c718</errorID>
      <errorWord>(</errorWord>
      <group>L1_Format</group>
      <groupName>格式问题</groupName>
      <ability>L2_HalfPunc</ability>
      <abilityName>全半角检查</abilityName>
      <candidateList>
        <item>（</item>
      </candidateList>
      <explain>文本全半角错误。</explain>
      <paraID>70076269</paraID>
      <start>24</start>
      <end>25</end>
      <status>unmodified</status>
      <modifiedWord/>
      <trackRevisions>false</trackRevisions>
    </reviewItem>
    <reviewItem>
      <errorID>c6b4b422-375f-4fd8-9059-b3499ead1de7</errorID>
      <errorWord>)</errorWord>
      <group>L1_Format</group>
      <groupName>格式问题</groupName>
      <ability>L2_HalfPunc</ability>
      <abilityName>全半角检查</abilityName>
      <candidateList>
        <item>）</item>
      </candidateList>
      <explain>文本全半角错误。</explain>
      <paraID>70076269</paraID>
      <start>30</start>
      <end>31</end>
      <status>unmodified</status>
      <modifiedWord/>
      <trackRevisions>false</trackRevisions>
    </reviewItem>
    <reviewItem>
      <errorID>43449719-bd6d-4b1b-bcd6-ff63471121c2</errorID>
      <errorWord>(</errorWord>
      <group>L1_Format</group>
      <groupName>格式问题</groupName>
      <ability>L2_HalfPunc</ability>
      <abilityName>全半角检查</abilityName>
      <candidateList>
        <item>（</item>
      </candidateList>
      <explain>文本全半角错误。</explain>
      <paraID>70076269</paraID>
      <start>34</start>
      <end>35</end>
      <status>unmodified</status>
      <modifiedWord/>
      <trackRevisions>false</trackRevisions>
    </reviewItem>
    <reviewItem>
      <errorID>e783d7e3-a87f-4850-9f42-55852e30c83a</errorID>
      <errorWord>)</errorWord>
      <group>L1_Format</group>
      <groupName>格式问题</groupName>
      <ability>L2_HalfPunc</ability>
      <abilityName>全半角检查</abilityName>
      <candidateList>
        <item>）</item>
      </candidateList>
      <explain>文本全半角错误。</explain>
      <paraID>70076269</paraID>
      <start>37</start>
      <end>38</end>
      <status>unmodified</status>
      <modifiedWord/>
      <trackRevisions>false</trackRevisions>
    </reviewItem>
    <reviewItem>
      <errorID>5fabd513-b6e5-4ca7-aa85-ace2c87acee7</errorID>
      <errorWord>源</errorWord>
      <group>L1_Word</group>
      <groupName>字词问题</groupName>
      <ability>L2_Typo</ability>
      <abilityName>字词错误</abilityName>
      <candidateList>
        <item>源汽</item>
      </candidateList>
      <explain/>
      <paraID>2C85A644</paraID>
      <start>16</start>
      <end>17</end>
      <status>unmodified</status>
      <modifiedWord/>
      <trackRevisions>false</trackRevisions>
    </reviewItem>
    <reviewItem>
      <errorID>402679df-4012-4992-b263-950541733165</errorID>
      <errorWord>[2019]33号</errorWord>
      <group>L1_Knowledge</group>
      <groupName>知识性问题</groupName>
      <ability>L2_Knowledge</ability>
      <abilityName>其他知识</abilityName>
      <candidateList>
        <item>〔2019〕33号</item>
      </candidateList>
      <explain>发文字号格式错误。</explain>
      <paraID>207DB2D7</paraID>
      <start>25</start>
      <end>34</end>
      <status>unmodified</status>
      <modifiedWord/>
      <trackRevisions>false</trackRevisions>
    </reviewItem>
    <reviewItem>
      <errorID>83afd696-5489-4257-9188-839d99b04de6</errorID>
      <errorWord>[2017]48号</errorWord>
      <group>L1_Knowledge</group>
      <groupName>知识性问题</groupName>
      <ability>L2_Knowledge</ability>
      <abilityName>其他知识</abilityName>
      <candidateList>
        <item>〔2017〕48号</item>
      </candidateList>
      <explain>发文字号格式错误。</explain>
      <paraID>207DB2D7</paraID>
      <start>76</start>
      <end>85</end>
      <status>unmodified</status>
      <modifiedWord/>
      <trackRevisions>false</trackRevisions>
    </reviewItem>
    <reviewItem>
      <errorID>72e6797a-4e5c-4e6b-a03a-bd4cfbedc37a</errorID>
      <errorWord>[2019]17号</errorWord>
      <group>L1_Knowledge</group>
      <groupName>知识性问题</groupName>
      <ability>L2_Knowledge</ability>
      <abilityName>其他知识</abilityName>
      <candidateList>
        <item>〔2019〕17号</item>
      </candidateList>
      <explain>发文字号格式错误。</explain>
      <paraID>207DB2D7</paraID>
      <start>107</start>
      <end>116</end>
      <status>unmodified</status>
      <modifiedWord/>
      <trackRevisions>false</trackRevisions>
    </reviewItem>
    <reviewItem>
      <errorID>5983becc-be49-49ab-85ed-d510b057add5</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63777FA9</paraID>
      <start>27</start>
      <end>30</end>
      <status>unmodified</status>
      <modifiedWord/>
      <trackRevisions>false</trackRevisions>
    </reviewItem>
    <reviewItem>
      <errorID>6f0e471c-c9c0-4cf5-b43f-dcd2f3f475b0</errorID>
      <errorWord>[2024]89号</errorWord>
      <group>L1_Knowledge</group>
      <groupName>知识性问题</groupName>
      <ability>L2_Knowledge</ability>
      <abilityName>其他知识</abilityName>
      <candidateList>
        <item>〔2024〕89号</item>
      </candidateList>
      <explain>发文字号格式错误。</explain>
      <paraID>5C39F866</paraID>
      <start>40</start>
      <end>49</end>
      <status>unmodified</status>
      <modifiedWord/>
      <trackRevisions>false</trackRevisions>
    </reviewItem>
    <reviewItem>
      <errorID>e864a2fd-b84a-47af-bc58-cc33a9dda6a4</errorID>
      <errorWord>监测报告</errorWord>
      <group>L1_Word</group>
      <groupName>字词问题</groupName>
      <ability>L2_Typo</ability>
      <abilityName>字词错误</abilityName>
      <candidateList>
        <item>检测报告</item>
      </candidateList>
      <explain/>
      <paraID>3E868A4D</paraID>
      <start>42</start>
      <end>46</end>
      <status>unmodified</status>
      <modifiedWord/>
      <trackRevisions>false</trackRevisions>
    </reviewItem>
    <reviewItem>
      <errorID>798ce56b-74d3-4623-b950-48f1d6034e2b</errorID>
      <errorWord>“十大”</errorWord>
      <group>L1_Word</group>
      <groupName>字词问题</groupName>
      <ability>L2_Typo</ability>
      <abilityName>字词错误</abilityName>
      <candidateList/>
      <explain>无建议</explain>
      <paraID>34165A7B</paraID>
      <start>41</start>
      <end>45</end>
      <status>unmodified</status>
      <modifiedWord/>
      <trackRevisions>false</trackRevisions>
    </reviewItem>
    <reviewItem>
      <errorID>47d0289b-003b-4be0-8d65-89558fee7ae0</errorID>
      <errorWord>“十大”</errorWord>
      <group>L1_Word</group>
      <groupName>字词问题</groupName>
      <ability>L2_Typo</ability>
      <abilityName>字词错误</abilityName>
      <candidateList/>
      <explain>无建议</explain>
      <paraID> 126233C</paraID>
      <start>20</start>
      <end>24</end>
      <status>unmodified</status>
      <modifiedWord/>
      <trackRevisions>false</trackRevisions>
    </reviewItem>
    <reviewItem>
      <errorID>87dedaac-30be-40ce-ad1c-7a08c6cae45d</errorID>
      <errorWord>监测报告</errorWord>
      <group>L1_Word</group>
      <groupName>字词问题</groupName>
      <ability>L2_Typo</ability>
      <abilityName>字词错误</abilityName>
      <candidateList>
        <item>检测报告</item>
      </candidateList>
      <explain/>
      <paraID>3ECCBECD</paraID>
      <start>42</start>
      <end>46</end>
      <status>unmodified</status>
      <modifiedWord/>
      <trackRevisions>false</trackRevisions>
    </reviewItem>
    <reviewItem>
      <errorID>28e25db6-25e2-4311-839f-3307c9b2b0df</errorID>
      <errorWord>目</errorWord>
      <group>L1_Word</group>
      <groupName>字词问题</groupName>
      <ability>L2_Typo</ability>
      <abilityName>字词错误</abilityName>
      <candidateList>
        <item>米</item>
      </candidateList>
      <explain/>
      <paraID>19AC62C4</paraID>
      <start>182</start>
      <end>183</end>
      <status>unmodified</status>
      <modifiedWord/>
      <trackRevisions>false</trackRevisions>
    </reviewItem>
    <reviewItem>
      <errorID>b311fe58-ff39-4aed-9e24-6096b5836db3</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7855C486</paraID>
      <start>65</start>
      <end>66</end>
      <status>unmodified</status>
      <modifiedWord/>
      <trackRevisions>false</trackRevisions>
    </reviewItem>
    <reviewItem>
      <errorID>e5cfa237-e25e-4504-8105-9667efa1bea0</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677E7D74</paraID>
      <start>27</start>
      <end>28</end>
      <status>unmodified</status>
      <modifiedWord/>
      <trackRevisions>false</trackRevisions>
    </reviewItem>
    <reviewItem>
      <errorID>33232b69-8539-4a41-b702-cd1d67a27cc7</errorID>
      <errorWord>污染减排协同控制</errorWord>
      <group>L1_Political</group>
      <groupName>政治性问题</groupName>
      <ability>L2_Keyword</ability>
      <abilityName>固定表述</abilityName>
      <candidateList>
        <item>污染物协同控制</item>
      </candidateList>
      <explain>词汇“污染物协同控制”在特定场景下为固定表述形式，请确认此处的“污染减排协同控制”是否存在不当。</explain>
      <paraID>51262F06</paraID>
      <start>51</start>
      <end>59</end>
      <status>unmodified</status>
      <modifiedWord/>
      <trackRevisions>false</trackRevisions>
    </reviewItem>
    <reviewItem>
      <errorID>797dee20-5784-465e-bdbf-9c0872dfc69a</errorID>
      <errorWord>风险预测预警体系</errorWord>
      <group>L1_Political</group>
      <groupName>政治性问题</groupName>
      <ability>L2_Keyword</ability>
      <abilityName>固定表述</abilityName>
      <candidateList>
        <item>风险监测预警体系</item>
      </candidateList>
      <explain>词汇“风险监测预警体系”在特定场景下为固定表述形式，请确认此处的“风险预测预警体系”是否存在不当。</explain>
      <paraID>1B02BAA1</paraID>
      <start>6</start>
      <end>14</end>
      <status>unmodified</status>
      <modifiedWord/>
      <trackRevisions>false</trackRevisions>
    </reviewItem>
    <reviewItem>
      <errorID>76014a74-0f79-4137-a111-182adbabfc79</errorID>
      <errorWord>“十大”</errorWord>
      <group>L1_Word</group>
      <groupName>字词问题</groupName>
      <ability>L2_Typo</ability>
      <abilityName>字词错误</abilityName>
      <candidateList/>
      <explain>无建议</explain>
      <paraID>73A5896F</paraID>
      <start>4</start>
      <end>8</end>
      <status>unmodified</status>
      <modifiedWord/>
      <trackRevisions>false</trackRevisions>
    </reviewItem>
    <reviewItem>
      <errorID>217d8419-f15d-4172-82f8-94c683e0f5f7</errorID>
      <errorWord>“十大”</errorWord>
      <group>L1_Word</group>
      <groupName>字词问题</groupName>
      <ability>L2_Typo</ability>
      <abilityName>字词错误</abilityName>
      <candidateList/>
      <explain>无建议</explain>
      <paraID>75559C83</paraID>
      <start>6</start>
      <end>10</end>
      <status>unmodified</status>
      <modifiedWord/>
      <trackRevisions>false</trackRevisions>
    </reviewItem>
    <reviewItem>
      <errorID>faf59684-7147-4e4e-a356-52f07045a545</errorID>
      <errorWord>城乡结合部</errorWord>
      <group>L1_Knowledge</group>
      <groupName>知识性问题</groupName>
      <ability>L2_Knowledge</ability>
      <abilityName>其他知识</abilityName>
      <candidateList>
        <item>城乡接合部</item>
      </candidateList>
      <explain/>
      <paraID>4D59FC86</paraID>
      <start>77</start>
      <end>82</end>
      <status>unmodified</status>
      <modifiedWord/>
      <trackRevisions>false</trackRevisions>
    </reviewItem>
    <reviewItem>
      <errorID>7515cc12-d5d1-4d0f-abbd-0c8cd7d7cd6f</errorID>
      <errorWord>，</errorWord>
      <group>L1_Word</group>
      <groupName>字词问题</groupName>
      <ability>L2_Typo</ability>
      <abilityName>字词错误</abilityName>
      <candidateList>
        <item>，在</item>
      </candidateList>
      <explain/>
      <paraID>71E810A6</paraID>
      <start>35</start>
      <end>36</end>
      <status>unmodified</status>
      <modifiedWord/>
      <trackRevisions>false</trackRevisions>
    </reviewItem>
    <reviewItem>
      <errorID>e1e52dde-776f-4ef1-9cbe-2315a34026a4</errorID>
      <errorWord>-</errorWord>
      <group>L1_Format</group>
      <groupName>格式问题</groupName>
      <ability>L2_HalfPunc</ability>
      <abilityName>全半角检查</abilityName>
      <candidateList>
        <item>－</item>
      </candidateList>
      <explain>文本全半角错误。</explain>
      <paraID>54FB5EA9</paraID>
      <start>130</start>
      <end>131</end>
      <status>unmodified</status>
      <modifiedWord/>
      <trackRevisions>false</trackRevisions>
    </reviewItem>
    <reviewItem>
      <errorID>396608e8-d1a4-431b-a08b-c48b879f8c80</errorID>
      <errorWord>关停</errorWord>
      <group>L1_Word</group>
      <groupName>字词问题</groupName>
      <ability>L2_Typo</ability>
      <abilityName>字词错误</abilityName>
      <candidateList>
        <item>关闭</item>
      </candidateList>
      <explain>“持续～关停”搭配不当，建议修改为“持续～关闭”。</explain>
      <paraID>454A6B4A</paraID>
      <start>69</start>
      <end>71</end>
      <status>unmodified</status>
      <modifiedWord/>
      <trackRevisions>false</trackRevisions>
    </reviewItem>
    <reviewItem>
      <errorID>8ac5439b-691a-4ac5-91f0-c4185b3f2091</errorID>
      <errorWord>对于</errorWord>
      <group>L1_Word</group>
      <groupName>字词问题</groupName>
      <ability>L2_Typo</ability>
      <abilityName>字词错误</abilityName>
      <candidateList>
        <item>对</item>
      </candidateList>
      <explain>（對）duì❶回答：～答｜无言以～。❷〈动〉对待；对付：～事不～人｜～症下药｜刀～刀，枪～枪。❸〈动〉朝着；向着（常跟“着”）：～着镜子理理头发｜枪口～着敌人。❹二者相对；彼此相向：～调｜～流｜～立｜～抗。❺对面的；敌对的：～岸｜～方｜～手｜作～。❻〈动〉使两个东西配合或接触：～对子｜把门～上｜～个火儿。</explain>
      <paraID>53490644</paraID>
      <start>52</start>
      <end>54</end>
      <status>unmodified</status>
      <modifiedWord/>
      <trackRevisions>false</trackRevisions>
    </reviewItem>
    <reviewItem>
      <errorID>2b9f8b1c-5a64-414f-b6c8-e9abcb07c21b</errorID>
      <errorWord>业</errorWord>
      <group>L1_Word</group>
      <groupName>字词问题</groupName>
      <ability>L2_Typo</ability>
      <abilityName>字词错误</abilityName>
      <candidateList>
        <item>业园</item>
      </candidateList>
      <explain/>
      <paraID>49B7DD9D</paraID>
      <start>21</start>
      <end>22</end>
      <status>unmodified</status>
      <modifiedWord/>
      <trackRevisions>false</trackRevisions>
    </reviewItem>
    <reviewItem>
      <errorID>2ee4ac52-8b57-489b-9b5d-cfd8d9049716</errorID>
      <errorWord>，</errorWord>
      <group>L1_Word</group>
      <groupName>字词问题</groupName>
      <ability>L2_Typo</ability>
      <abilityName>字词错误</abilityName>
      <candidateList>
        <item>，对</item>
      </candidateList>
      <explain/>
      <paraID> DC56588</paraID>
      <start>58</start>
      <end>59</end>
      <status>unmodified</status>
      <modifiedWord/>
      <trackRevisions>false</trackRevisions>
    </reviewItem>
    <reviewItem>
      <errorID>d23828e6-54ed-43e5-b2ed-2a114cdfa404</errorID>
      <errorWord>&lt;</errorWord>
      <group>L1_Format</group>
      <groupName>格式问题</groupName>
      <ability>L2_HalfPunc</ability>
      <abilityName>全半角检查</abilityName>
      <candidateList>
        <item>〈</item>
      </candidateList>
      <explain>文本全半角错误。</explain>
      <paraID>45D27F79</paraID>
      <start>98</start>
      <end>99</end>
      <status>unmodified</status>
      <modifiedWord/>
      <trackRevisions>false</trackRevisions>
    </reviewItem>
    <reviewItem>
      <errorID>99a8b25b-f6f5-48af-ac54-69df8f55e291</errorID>
      <errorWord>&gt;的通知》</errorWord>
      <group>L1_Punc</group>
      <groupName>标点问题</groupName>
      <ability>L2_Punc</ability>
      <abilityName>标点符号检查</abilityName>
      <candidateList>
        <item>〉的通知》</item>
      </candidateList>
      <explain/>
      <paraID>45D27F79</paraID>
      <start>118</start>
      <end>123</end>
      <status>unmodified</status>
      <modifiedWord/>
      <trackRevisions>false</trackRevisions>
    </reviewItem>
    <reviewItem>
      <errorID>f4892fb7-ab1b-4f77-88f4-7a1f704dfcbe</errorID>
      <errorWord>[2024]89号</errorWord>
      <group>L1_Knowledge</group>
      <groupName>知识性问题</groupName>
      <ability>L2_Knowledge</ability>
      <abilityName>其他知识</abilityName>
      <candidateList>
        <item>〔2024〕89号</item>
      </candidateList>
      <explain>发文字号格式错误。</explain>
      <paraID>45D27F79</paraID>
      <start>176</start>
      <end>185</end>
      <status>unmodified</status>
      <modifiedWord/>
      <trackRevisions>false</trackRevisions>
    </reviewItem>
    <reviewItem>
      <errorID>ba8a7166-364a-466f-90c0-2e6a662e0a46</errorID>
      <errorWord>《产业结构调整指导目录》（2024年本）</errorWord>
      <group>L1_Knowledge</group>
      <groupName>知识性问题</groupName>
      <ability>L2_Knowledge</ability>
      <abilityName>其他知识</abilityName>
      <candidateList>
        <item>《产业结构调整指导目录（2024年本）》</item>
      </candidateList>
      <explain>疑似政策文件、法律法规名称等书写不规范，请注意检查。</explain>
      <paraID>3A3FCB75</paraID>
      <start>36</start>
      <end>56</end>
      <status>unmodified</status>
      <modifiedWord/>
      <trackRevisions>false</trackRevisions>
    </reviewItem>
    <reviewItem>
      <errorID>98752759-ccd6-46b4-a2cf-3e028ce64611</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73AF1172</paraID>
      <start>0</start>
      <end>2</end>
      <status>unmodified</status>
      <modifiedWord/>
      <trackRevisions>false</trackRevisions>
    </reviewItem>
    <reviewItem>
      <errorID>3e1c5761-9116-4abc-a5d2-d0cc086376ee</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68A4BBF7</paraID>
      <start>0</start>
      <end>2</end>
      <status>unmodified</status>
      <modifiedWord/>
      <trackRevisions>false</trackRevisions>
    </reviewItem>
    <reviewItem>
      <errorID>15017a3e-58a6-4e00-bd95-e106dfe5c466</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603F246E</paraID>
      <start>35</start>
      <end>38</end>
      <status>unmodified</status>
      <modifiedWord/>
      <trackRevisions>false</trackRevisions>
    </reviewItem>
    <reviewItem>
      <errorID>3b508202-5c48-4590-a0dc-9e76d6047fe8</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603F246E</paraID>
      <start>60</start>
      <end>63</end>
      <status>unmodified</status>
      <modifiedWord/>
      <trackRevisions>false</trackRevisions>
    </reviewItem>
    <reviewItem>
      <errorID>cad05bb2-982a-410c-bfc3-c7ac82c6b75e</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603F246E</paraID>
      <start>79</start>
      <end>82</end>
      <status>unmodified</status>
      <modifiedWord/>
      <trackRevisions>false</trackRevisions>
    </reviewItem>
    <reviewItem>
      <errorID>891d5a66-20c5-46e8-927a-b12e09875ddd</errorID>
      <errorWord>&lt;</errorWord>
      <group>L1_Format</group>
      <groupName>格式问题</groupName>
      <ability>L2_HalfPunc</ability>
      <abilityName>全半角检查</abilityName>
      <candidateList>
        <item>〈</item>
      </candidateList>
      <explain>文本全半角错误。</explain>
      <paraID>54BD0555</paraID>
      <start>12</start>
      <end>13</end>
      <status>unmodified</status>
      <modifiedWord/>
      <trackRevisions>false</trackRevisions>
    </reviewItem>
    <reviewItem>
      <errorID>83b77ace-c752-49e2-9d9c-a802cd7932c4</errorID>
      <errorWord>&gt;的通知》</errorWord>
      <group>L1_Punc</group>
      <groupName>标点问题</groupName>
      <ability>L2_Punc</ability>
      <abilityName>标点符号检查</abilityName>
      <candidateList>
        <item>〉的通知》</item>
      </candidateList>
      <explain/>
      <paraID>54BD0555</paraID>
      <start>29</start>
      <end>34</end>
      <status>unmodified</status>
      <modifiedWord/>
      <trackRevisions>false</trackRevisions>
    </reviewItem>
    <reviewItem>
      <errorID>b46970c9-bf8b-48c2-b2da-de72eb386a91</errorID>
      <errorWord>[2022]2号</errorWord>
      <group>L1_Knowledge</group>
      <groupName>知识性问题</groupName>
      <ability>L2_Knowledge</ability>
      <abilityName>其他知识</abilityName>
      <candidateList>
        <item>〔2022〕2号</item>
      </candidateList>
      <explain>发文字号格式错误。</explain>
      <paraID>54BD0555</paraID>
      <start>38</start>
      <end>46</end>
      <status>unmodified</status>
      <modifiedWord/>
      <trackRevisions>false</trackRevisions>
    </reviewItem>
    <reviewItem>
      <errorID>5bd8d0d3-e968-4628-9ca7-3ba7ab1d0d51</errorID>
      <errorWord>[2024]89号</errorWord>
      <group>L1_Knowledge</group>
      <groupName>知识性问题</groupName>
      <ability>L2_Knowledge</ability>
      <abilityName>其他知识</abilityName>
      <candidateList>
        <item>〔2024〕89号</item>
      </candidateList>
      <explain>发文字号格式错误。</explain>
      <paraID>23B733C5</paraID>
      <start>42</start>
      <end>51</end>
      <status>unmodified</status>
      <modifiedWord/>
      <trackRevisions>false</trackRevisions>
    </reviewItem>
    <reviewItem>
      <errorID>ce1c6d5e-4a62-4f4c-8c65-7cc44e5b84de</errorID>
      <errorWord>&lt;</errorWord>
      <group>L1_Format</group>
      <groupName>格式问题</groupName>
      <ability>L2_HalfPunc</ability>
      <abilityName>全半角检查</abilityName>
      <candidateList>
        <item>〈</item>
      </candidateList>
      <explain>文本全半角错误。</explain>
      <paraID>4A90D948</paraID>
      <start>15</start>
      <end>16</end>
      <status>unmodified</status>
      <modifiedWord/>
      <trackRevisions>false</trackRevisions>
    </reviewItem>
    <reviewItem>
      <errorID>b2f3910e-9dba-495b-b2f7-ed1ff053c02f</errorID>
      <errorWord>&gt;》</errorWord>
      <group>L1_Punc</group>
      <groupName>标点问题</groupName>
      <ability>L2_Punc</ability>
      <abilityName>标点符号检查</abilityName>
      <candidateList>
        <item>》</item>
      </candidateList>
      <explain/>
      <paraID>4A90D948</paraID>
      <start>38</start>
      <end>40</end>
      <status>unmodified</status>
      <modifiedWord/>
      <trackRevisions>false</trackRevisions>
    </reviewItem>
    <reviewItem>
      <errorID>305901e8-b1fd-446c-84ac-dc43eeb992b9</errorID>
      <errorWord>[2021]144号</errorWord>
      <group>L1_Knowledge</group>
      <groupName>知识性问题</groupName>
      <ability>L2_Knowledge</ability>
      <abilityName>其他知识</abilityName>
      <candidateList>
        <item>〔2021〕144号</item>
      </candidateList>
      <explain>发文字号格式错误。</explain>
      <paraID>4A90D948</paraID>
      <start>45</start>
      <end>55</end>
      <status>unmodified</status>
      <modifiedWord/>
      <trackRevisions>false</trackRevisions>
    </reviewItem>
    <reviewItem>
      <errorID>55253028-cf7e-4972-b210-8cc934d1afaf</errorID>
      <errorWord>》</errorWord>
      <group>L1_Word</group>
      <groupName>字词问题</groupName>
      <ability>L2_Typo</ability>
      <abilityName>字词错误</abilityName>
      <candidateList>
        <item>》和</item>
      </candidateList>
      <explain/>
      <paraID>6A9611E0</paraID>
      <start>25</start>
      <end>26</end>
      <status>unmodified</status>
      <modifiedWord/>
      <trackRevisions>false</trackRevisions>
    </reviewItem>
    <reviewItem>
      <errorID>c164f503-8062-4ce5-b41b-60e9a6808ffc</errorID>
      <errorWord>、以及</errorWord>
      <group>L1_Punc</group>
      <groupName>标点问题</groupName>
      <ability>L2_Punc</ability>
      <abilityName>标点符号检查</abilityName>
      <candidateList>
        <item>，以及</item>
      </candidateList>
      <explain>连接词前后不宜使用顿号，建议使用逗号。</explain>
      <paraID>2B361425</paraID>
      <start>200</start>
      <end>203</end>
      <status>unmodified</status>
      <modifiedWord/>
      <trackRevisions>false</trackRevisions>
    </reviewItem>
    <reviewItem>
      <errorID>ef89a34b-536e-4c1d-bb90-15192342f1fd</errorID>
      <errorWord>[2024]89号</errorWord>
      <group>L1_Knowledge</group>
      <groupName>知识性问题</groupName>
      <ability>L2_Knowledge</ability>
      <abilityName>其他知识</abilityName>
      <candidateList>
        <item>〔2024〕89号</item>
      </candidateList>
      <explain>发文字号格式错误。</explain>
      <paraID>2BC241E5</paraID>
      <start>42</start>
      <end>51</end>
      <status>unmodified</status>
      <modifiedWord/>
      <trackRevisions>false</trackRevisions>
    </reviewItem>
    <reviewItem>
      <errorID>19008437-2139-4b18-b83d-07d07fbf8f25</errorID>
      <errorWord>上线</errorWord>
      <group>L1_Word</group>
      <groupName>字词问题</groupName>
      <ability>L2_Typo</ability>
      <abilityName>字词错误</abilityName>
      <candidateList>
        <item>上限</item>
      </candidateList>
      <explain/>
      <paraID>3E174E51</paraID>
      <start>30</start>
      <end>32</end>
      <status>unmodified</status>
      <modifiedWord/>
      <trackRevisions>false</trackRevisions>
    </reviewItem>
    <reviewItem>
      <errorID>b693b50a-6a7e-4f7f-bdb6-c7c991d55150</errorID>
      <errorWord>[2024]89号</errorWord>
      <group>L1_Knowledge</group>
      <groupName>知识性问题</groupName>
      <ability>L2_Knowledge</ability>
      <abilityName>其他知识</abilityName>
      <candidateList>
        <item>〔2024〕89号</item>
      </candidateList>
      <explain>发文字号格式错误。</explain>
      <paraID> E2D2893</paraID>
      <start>42</start>
      <end>51</end>
      <status>unmodified</status>
      <modifiedWord/>
      <trackRevisions>false</trackRevisions>
    </reviewItem>
    <reviewItem>
      <errorID>647e446d-9027-487a-bea7-111524c26d96</errorID>
      <errorWord>(</errorWord>
      <group>L1_Format</group>
      <groupName>格式问题</groupName>
      <ability>L2_HalfPunc</ability>
      <abilityName>全半角检查</abilityName>
      <candidateList>
        <item>（</item>
      </candidateList>
      <explain>文本全半角错误。</explain>
      <paraID>61EBB559</paraID>
      <start>90</start>
      <end>91</end>
      <status>unmodified</status>
      <modifiedWord/>
      <trackRevisions>false</trackRevisions>
    </reviewItem>
    <reviewItem>
      <errorID>da759fe6-f9b8-4804-a809-c0062ba7bb75</errorID>
      <errorWord>)</errorWord>
      <group>L1_Format</group>
      <groupName>格式问题</groupName>
      <ability>L2_HalfPunc</ability>
      <abilityName>全半角检查</abilityName>
      <candidateList>
        <item>）</item>
      </candidateList>
      <explain>文本全半角错误。</explain>
      <paraID>61EBB559</paraID>
      <start>113</start>
      <end>114</end>
      <status>unmodified</status>
      <modifiedWord/>
      <trackRevisions>false</trackRevisions>
    </reviewItem>
    <reviewItem>
      <errorID>5558fae6-f79b-4908-916d-b5617a187d58</errorID>
      <errorWord>(</errorWord>
      <group>L1_Format</group>
      <groupName>格式问题</groupName>
      <ability>L2_HalfPunc</ability>
      <abilityName>全半角检查</abilityName>
      <candidateList>
        <item>（</item>
      </candidateList>
      <explain>文本全半角错误。</explain>
      <paraID>14BF2B81</paraID>
      <start>73</start>
      <end>74</end>
      <status>unmodified</status>
      <modifiedWord/>
      <trackRevisions>false</trackRevisions>
    </reviewItem>
    <reviewItem>
      <errorID>b67e4c5d-6e17-4cc6-ac3c-84666681a031</errorID>
      <errorWord>)</errorWord>
      <group>L1_Format</group>
      <groupName>格式问题</groupName>
      <ability>L2_HalfPunc</ability>
      <abilityName>全半角检查</abilityName>
      <candidateList>
        <item>）</item>
      </candidateList>
      <explain>文本全半角错误。</explain>
      <paraID>14BF2B81</paraID>
      <start>96</start>
      <end>97</end>
      <status>unmodified</status>
      <modifiedWord/>
      <trackRevisions>false</trackRevisions>
    </reviewItem>
    <reviewItem>
      <errorID>76bacec6-13fa-4896-a3b7-c2e1f1607d16</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56BD11E6</paraID>
      <start>41</start>
      <end>44</end>
      <status>unmodified</status>
      <modifiedWord/>
      <trackRevisions>false</trackRevisions>
    </reviewItem>
    <reviewItem>
      <errorID>13dc026d-e82e-43e0-b8ca-0babaccd0545</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56BD11E6</paraID>
      <start>66</start>
      <end>69</end>
      <status>unmodified</status>
      <modifiedWord/>
      <trackRevisions>false</trackRevisions>
    </reviewItem>
    <reviewItem>
      <errorID>ff6f5cd2-f3cb-48fb-a964-7fb775a59042</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56BD11E6</paraID>
      <start>85</start>
      <end>88</end>
      <status>unmodified</status>
      <modifiedWord/>
      <trackRevisions>false</trackRevisions>
    </reviewItem>
    <reviewItem>
      <errorID>6247f784-20d3-4de5-8cfa-2cf0e87a2909</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6C31585D</paraID>
      <start>0</start>
      <end>2</end>
      <status>unmodified</status>
      <modifiedWord/>
      <trackRevisions>false</trackRevisions>
    </reviewItem>
    <reviewItem>
      <errorID>ce10ba56-c5fb-4899-a3b8-ca5c062387d4</errorID>
      <errorWord>(</errorWord>
      <group>L1_Format</group>
      <groupName>格式问题</groupName>
      <ability>L2_HalfPunc</ability>
      <abilityName>全半角检查</abilityName>
      <candidateList>
        <item>（</item>
      </candidateList>
      <explain>文本全半角错误。</explain>
      <paraID> 33627CD</paraID>
      <start>25</start>
      <end>26</end>
      <status>unmodified</status>
      <modifiedWord/>
      <trackRevisions>false</trackRevisions>
    </reviewItem>
    <reviewItem>
      <errorID>9b816eca-c899-4e84-bed7-ec7d35095402</errorID>
      <errorWord>[2021]65号</errorWord>
      <group>L1_Knowledge</group>
      <groupName>知识性问题</groupName>
      <ability>L2_Knowledge</ability>
      <abilityName>其他知识</abilityName>
      <candidateList>
        <item>〔2021〕65号</item>
      </candidateList>
      <explain>发文字号格式错误。</explain>
      <paraID> 33627CD</paraID>
      <start>29</start>
      <end>38</end>
      <status>unmodified</status>
      <modifiedWord/>
      <trackRevisions>false</trackRevisions>
    </reviewItem>
    <reviewItem>
      <errorID>efad85f1-3cf9-49d8-a244-fbf959393cf4</errorID>
      <errorWord>)</errorWord>
      <group>L1_Format</group>
      <groupName>格式问题</groupName>
      <ability>L2_HalfPunc</ability>
      <abilityName>全半角检查</abilityName>
      <candidateList>
        <item>）</item>
      </candidateList>
      <explain>文本全半角错误。</explain>
      <paraID> 33627CD</paraID>
      <start>38</start>
      <end>39</end>
      <status>unmodified</status>
      <modifiedWord/>
      <trackRevisions>false</trackRevisions>
    </reviewItem>
    <reviewItem>
      <errorID>ee667823-fe31-4b2a-9bd4-a4b0108a394d</errorID>
      <errorWord>操作间中</errorWord>
      <group>L1_Word</group>
      <groupName>字词问题</groupName>
      <ability>L2_Typo</ability>
      <abilityName>字词错误</abilityName>
      <candidateList>
        <item>操作间</item>
      </candidateList>
      <explain/>
      <paraID>388B7FBA</paraID>
      <start>16</start>
      <end>20</end>
      <status>unmodified</status>
      <modifiedWord/>
      <trackRevisions>false</trackRevisions>
    </reviewItem>
    <reviewItem>
      <errorID>5b598f08-8710-476d-beb6-26594519c83f</errorID>
      <errorWord>(</errorWord>
      <group>L1_Format</group>
      <groupName>格式问题</groupName>
      <ability>L2_HalfPunc</ability>
      <abilityName>全半角检查</abilityName>
      <candidateList>
        <item>（</item>
      </candidateList>
      <explain>文本全半角错误。</explain>
      <paraID>6962BA94</paraID>
      <start>22</start>
      <end>23</end>
      <status>unmodified</status>
      <modifiedWord/>
      <trackRevisions>false</trackRevisions>
    </reviewItem>
    <reviewItem>
      <errorID>027e9dac-156e-4b6a-b1b3-fb67050cb13b</errorID>
      <errorWord>[2021]2号</errorWord>
      <group>L1_Knowledge</group>
      <groupName>知识性问题</groupName>
      <ability>L2_Knowledge</ability>
      <abilityName>其他知识</abilityName>
      <candidateList>
        <item>〔2021〕2号</item>
      </candidateList>
      <explain>发文字号格式错误。</explain>
      <paraID>6962BA94</paraID>
      <start>27</start>
      <end>35</end>
      <status>unmodified</status>
      <modifiedWord/>
      <trackRevisions>false</trackRevisions>
    </reviewItem>
    <reviewItem>
      <errorID>9496b94c-da9a-45be-99e6-477af9d93714</errorID>
      <errorWord>)</errorWord>
      <group>L1_Format</group>
      <groupName>格式问题</groupName>
      <ability>L2_HalfPunc</ability>
      <abilityName>全半角检查</abilityName>
      <candidateList>
        <item>）</item>
      </candidateList>
      <explain>文本全半角错误。</explain>
      <paraID>6962BA94</paraID>
      <start>35</start>
      <end>36</end>
      <status>unmodified</status>
      <modifiedWord/>
      <trackRevisions>false</trackRevisions>
    </reviewItem>
    <reviewItem>
      <errorID>ec45df73-2873-42e5-89cb-d9f627a903dd</errorID>
      <errorWord>(</errorWord>
      <group>L1_Format</group>
      <groupName>格式问题</groupName>
      <ability>L2_HalfPunc</ability>
      <abilityName>全半角检查</abilityName>
      <candidateList>
        <item>（</item>
      </candidateList>
      <explain>文本全半角错误。</explain>
      <paraID>25FEEB53</paraID>
      <start>50</start>
      <end>51</end>
      <status>unmodified</status>
      <modifiedWord/>
      <trackRevisions>false</trackRevisions>
    </reviewItem>
    <reviewItem>
      <errorID>6ce8de60-afba-44ef-a340-c2af18235e93</errorID>
      <errorWord>[2023]45号</errorWord>
      <group>L1_Knowledge</group>
      <groupName>知识性问题</groupName>
      <ability>L2_Knowledge</ability>
      <abilityName>其他知识</abilityName>
      <candidateList>
        <item>〔2023〕45号</item>
      </candidateList>
      <explain>发文字号格式错误。</explain>
      <paraID>25FEEB53</paraID>
      <start>55</start>
      <end>64</end>
      <status>unmodified</status>
      <modifiedWord/>
      <trackRevisions>false</trackRevisions>
    </reviewItem>
    <reviewItem>
      <errorID>a002ee3d-9c13-4117-8d0f-9a32c8beca8d</errorID>
      <errorWord>)</errorWord>
      <group>L1_Format</group>
      <groupName>格式问题</groupName>
      <ability>L2_HalfPunc</ability>
      <abilityName>全半角检查</abilityName>
      <candidateList>
        <item>）</item>
      </candidateList>
      <explain>文本全半角错误。</explain>
      <paraID>25FEEB53</paraID>
      <start>64</start>
      <end>65</end>
      <status>unmodified</status>
      <modifiedWord/>
      <trackRevisions>false</trackRevisions>
    </reviewItem>
    <reviewItem>
      <errorID>c35a5e2a-31e6-47d2-a9ef-d31f3a96ad0c</errorID>
      <errorWord>&lt;</errorWord>
      <group>L1_Format</group>
      <groupName>格式问题</groupName>
      <ability>L2_HalfPunc</ability>
      <abilityName>全半角检查</abilityName>
      <candidateList>
        <item>〈</item>
      </candidateList>
      <explain>文本全半角错误。</explain>
      <paraID>3B8DE37D</paraID>
      <start>23</start>
      <end>24</end>
      <status>unmodified</status>
      <modifiedWord/>
      <trackRevisions>false</trackRevisions>
    </reviewItem>
    <reviewItem>
      <errorID>b271b824-1e9e-4e4f-bd4b-01f6eadb61bb</errorID>
      <errorWord>&gt;的通知》</errorWord>
      <group>L1_Punc</group>
      <groupName>标点问题</groupName>
      <ability>L2_Punc</ability>
      <abilityName>标点符号检查</abilityName>
      <candidateList>
        <item>〉的通知》</item>
      </candidateList>
      <explain/>
      <paraID>3B8DE37D</paraID>
      <start>44</start>
      <end>49</end>
      <status>unmodified</status>
      <modifiedWord/>
      <trackRevisions>false</trackRevisions>
    </reviewItem>
    <reviewItem>
      <errorID>21e35d83-db74-4bdd-8a82-5abe44c30512</errorID>
      <errorWord>(</errorWord>
      <group>L1_Format</group>
      <groupName>格式问题</groupName>
      <ability>L2_HalfPunc</ability>
      <abilityName>全半角检查</abilityName>
      <candidateList>
        <item>（</item>
      </candidateList>
      <explain>文本全半角错误。</explain>
      <paraID>3B8DE37D</paraID>
      <start>49</start>
      <end>50</end>
      <status>unmodified</status>
      <modifiedWord/>
      <trackRevisions>false</trackRevisions>
    </reviewItem>
    <reviewItem>
      <errorID>da927a30-b5ff-44c1-ae54-903c1f1193ed</errorID>
      <errorWord>[2023]44号</errorWord>
      <group>L1_Knowledge</group>
      <groupName>知识性问题</groupName>
      <ability>L2_Knowledge</ability>
      <abilityName>其他知识</abilityName>
      <candidateList>
        <item>〔2023〕44号</item>
      </candidateList>
      <explain>发文字号格式错误。</explain>
      <paraID>3B8DE37D</paraID>
      <start>54</start>
      <end>63</end>
      <status>unmodified</status>
      <modifiedWord/>
      <trackRevisions>false</trackRevisions>
    </reviewItem>
    <reviewItem>
      <errorID>5600a85b-dbfd-40aa-bbff-902ae996efaf</errorID>
      <errorWord>)</errorWord>
      <group>L1_Format</group>
      <groupName>格式问题</groupName>
      <ability>L2_HalfPunc</ability>
      <abilityName>全半角检查</abilityName>
      <candidateList>
        <item>）</item>
      </candidateList>
      <explain>文本全半角错误。</explain>
      <paraID>3B8DE37D</paraID>
      <start>63</start>
      <end>64</end>
      <status>unmodified</status>
      <modifiedWord/>
      <trackRevisions>false</trackRevisions>
    </reviewItem>
    <reviewItem>
      <errorID>6fe4a834-5894-43b5-8cce-629677b78526</errorID>
      <errorWord>[2024]91号</errorWord>
      <group>L1_Knowledge</group>
      <groupName>知识性问题</groupName>
      <ability>L2_Knowledge</ability>
      <abilityName>其他知识</abilityName>
      <candidateList>
        <item>〔2024〕91号</item>
      </candidateList>
      <explain>发文字号格式错误。</explain>
      <paraID>40EEA5F3</paraID>
      <start>27</start>
      <end>36</end>
      <status>unmodified</status>
      <modifiedWord/>
      <trackRevisions>false</trackRevisions>
    </reviewItem>
    <reviewItem>
      <errorID>de8cc814-d882-4abf-be8b-a6ab60dc7fa6</errorID>
      <errorWord>碘值</errorWord>
      <group>L1_Word</group>
      <groupName>字词问题</groupName>
      <ability>L2_Typo</ability>
      <abilityName>字词错误</abilityName>
      <candidateList>
        <item>限值</item>
      </candidateList>
      <explain/>
      <paraID> 7983CC8</paraID>
      <start>49</start>
      <end>51</end>
      <status>unmodified</status>
      <modifiedWord/>
      <trackRevisions>false</trackRevisions>
    </reviewItem>
    <reviewItem>
      <errorID>09222340-7a6b-43e0-9800-644ab2baa992</errorID>
      <errorWord>(</errorWord>
      <group>L1_Format</group>
      <groupName>格式问题</groupName>
      <ability>L2_HalfPunc</ability>
      <abilityName>全半角检查</abilityName>
      <candidateList>
        <item>（</item>
      </candidateList>
      <explain>文本全半角错误。</explain>
      <paraID> 9762026</paraID>
      <start>23</start>
      <end>24</end>
      <status>unmodified</status>
      <modifiedWord/>
      <trackRevisions>false</trackRevisions>
    </reviewItem>
    <reviewItem>
      <errorID>8fd140b7-8367-4906-93a3-a236f4dab601</errorID>
      <errorWord>[2024]35号</errorWord>
      <group>L1_Knowledge</group>
      <groupName>知识性问题</groupName>
      <ability>L2_Knowledge</ability>
      <abilityName>其他知识</abilityName>
      <candidateList>
        <item>〔2024〕35号</item>
      </candidateList>
      <explain>发文字号格式错误。</explain>
      <paraID> 9762026</paraID>
      <start>28</start>
      <end>37</end>
      <status>unmodified</status>
      <modifiedWord/>
      <trackRevisions>false</trackRevisions>
    </reviewItem>
    <reviewItem>
      <errorID>40de15f0-1172-4362-bd47-3df393fbc8c1</errorID>
      <errorWord>)</errorWord>
      <group>L1_Format</group>
      <groupName>格式问题</groupName>
      <ability>L2_HalfPunc</ability>
      <abilityName>全半角检查</abilityName>
      <candidateList>
        <item>）</item>
      </candidateList>
      <explain>文本全半角错误。</explain>
      <paraID> 9762026</paraID>
      <start>37</start>
      <end>38</end>
      <status>unmodified</status>
      <modifiedWord/>
      <trackRevisions>false</trackRevisions>
    </reviewItem>
    <reviewItem>
      <errorID>f3d8f08a-c2c3-42f7-9fc7-75df25e5f8cb</errorID>
      <errorWord>(</errorWord>
      <group>L1_Format</group>
      <groupName>格式问题</groupName>
      <ability>L2_HalfPunc</ability>
      <abilityName>全半角检查</abilityName>
      <candidateList>
        <item>（</item>
      </candidateList>
      <explain>文本全半角错误。</explain>
      <paraID>2729DDDA</paraID>
      <start>35</start>
      <end>36</end>
      <status>unmodified</status>
      <modifiedWord/>
      <trackRevisions>false</trackRevisions>
    </reviewItem>
    <reviewItem>
      <errorID>26b746cd-7ee8-4d99-899c-9bd7df5416c5</errorID>
      <errorWord>[2021]65号</errorWord>
      <group>L1_Knowledge</group>
      <groupName>知识性问题</groupName>
      <ability>L2_Knowledge</ability>
      <abilityName>其他知识</abilityName>
      <candidateList>
        <item>〔2021〕65号</item>
      </candidateList>
      <explain>发文字号格式错误。</explain>
      <paraID>2729DDDA</paraID>
      <start>39</start>
      <end>48</end>
      <status>unmodified</status>
      <modifiedWord/>
      <trackRevisions>false</trackRevisions>
    </reviewItem>
    <reviewItem>
      <errorID>66408c73-da9d-428f-ba8b-07bc644e19c6</errorID>
      <errorWord>)</errorWord>
      <group>L1_Format</group>
      <groupName>格式问题</groupName>
      <ability>L2_HalfPunc</ability>
      <abilityName>全半角检查</abilityName>
      <candidateList>
        <item>）</item>
      </candidateList>
      <explain>文本全半角错误。</explain>
      <paraID>2729DDDA</paraID>
      <start>48</start>
      <end>49</end>
      <status>unmodified</status>
      <modifiedWord/>
      <trackRevisions>false</trackRevisions>
    </reviewItem>
    <reviewItem>
      <errorID>ea4e9a98-3aeb-441d-95e2-c2b65b33b776</errorID>
      <errorWord>(</errorWord>
      <group>L1_Format</group>
      <groupName>格式问题</groupName>
      <ability>L2_HalfPunc</ability>
      <abilityName>全半角检查</abilityName>
      <candidateList>
        <item>（</item>
      </candidateList>
      <explain>文本全半角错误。</explain>
      <paraID>2729DDDA</paraID>
      <start>72</start>
      <end>73</end>
      <status>unmodified</status>
      <modifiedWord/>
      <trackRevisions>false</trackRevisions>
    </reviewItem>
    <reviewItem>
      <errorID>f023263e-5fd8-41ca-a823-abb9229e2bb4</errorID>
      <errorWord>[2021]2号</errorWord>
      <group>L1_Knowledge</group>
      <groupName>知识性问题</groupName>
      <ability>L2_Knowledge</ability>
      <abilityName>其他知识</abilityName>
      <candidateList>
        <item>〔2021〕2号</item>
      </candidateList>
      <explain>发文字号格式错误。</explain>
      <paraID>2729DDDA</paraID>
      <start>77</start>
      <end>85</end>
      <status>unmodified</status>
      <modifiedWord/>
      <trackRevisions>false</trackRevisions>
    </reviewItem>
    <reviewItem>
      <errorID>523c9a72-87f3-41de-99df-491e0d57284f</errorID>
      <errorWord>)</errorWord>
      <group>L1_Format</group>
      <groupName>格式问题</groupName>
      <ability>L2_HalfPunc</ability>
      <abilityName>全半角检查</abilityName>
      <candidateList>
        <item>）</item>
      </candidateList>
      <explain>文本全半角错误。</explain>
      <paraID>2729DDDA</paraID>
      <start>85</start>
      <end>86</end>
      <status>unmodified</status>
      <modifiedWord/>
      <trackRevisions>false</trackRevisions>
    </reviewItem>
    <reviewItem>
      <errorID>ee03981a-d891-430f-82b7-5c448d6a99de</errorID>
      <errorWord>(</errorWord>
      <group>L1_Format</group>
      <groupName>格式问题</groupName>
      <ability>L2_HalfPunc</ability>
      <abilityName>全半角检查</abilityName>
      <candidateList>
        <item>（</item>
      </candidateList>
      <explain>文本全半角错误。</explain>
      <paraID>2729DDDA</paraID>
      <start>137</start>
      <end>138</end>
      <status>unmodified</status>
      <modifiedWord/>
      <trackRevisions>false</trackRevisions>
    </reviewItem>
    <reviewItem>
      <errorID>5c099346-74f5-4551-baeb-3ace76d4a52f</errorID>
      <errorWord>[2023]45号</errorWord>
      <group>L1_Knowledge</group>
      <groupName>知识性问题</groupName>
      <ability>L2_Knowledge</ability>
      <abilityName>其他知识</abilityName>
      <candidateList>
        <item>〔2023〕45号</item>
      </candidateList>
      <explain>发文字号格式错误。</explain>
      <paraID>2729DDDA</paraID>
      <start>142</start>
      <end>151</end>
      <status>unmodified</status>
      <modifiedWord/>
      <trackRevisions>false</trackRevisions>
    </reviewItem>
    <reviewItem>
      <errorID>adfd7305-44a0-4756-904a-9ed09333d502</errorID>
      <errorWord>)</errorWord>
      <group>L1_Format</group>
      <groupName>格式问题</groupName>
      <ability>L2_HalfPunc</ability>
      <abilityName>全半角检查</abilityName>
      <candidateList>
        <item>）</item>
      </candidateList>
      <explain>文本全半角错误。</explain>
      <paraID>2729DDDA</paraID>
      <start>151</start>
      <end>152</end>
      <status>unmodified</status>
      <modifiedWord/>
      <trackRevisions>false</trackRevisions>
    </reviewItem>
    <reviewItem>
      <errorID>981c09ce-2584-4f9c-b419-8bb8eb3845be</errorID>
      <errorWord>&lt;</errorWord>
      <group>L1_Format</group>
      <groupName>格式问题</groupName>
      <ability>L2_HalfPunc</ability>
      <abilityName>全半角检查</abilityName>
      <candidateList>
        <item>〈</item>
      </candidateList>
      <explain>文本全半角错误。</explain>
      <paraID>2729DDDA</paraID>
      <start>176</start>
      <end>177</end>
      <status>unmodified</status>
      <modifiedWord/>
      <trackRevisions>false</trackRevisions>
    </reviewItem>
    <reviewItem>
      <errorID>7e6fb7ee-da1f-43f4-8822-4e9005e18f61</errorID>
      <errorWord>&gt;的通知》</errorWord>
      <group>L1_Punc</group>
      <groupName>标点问题</groupName>
      <ability>L2_Punc</ability>
      <abilityName>标点符号检查</abilityName>
      <candidateList>
        <item>〉的通知》</item>
      </candidateList>
      <explain/>
      <paraID>2729DDDA</paraID>
      <start>197</start>
      <end>202</end>
      <status>unmodified</status>
      <modifiedWord/>
      <trackRevisions>false</trackRevisions>
    </reviewItem>
    <reviewItem>
      <errorID>343f764a-0b92-4994-bd5b-dd994e3a2314</errorID>
      <errorWord>(</errorWord>
      <group>L1_Format</group>
      <groupName>格式问题</groupName>
      <ability>L2_HalfPunc</ability>
      <abilityName>全半角检查</abilityName>
      <candidateList>
        <item>（</item>
      </candidateList>
      <explain>文本全半角错误。</explain>
      <paraID>2729DDDA</paraID>
      <start>202</start>
      <end>203</end>
      <status>unmodified</status>
      <modifiedWord/>
      <trackRevisions>false</trackRevisions>
    </reviewItem>
    <reviewItem>
      <errorID>45f22a54-98a0-4cce-afbc-9dc21798c93c</errorID>
      <errorWord>[2023]44号</errorWord>
      <group>L1_Knowledge</group>
      <groupName>知识性问题</groupName>
      <ability>L2_Knowledge</ability>
      <abilityName>其他知识</abilityName>
      <candidateList>
        <item>〔2023〕44号</item>
      </candidateList>
      <explain>发文字号格式错误。</explain>
      <paraID>2729DDDA</paraID>
      <start>207</start>
      <end>216</end>
      <status>unmodified</status>
      <modifiedWord/>
      <trackRevisions>false</trackRevisions>
    </reviewItem>
    <reviewItem>
      <errorID>bfd8ccb3-2c5e-4b03-bae9-7199b0dd3b2e</errorID>
      <errorWord>)</errorWord>
      <group>L1_Format</group>
      <groupName>格式问题</groupName>
      <ability>L2_HalfPunc</ability>
      <abilityName>全半角检查</abilityName>
      <candidateList>
        <item>）</item>
      </candidateList>
      <explain>文本全半角错误。</explain>
      <paraID>2729DDDA</paraID>
      <start>216</start>
      <end>217</end>
      <status>unmodified</status>
      <modifiedWord/>
      <trackRevisions>false</trackRevisions>
    </reviewItem>
    <reviewItem>
      <errorID>bd164c45-54fa-417b-8f71-8ce837cd20d4</errorID>
      <errorWord>[2024]91号</errorWord>
      <group>L1_Knowledge</group>
      <groupName>知识性问题</groupName>
      <ability>L2_Knowledge</ability>
      <abilityName>其他知识</abilityName>
      <candidateList>
        <item>〔2024〕91号</item>
      </candidateList>
      <explain>发文字号格式错误。</explain>
      <paraID>2729DDDA</paraID>
      <start>245</start>
      <end>254</end>
      <status>unmodified</status>
      <modifiedWord/>
      <trackRevisions>false</trackRevisions>
    </reviewItem>
    <reviewItem>
      <errorID>685665ab-4297-4569-8b14-30be2f1ae9fc</errorID>
      <errorWord>(</errorWord>
      <group>L1_Format</group>
      <groupName>格式问题</groupName>
      <ability>L2_HalfPunc</ability>
      <abilityName>全半角检查</abilityName>
      <candidateList>
        <item>（</item>
      </candidateList>
      <explain>文本全半角错误。</explain>
      <paraID>2729DDDA</paraID>
      <start>279</start>
      <end>280</end>
      <status>unmodified</status>
      <modifiedWord/>
      <trackRevisions>false</trackRevisions>
    </reviewItem>
    <reviewItem>
      <errorID>80ff2f1b-c9d1-4140-aeee-a3b2e4c70517</errorID>
      <errorWord>[2024]35号</errorWord>
      <group>L1_Knowledge</group>
      <groupName>知识性问题</groupName>
      <ability>L2_Knowledge</ability>
      <abilityName>其他知识</abilityName>
      <candidateList>
        <item>〔2024〕35号</item>
      </candidateList>
      <explain>发文字号格式错误。</explain>
      <paraID>2729DDDA</paraID>
      <start>284</start>
      <end>293</end>
      <status>unmodified</status>
      <modifiedWord/>
      <trackRevisions>false</trackRevisions>
    </reviewItem>
    <reviewItem>
      <errorID>65efed28-fe64-414c-8d8e-a6d1ec131ad5</errorID>
      <errorWord>)</errorWord>
      <group>L1_Format</group>
      <groupName>格式问题</groupName>
      <ability>L2_HalfPunc</ability>
      <abilityName>全半角检查</abilityName>
      <candidateList>
        <item>）</item>
      </candidateList>
      <explain>文本全半角错误。</explain>
      <paraID>2729DDDA</paraID>
      <start>293</start>
      <end>294</end>
      <status>unmodified</status>
      <modifiedWord/>
      <trackRevisions>false</trackRevisions>
    </reviewItem>
    <reviewItem>
      <errorID>270ea876-a8a9-4ca1-a6ce-9fd7fb9eaff6</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519B4FD3</paraID>
      <start>0</start>
      <end>2</end>
      <status>unmodified</status>
      <modifiedWord/>
      <trackRevisions>false</trackRevisions>
    </reviewItem>
    <reviewItem>
      <errorID>e60669ac-0909-4386-91e8-cb0363ccabd0</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45B06FC4</paraID>
      <start>50</start>
      <end>53</end>
      <status>unmodified</status>
      <modifiedWord/>
      <trackRevisions>false</trackRevisions>
    </reviewItem>
    <reviewItem>
      <errorID>5f0bb39e-49b2-4190-9ce5-cd5b14fd94d9</errorID>
      <errorWord>&lt;</errorWord>
      <group>L1_Format</group>
      <groupName>格式问题</groupName>
      <ability>L2_HalfPunc</ability>
      <abilityName>全半角检查</abilityName>
      <candidateList>
        <item>〈</item>
      </candidateList>
      <explain>文本全半角错误。</explain>
      <paraID>45B06FC4</paraID>
      <start>108</start>
      <end>109</end>
      <status>unmodified</status>
      <modifiedWord/>
      <trackRevisions>false</trackRevisions>
    </reviewItem>
    <reviewItem>
      <errorID>8f159ab2-dc1c-43d1-9d68-5800bead4250</errorID>
      <errorWord>&gt;</errorWord>
      <group>L1_Format</group>
      <groupName>格式问题</groupName>
      <ability>L2_HalfPunc</ability>
      <abilityName>全半角检查</abilityName>
      <candidateList>
        <item>〉</item>
      </candidateList>
      <explain>文本全半角错误。</explain>
      <paraID>45B06FC4</paraID>
      <start>127</start>
      <end>128</end>
      <status>unmodified</status>
      <modifiedWord/>
      <trackRevisions>false</trackRevisions>
    </reviewItem>
    <reviewItem>
      <errorID>7df82770-b920-45b6-8b1c-6505c2364593</errorID>
      <errorWord>活性炭吸附的</errorWord>
      <group>L1_Knowledge</group>
      <groupName>知识性问题</groupName>
      <ability>L2_Term</ability>
      <abilityName>专业术语</abilityName>
      <candidateList>
        <item>活性炭吸附法</item>
      </candidateList>
      <explain/>
      <paraID>33F4F660</paraID>
      <start>148</start>
      <end>154</end>
      <status>unmodified</status>
      <modifiedWord/>
      <trackRevisions>false</trackRevisions>
    </reviewItem>
    <reviewItem>
      <errorID>49e3a4d3-db73-4b80-8509-94454c78b254</errorID>
      <errorWord>配混</errorWord>
      <group>L1_Word</group>
      <groupName>字词问题</groupName>
      <ability>L2_Typo</ability>
      <abilityName>字词错误</abilityName>
      <candidateList>
        <item>混配</item>
      </candidateList>
      <explain/>
      <paraID>4D1DD1E3</paraID>
      <start>19</start>
      <end>21</end>
      <status>unmodified</status>
      <modifiedWord/>
      <trackRevisions>false</trackRevisions>
    </reviewItem>
    <reviewItem>
      <errorID>9e0a9570-503b-4f03-a903-bbc7daf6d80f</errorID>
      <errorWord>~</errorWord>
      <group>L1_Format</group>
      <groupName>格式问题</groupName>
      <ability>L2_HalfPunc</ability>
      <abilityName>全半角检查</abilityName>
      <candidateList>
        <item>～</item>
      </candidateList>
      <explain>文本全半角错误。</explain>
      <paraID> E0B40C0</paraID>
      <start>63</start>
      <end>64</end>
      <status>unmodified</status>
      <modifiedWord/>
      <trackRevisions>false</trackRevisions>
    </reviewItem>
    <reviewItem>
      <errorID>76784322-62fe-45c9-abaf-35f50c5c8fc5</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1240E477</paraID>
      <start>0</start>
      <end>2</end>
      <status>unmodified</status>
      <modifiedWord/>
      <trackRevisions>false</trackRevisions>
    </reviewItem>
    <reviewItem>
      <errorID>03711249-e24a-4cbb-90e6-0ee17e182267</errorID>
      <errorWord>(</errorWord>
      <group>L1_Format</group>
      <groupName>格式问题</groupName>
      <ability>L2_HalfPunc</ability>
      <abilityName>全半角检查</abilityName>
      <candidateList>
        <item>（</item>
      </candidateList>
      <explain>文本全半角错误。</explain>
      <paraID>1240E477</paraID>
      <start>25</start>
      <end>26</end>
      <status>unmodified</status>
      <modifiedWord/>
      <trackRevisions>false</trackRevisions>
    </reviewItem>
    <reviewItem>
      <errorID>8b6f6309-b1d9-48f3-9c53-d3c5ff96469d</errorID>
      <errorWord>)</errorWord>
      <group>L1_Format</group>
      <groupName>格式问题</groupName>
      <ability>L2_HalfPunc</ability>
      <abilityName>全半角检查</abilityName>
      <candidateList>
        <item>）</item>
      </candidateList>
      <explain>文本全半角错误。</explain>
      <paraID>1240E477</paraID>
      <start>34</start>
      <end>35</end>
      <status>unmodified</status>
      <modifiedWord/>
      <trackRevisions>false</trackRevisions>
    </reviewItem>
    <reviewItem>
      <errorID>9e7439db-7600-4dde-9791-e46e2159b0d3</errorID>
      <errorWord>(</errorWord>
      <group>L1_Format</group>
      <groupName>格式问题</groupName>
      <ability>L2_HalfPunc</ability>
      <abilityName>全半角检查</abilityName>
      <candidateList>
        <item>（</item>
      </candidateList>
      <explain>文本全半角错误。</explain>
      <paraID>1240E477</paraID>
      <start>42</start>
      <end>43</end>
      <status>unmodified</status>
      <modifiedWord/>
      <trackRevisions>false</trackRevisions>
    </reviewItem>
    <reviewItem>
      <errorID>653c7705-814f-4f69-b09f-fdf33bc7929f</errorID>
      <errorWord>)</errorWord>
      <group>L1_Format</group>
      <groupName>格式问题</groupName>
      <ability>L2_HalfPunc</ability>
      <abilityName>全半角检查</abilityName>
      <candidateList>
        <item>）</item>
      </candidateList>
      <explain>文本全半角错误。</explain>
      <paraID>1240E477</paraID>
      <start>51</start>
      <end>52</end>
      <status>unmodified</status>
      <modifiedWord/>
      <trackRevisions>false</trackRevisions>
    </reviewItem>
    <reviewItem>
      <errorID>e7bfa305-6a19-4717-b18a-4aaa2a735492</errorID>
      <errorWord>(</errorWord>
      <group>L1_Format</group>
      <groupName>格式问题</groupName>
      <ability>L2_HalfPunc</ability>
      <abilityName>全半角检查</abilityName>
      <candidateList>
        <item>（</item>
      </candidateList>
      <explain>文本全半角错误。</explain>
      <paraID>1240E477</paraID>
      <start>90</start>
      <end>91</end>
      <status>unmodified</status>
      <modifiedWord/>
      <trackRevisions>false</trackRevisions>
    </reviewItem>
    <reviewItem>
      <errorID>6e5688b6-06aa-4947-8790-385b365fb9ed</errorID>
      <errorWord>)</errorWord>
      <group>L1_Format</group>
      <groupName>格式问题</groupName>
      <ability>L2_HalfPunc</ability>
      <abilityName>全半角检查</abilityName>
      <candidateList>
        <item>）</item>
      </candidateList>
      <explain>文本全半角错误。</explain>
      <paraID>1240E477</paraID>
      <start>99</start>
      <end>100</end>
      <status>unmodified</status>
      <modifiedWord/>
      <trackRevisions>false</trackRevisions>
    </reviewItem>
    <reviewItem>
      <errorID>3e570406-1e8c-482d-b7f9-129200cecb9e</errorID>
      <errorWord>(</errorWord>
      <group>L1_Format</group>
      <groupName>格式问题</groupName>
      <ability>L2_HalfPunc</ability>
      <abilityName>全半角检查</abilityName>
      <candidateList>
        <item>（</item>
      </candidateList>
      <explain>文本全半角错误。</explain>
      <paraID>1240E477</paraID>
      <start>107</start>
      <end>108</end>
      <status>unmodified</status>
      <modifiedWord/>
      <trackRevisions>false</trackRevisions>
    </reviewItem>
    <reviewItem>
      <errorID>40799eed-282d-4275-8c60-06af91b97d5b</errorID>
      <errorWord>)</errorWord>
      <group>L1_Format</group>
      <groupName>格式问题</groupName>
      <ability>L2_HalfPunc</ability>
      <abilityName>全半角检查</abilityName>
      <candidateList>
        <item>）</item>
      </candidateList>
      <explain>文本全半角错误。</explain>
      <paraID>1240E477</paraID>
      <start>116</start>
      <end>117</end>
      <status>unmodified</status>
      <modifiedWord/>
      <trackRevisions>false</trackRevisions>
    </reviewItem>
    <reviewItem>
      <errorID>e15e8c9a-d96e-43a5-a429-7a22d9ce4ff8</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7FC8728E</paraID>
      <start>0</start>
      <end>2</end>
      <status>unmodified</status>
      <modifiedWord/>
      <trackRevisions>false</trackRevisions>
    </reviewItem>
    <reviewItem>
      <errorID>b22c335e-2b20-4b9b-94f9-83f7f599fa03</errorID>
      <errorWord>(</errorWord>
      <group>L1_Format</group>
      <groupName>格式问题</groupName>
      <ability>L2_HalfPunc</ability>
      <abilityName>全半角检查</abilityName>
      <candidateList>
        <item>（</item>
      </candidateList>
      <explain>文本全半角错误。</explain>
      <paraID>7FC8728E</paraID>
      <start>25</start>
      <end>26</end>
      <status>unmodified</status>
      <modifiedWord/>
      <trackRevisions>false</trackRevisions>
    </reviewItem>
    <reviewItem>
      <errorID>c20d6851-e3ae-4182-ae82-32f961de2a13</errorID>
      <errorWord>)</errorWord>
      <group>L1_Format</group>
      <groupName>格式问题</groupName>
      <ability>L2_HalfPunc</ability>
      <abilityName>全半角检查</abilityName>
      <candidateList>
        <item>）</item>
      </candidateList>
      <explain>文本全半角错误。</explain>
      <paraID>7FC8728E</paraID>
      <start>33</start>
      <end>34</end>
      <status>unmodified</status>
      <modifiedWord/>
      <trackRevisions>false</trackRevisions>
    </reviewItem>
    <reviewItem>
      <errorID>694c963f-153d-47f7-b535-86e61973872f</errorID>
      <errorWord>(</errorWord>
      <group>L1_Format</group>
      <groupName>格式问题</groupName>
      <ability>L2_HalfPunc</ability>
      <abilityName>全半角检查</abilityName>
      <candidateList>
        <item>（</item>
      </candidateList>
      <explain>文本全半角错误。</explain>
      <paraID>7FC8728E</paraID>
      <start>61</start>
      <end>62</end>
      <status>unmodified</status>
      <modifiedWord/>
      <trackRevisions>false</trackRevisions>
    </reviewItem>
    <reviewItem>
      <errorID>144eb42d-73a1-403d-92c2-f4e8ccb142f5</errorID>
      <errorWord>)</errorWord>
      <group>L1_Format</group>
      <groupName>格式问题</groupName>
      <ability>L2_HalfPunc</ability>
      <abilityName>全半角检查</abilityName>
      <candidateList>
        <item>）</item>
      </candidateList>
      <explain>文本全半角错误。</explain>
      <paraID>7FC8728E</paraID>
      <start>70</start>
      <end>71</end>
      <status>unmodified</status>
      <modifiedWord/>
      <trackRevisions>false</trackRevisions>
    </reviewItem>
    <reviewItem>
      <errorID>b4bfb6b5-2d6b-492c-bd09-187febf24975</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5233DEF0</paraID>
      <start>0</start>
      <end>2</end>
      <status>unmodified</status>
      <modifiedWord/>
      <trackRevisions>false</trackRevisions>
    </reviewItem>
    <reviewItem>
      <errorID>2cfffc0c-49c2-41d2-bba0-ee9ebd8010ac</errorID>
      <errorWord>(</errorWord>
      <group>L1_Format</group>
      <groupName>格式问题</groupName>
      <ability>L2_HalfPunc</ability>
      <abilityName>全半角检查</abilityName>
      <candidateList>
        <item>（</item>
      </candidateList>
      <explain>文本全半角错误。</explain>
      <paraID>5233DEF0</paraID>
      <start>25</start>
      <end>26</end>
      <status>unmodified</status>
      <modifiedWord/>
      <trackRevisions>false</trackRevisions>
    </reviewItem>
    <reviewItem>
      <errorID>d4b41a22-a077-4742-b103-24853ce70914</errorID>
      <errorWord>)</errorWord>
      <group>L1_Format</group>
      <groupName>格式问题</groupName>
      <ability>L2_HalfPunc</ability>
      <abilityName>全半角检查</abilityName>
      <candidateList>
        <item>）</item>
      </candidateList>
      <explain>文本全半角错误。</explain>
      <paraID>5233DEF0</paraID>
      <start>30</start>
      <end>31</end>
      <status>unmodified</status>
      <modifiedWord/>
      <trackRevisions>false</trackRevisions>
    </reviewItem>
    <reviewItem>
      <errorID>6095e715-20a8-49b2-834c-0d8f4d87fa49</errorID>
      <errorWord>(</errorWord>
      <group>L1_Format</group>
      <groupName>格式问题</groupName>
      <ability>L2_HalfPunc</ability>
      <abilityName>全半角检查</abilityName>
      <candidateList>
        <item>（</item>
      </candidateList>
      <explain>文本全半角错误。</explain>
      <paraID>5233DEF0</paraID>
      <start>37</start>
      <end>38</end>
      <status>unmodified</status>
      <modifiedWord/>
      <trackRevisions>false</trackRevisions>
    </reviewItem>
    <reviewItem>
      <errorID>a2fb1c2c-8f23-4723-aca6-7e318bd362b4</errorID>
      <errorWord>)</errorWord>
      <group>L1_Format</group>
      <groupName>格式问题</groupName>
      <ability>L2_HalfPunc</ability>
      <abilityName>全半角检查</abilityName>
      <candidateList>
        <item>）</item>
      </candidateList>
      <explain>文本全半角错误。</explain>
      <paraID>5233DEF0</paraID>
      <start>51</start>
      <end>52</end>
      <status>unmodified</status>
      <modifiedWord/>
      <trackRevisions>false</trackRevisions>
    </reviewItem>
    <reviewItem>
      <errorID>277d4451-3ca5-4eb3-87c2-b9885b65b325</errorID>
      <errorWord>(</errorWord>
      <group>L1_Format</group>
      <groupName>格式问题</groupName>
      <ability>L2_HalfPunc</ability>
      <abilityName>全半角检查</abilityName>
      <candidateList>
        <item>（</item>
      </candidateList>
      <explain>文本全半角错误。</explain>
      <paraID>5233DEF0</paraID>
      <start>83</start>
      <end>84</end>
      <status>unmodified</status>
      <modifiedWord/>
      <trackRevisions>false</trackRevisions>
    </reviewItem>
    <reviewItem>
      <errorID>d4f8c86f-83b0-4b02-9568-9255f3746e9c</errorID>
      <errorWord>)</errorWord>
      <group>L1_Format</group>
      <groupName>格式问题</groupName>
      <ability>L2_HalfPunc</ability>
      <abilityName>全半角检查</abilityName>
      <candidateList>
        <item>）</item>
      </candidateList>
      <explain>文本全半角错误。</explain>
      <paraID>5233DEF0</paraID>
      <start>85</start>
      <end>86</end>
      <status>unmodified</status>
      <modifiedWord/>
      <trackRevisions>false</trackRevisions>
    </reviewItem>
    <reviewItem>
      <errorID>b7c409a3-3a13-4fb9-a34a-ee1bdaa08863</errorID>
      <errorWord>(</errorWord>
      <group>L1_Format</group>
      <groupName>格式问题</groupName>
      <ability>L2_HalfPunc</ability>
      <abilityName>全半角检查</abilityName>
      <candidateList>
        <item>（</item>
      </candidateList>
      <explain>文本全半角错误。</explain>
      <paraID>5233DEF0</paraID>
      <start>90</start>
      <end>91</end>
      <status>unmodified</status>
      <modifiedWord/>
      <trackRevisions>false</trackRevisions>
    </reviewItem>
    <reviewItem>
      <errorID>36558951-ef88-4cab-b4ce-29aa10f40ef8</errorID>
      <errorWord>)</errorWord>
      <group>L1_Format</group>
      <groupName>格式问题</groupName>
      <ability>L2_HalfPunc</ability>
      <abilityName>全半角检查</abilityName>
      <candidateList>
        <item>）</item>
      </candidateList>
      <explain>文本全半角错误。</explain>
      <paraID>5233DEF0</paraID>
      <start>105</start>
      <end>106</end>
      <status>unmodified</status>
      <modifiedWord/>
      <trackRevisions>false</trackRevisions>
    </reviewItem>
    <reviewItem>
      <errorID>4180c475-f18b-4457-9f8d-2eda0c5c8347</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7C382C5E</paraID>
      <start>0</start>
      <end>2</end>
      <status>unmodified</status>
      <modifiedWord/>
      <trackRevisions>false</trackRevisions>
    </reviewItem>
    <reviewItem>
      <errorID>6a787b3a-0986-4625-a671-ad22f3620011</errorID>
      <errorWord>(</errorWord>
      <group>L1_Format</group>
      <groupName>格式问题</groupName>
      <ability>L2_HalfPunc</ability>
      <abilityName>全半角检查</abilityName>
      <candidateList>
        <item>（</item>
      </candidateList>
      <explain>文本全半角错误。</explain>
      <paraID>7C382C5E</paraID>
      <start>14</start>
      <end>15</end>
      <status>unmodified</status>
      <modifiedWord/>
      <trackRevisions>false</trackRevisions>
    </reviewItem>
    <reviewItem>
      <errorID>8baa59c1-9c7e-4cc8-a014-1ba9485637b6</errorID>
      <errorWord>)</errorWord>
      <group>L1_Format</group>
      <groupName>格式问题</groupName>
      <ability>L2_HalfPunc</ability>
      <abilityName>全半角检查</abilityName>
      <candidateList>
        <item>）</item>
      </candidateList>
      <explain>文本全半角错误。</explain>
      <paraID>7C382C5E</paraID>
      <start>23</start>
      <end>24</end>
      <status>unmodified</status>
      <modifiedWord/>
      <trackRevisions>false</trackRevisions>
    </reviewItem>
    <reviewItem>
      <errorID>d9ff4273-adb0-48cb-9b97-526fc7682f16</errorID>
      <errorWord>(</errorWord>
      <group>L1_Format</group>
      <groupName>格式问题</groupName>
      <ability>L2_HalfPunc</ability>
      <abilityName>全半角检查</abilityName>
      <candidateList>
        <item>（</item>
      </candidateList>
      <explain>文本全半角错误。</explain>
      <paraID>7C382C5E</paraID>
      <start>31</start>
      <end>32</end>
      <status>unmodified</status>
      <modifiedWord/>
      <trackRevisions>false</trackRevisions>
    </reviewItem>
    <reviewItem>
      <errorID>8cd786f6-c71b-46e5-8680-903ca7a0cbc3</errorID>
      <errorWord>)</errorWord>
      <group>L1_Format</group>
      <groupName>格式问题</groupName>
      <ability>L2_HalfPunc</ability>
      <abilityName>全半角检查</abilityName>
      <candidateList>
        <item>）</item>
      </candidateList>
      <explain>文本全半角错误。</explain>
      <paraID>7C382C5E</paraID>
      <start>39</start>
      <end>40</end>
      <status>unmodified</status>
      <modifiedWord/>
      <trackRevisions>false</trackRevisions>
    </reviewItem>
    <reviewItem>
      <errorID>0fc35c02-3f7d-46b8-8a57-71b1e513ff4e</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6657780F</paraID>
      <start>0</start>
      <end>2</end>
      <status>unmodified</status>
      <modifiedWord/>
      <trackRevisions>false</trackRevisions>
    </reviewItem>
    <reviewItem>
      <errorID>29bebb92-7593-4f2a-86bb-3cca4598c9a1</errorID>
      <errorWord>(</errorWord>
      <group>L1_Format</group>
      <groupName>格式问题</groupName>
      <ability>L2_HalfPunc</ability>
      <abilityName>全半角检查</abilityName>
      <candidateList>
        <item>（</item>
      </candidateList>
      <explain>文本全半角错误。</explain>
      <paraID>6657780F</paraID>
      <start>20</start>
      <end>21</end>
      <status>unmodified</status>
      <modifiedWord/>
      <trackRevisions>false</trackRevisions>
    </reviewItem>
    <reviewItem>
      <errorID>2ab11163-d3dd-482e-a0a9-2fbcb05d93ef</errorID>
      <errorWord>)</errorWord>
      <group>L1_Format</group>
      <groupName>格式问题</groupName>
      <ability>L2_HalfPunc</ability>
      <abilityName>全半角检查</abilityName>
      <candidateList>
        <item>）</item>
      </candidateList>
      <explain>文本全半角错误。</explain>
      <paraID>6657780F</paraID>
      <start>29</start>
      <end>30</end>
      <status>unmodified</status>
      <modifiedWord/>
      <trackRevisions>false</trackRevisions>
    </reviewItem>
    <reviewItem>
      <errorID>b4aca640-b65f-45c2-bd09-a683d706dd70</errorID>
      <errorWord>(</errorWord>
      <group>L1_Format</group>
      <groupName>格式问题</groupName>
      <ability>L2_HalfPunc</ability>
      <abilityName>全半角检查</abilityName>
      <candidateList>
        <item>（</item>
      </candidateList>
      <explain>文本全半角错误。</explain>
      <paraID>6657780F</paraID>
      <start>37</start>
      <end>38</end>
      <status>unmodified</status>
      <modifiedWord/>
      <trackRevisions>false</trackRevisions>
    </reviewItem>
    <reviewItem>
      <errorID>cd7906f3-18e1-4466-9176-d8272a05f8bc</errorID>
      <errorWord>)</errorWord>
      <group>L1_Format</group>
      <groupName>格式问题</groupName>
      <ability>L2_HalfPunc</ability>
      <abilityName>全半角检查</abilityName>
      <candidateList>
        <item>）</item>
      </candidateList>
      <explain>文本全半角错误。</explain>
      <paraID>6657780F</paraID>
      <start>45</start>
      <end>46</end>
      <status>unmodified</status>
      <modifiedWord/>
      <trackRevisions>false</trackRevisions>
    </reviewItem>
    <reviewItem>
      <errorID>c3504781-3602-4c25-a22d-49b5eae8a0e2</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5848859A</paraID>
      <start>0</start>
      <end>2</end>
      <status>unmodified</status>
      <modifiedWord/>
      <trackRevisions>false</trackRevisions>
    </reviewItem>
    <reviewItem>
      <errorID>fdcc80b6-250b-4278-b01f-fe54f8a7fd85</errorID>
      <errorWord>(</errorWord>
      <group>L1_Format</group>
      <groupName>格式问题</groupName>
      <ability>L2_HalfPunc</ability>
      <abilityName>全半角检查</abilityName>
      <candidateList>
        <item>（</item>
      </candidateList>
      <explain>文本全半角错误。</explain>
      <paraID>5848859A</paraID>
      <start>27</start>
      <end>28</end>
      <status>unmodified</status>
      <modifiedWord/>
      <trackRevisions>false</trackRevisions>
    </reviewItem>
    <reviewItem>
      <errorID>fcfb35ae-3037-4b31-81b4-98c835ca80a7</errorID>
      <errorWord>)</errorWord>
      <group>L1_Format</group>
      <groupName>格式问题</groupName>
      <ability>L2_HalfPunc</ability>
      <abilityName>全半角检查</abilityName>
      <candidateList>
        <item>）</item>
      </candidateList>
      <explain>文本全半角错误。</explain>
      <paraID>5848859A</paraID>
      <start>40</start>
      <end>41</end>
      <status>unmodified</status>
      <modifiedWord/>
      <trackRevisions>false</trackRevisions>
    </reviewItem>
    <reviewItem>
      <errorID>1e571020-57f6-403a-99d0-dc37c8d65c5e</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75F64755</paraID>
      <start>0</start>
      <end>2</end>
      <status>unmodified</status>
      <modifiedWord/>
      <trackRevisions>false</trackRevisions>
    </reviewItem>
    <reviewItem>
      <errorID>fb67ca87-aee6-4181-a035-837a1d8ba06b</errorID>
      <errorWord>紫外光</errorWord>
      <group>L1_Word</group>
      <groupName>字词问题</groupName>
      <ability>L2_Typo</ability>
      <abilityName>字词错误</abilityName>
      <candidateList>
        <item>紫外线</item>
      </candidateList>
      <explain/>
      <paraID>75F64755</paraID>
      <start>10</start>
      <end>13</end>
      <status>unmodified</status>
      <modifiedWord/>
      <trackRevisions>false</trackRevisions>
    </reviewItem>
    <reviewItem>
      <errorID>dd857bea-f301-4606-b1f8-726475338040</errorID>
      <errorWord>(</errorWord>
      <group>L1_Format</group>
      <groupName>格式问题</groupName>
      <ability>L2_HalfPunc</ability>
      <abilityName>全半角检查</abilityName>
      <candidateList>
        <item>（</item>
      </candidateList>
      <explain>文本全半角错误。</explain>
      <paraID>75F64755</paraID>
      <start>15</start>
      <end>16</end>
      <status>unmodified</status>
      <modifiedWord/>
      <trackRevisions>false</trackRevisions>
    </reviewItem>
    <reviewItem>
      <errorID>91fa0533-a924-46c0-91f4-4c32f90b4a0e</errorID>
      <errorWord>)</errorWord>
      <group>L1_Format</group>
      <groupName>格式问题</groupName>
      <ability>L2_HalfPunc</ability>
      <abilityName>全半角检查</abilityName>
      <candidateList>
        <item>）</item>
      </candidateList>
      <explain>文本全半角错误。</explain>
      <paraID>75F64755</paraID>
      <start>18</start>
      <end>19</end>
      <status>unmodified</status>
      <modifiedWord/>
      <trackRevisions>false</trackRevisions>
    </reviewItem>
    <reviewItem>
      <errorID>f641e87f-ab17-4cc5-8e9c-6e27588af070</errorID>
      <errorWord>8、</errorWord>
      <group>L1_Format</group>
      <groupName>格式问题</groupName>
      <ability>L2_Ordinal</ability>
      <abilityName>序号格式</abilityName>
      <candidateList>
        <item>8.</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8BD2B08</paraID>
      <start>0</start>
      <end>2</end>
      <status>unmodified</status>
      <modifiedWord/>
      <trackRevisions>false</trackRevisions>
    </reviewItem>
    <reviewItem>
      <errorID>446c4933-9fae-4e62-b0da-5829cc2c438c</errorID>
      <errorWord>(</errorWord>
      <group>L1_Format</group>
      <groupName>格式问题</groupName>
      <ability>L2_HalfPunc</ability>
      <abilityName>全半角检查</abilityName>
      <candidateList>
        <item>（</item>
      </candidateList>
      <explain>文本全半角错误。</explain>
      <paraID> 8BD2B08</paraID>
      <start>41</start>
      <end>42</end>
      <status>unmodified</status>
      <modifiedWord/>
      <trackRevisions>false</trackRevisions>
    </reviewItem>
    <reviewItem>
      <errorID>bfa39b0f-aca8-40a4-83c7-f4e90e77f66e</errorID>
      <errorWord>)</errorWord>
      <group>L1_Format</group>
      <groupName>格式问题</groupName>
      <ability>L2_HalfPunc</ability>
      <abilityName>全半角检查</abilityName>
      <candidateList>
        <item>）</item>
      </candidateList>
      <explain>文本全半角错误。</explain>
      <paraID> 8BD2B08</paraID>
      <start>54</start>
      <end>55</end>
      <status>unmodified</status>
      <modifiedWord/>
      <trackRevisions>false</trackRevisions>
    </reviewItem>
    <reviewItem>
      <errorID>d8da8d97-4d53-4329-9891-496cfcf5bbd0</errorID>
      <errorWord>双组份</errorWord>
      <group>L1_Word</group>
      <groupName>字词问题</groupName>
      <ability>L2_Variant</ability>
      <abilityName>异形词</abilityName>
      <candidateList>
        <item>双组分</item>
      </candidateList>
      <explain>词汇[双组份]的规范词形写作[双组分]。</explain>
      <paraID>16EE83EE</paraID>
      <start>68</start>
      <end>71</end>
      <status>unmodified</status>
      <modifiedWord/>
      <trackRevisions>false</trackRevisions>
    </reviewItem>
    <reviewItem>
      <errorID>f6109391-a808-4d80-8cc4-db5db9bb9f95</errorID>
      <errorWord>复膜</errorWord>
      <group>L1_Word</group>
      <groupName>字词问题</groupName>
      <ability>L2_Typo</ability>
      <abilityName>字词错误</abilityName>
      <candidateList>
        <item>复合</item>
      </candidateList>
      <explain/>
      <paraID>16EE83EE</paraID>
      <start>77</start>
      <end>79</end>
      <status>unmodified</status>
      <modifiedWord/>
      <trackRevisions>false</trackRevisions>
    </reviewItem>
    <reviewItem>
      <errorID>184af69d-f5e1-404f-a18a-3a074555998a</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73D0A449</paraID>
      <start>0</start>
      <end>2</end>
      <status>unmodified</status>
      <modifiedWord/>
      <trackRevisions>false</trackRevisions>
    </reviewItem>
    <reviewItem>
      <errorID>6585e5e5-c571-4a5e-a2a3-810d2a3b42dd</errorID>
      <errorWord>(</errorWord>
      <group>L1_Format</group>
      <groupName>格式问题</groupName>
      <ability>L2_HalfPunc</ability>
      <abilityName>全半角检查</abilityName>
      <candidateList>
        <item>（</item>
      </candidateList>
      <explain>文本全半角错误。</explain>
      <paraID>73D0A449</paraID>
      <start>21</start>
      <end>22</end>
      <status>unmodified</status>
      <modifiedWord/>
      <trackRevisions>false</trackRevisions>
    </reviewItem>
    <reviewItem>
      <errorID>3441503b-759f-4aa4-b2ca-df380edfbaad</errorID>
      <errorWord>)</errorWord>
      <group>L1_Format</group>
      <groupName>格式问题</groupName>
      <ability>L2_HalfPunc</ability>
      <abilityName>全半角检查</abilityName>
      <candidateList>
        <item>）</item>
      </candidateList>
      <explain>文本全半角错误。</explain>
      <paraID>73D0A449</paraID>
      <start>35</start>
      <end>36</end>
      <status>unmodified</status>
      <modifiedWord/>
      <trackRevisions>false</trackRevisions>
    </reviewItem>
    <reviewItem>
      <errorID>0226a635-b677-4aba-afb2-1f845798b0f3</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4A2E381C</paraID>
      <start>0</start>
      <end>2</end>
      <status>unmodified</status>
      <modifiedWord/>
      <trackRevisions>false</trackRevisions>
    </reviewItem>
    <reviewItem>
      <errorID>7462ed34-6fb7-465b-be66-f6ed740e8985</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783A3CAB</paraID>
      <start>0</start>
      <end>2</end>
      <status>unmodified</status>
      <modifiedWord/>
      <trackRevisions>false</trackRevisions>
    </reviewItem>
    <reviewItem>
      <errorID>24e40961-9587-4aa4-b130-525fbaa94f09</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4216C7E2</paraID>
      <start>0</start>
      <end>2</end>
      <status>unmodified</status>
      <modifiedWord/>
      <trackRevisions>false</trackRevisions>
    </reviewItem>
    <reviewItem>
      <errorID>d1055b86-ef7a-4bf8-81e3-871a69a080ec</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B68F05C</paraID>
      <start>0</start>
      <end>2</end>
      <status>unmodified</status>
      <modifiedWord/>
      <trackRevisions>false</trackRevisions>
    </reviewItem>
    <reviewItem>
      <errorID>9791e6f3-dfe3-4c13-ae81-e92cd7a9ebec</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56A64E3</paraID>
      <start>0</start>
      <end>2</end>
      <status>unmodified</status>
      <modifiedWord/>
      <trackRevisions>false</trackRevisions>
    </reviewItem>
    <reviewItem>
      <errorID>be5b0d19-afc5-4fae-9a6b-d78de3df4dbc</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17A0D82A</paraID>
      <start>0</start>
      <end>2</end>
      <status>unmodified</status>
      <modifiedWord/>
      <trackRevisions>false</trackRevisions>
    </reviewItem>
    <reviewItem>
      <errorID>1ee320a5-aeea-4859-9712-5ccc607e8472</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3D71F696</paraID>
      <start>0</start>
      <end>2</end>
      <status>unmodified</status>
      <modifiedWord/>
      <trackRevisions>false</trackRevisions>
    </reviewItem>
    <reviewItem>
      <errorID>ce519859-4670-4ddc-99dc-e51cedb6daa4</errorID>
      <errorWord>(</errorWord>
      <group>L1_Format</group>
      <groupName>格式问题</groupName>
      <ability>L2_HalfPunc</ability>
      <abilityName>全半角检查</abilityName>
      <candidateList>
        <item>（</item>
      </candidateList>
      <explain>文本全半角错误。</explain>
      <paraID>3D71F696</paraID>
      <start>21</start>
      <end>22</end>
      <status>unmodified</status>
      <modifiedWord/>
      <trackRevisions>false</trackRevisions>
    </reviewItem>
    <reviewItem>
      <errorID>1508c880-d1ce-4863-8c0f-8bfb4dff2470</errorID>
      <errorWord>)</errorWord>
      <group>L1_Format</group>
      <groupName>格式问题</groupName>
      <ability>L2_HalfPunc</ability>
      <abilityName>全半角检查</abilityName>
      <candidateList>
        <item>）</item>
      </candidateList>
      <explain>文本全半角错误。</explain>
      <paraID>3D71F696</paraID>
      <start>24</start>
      <end>25</end>
      <status>unmodified</status>
      <modifiedWord/>
      <trackRevisions>false</trackRevisions>
    </reviewItem>
    <reviewItem>
      <errorID>34ab3894-ac22-4517-8922-768d33a1b4a5</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15CC7105</paraID>
      <start>0</start>
      <end>2</end>
      <status>unmodified</status>
      <modifiedWord/>
      <trackRevisions>false</trackRevisions>
    </reviewItem>
    <reviewItem>
      <errorID>7b8e148a-36dd-4166-8fe3-3d21af27434e</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1203FEB2</paraID>
      <start>0</start>
      <end>2</end>
      <status>unmodified</status>
      <modifiedWord/>
      <trackRevisions>false</trackRevisions>
    </reviewItem>
    <reviewItem>
      <errorID>862f8b1b-f000-4557-b88c-603d98dca6e0</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1203FEB2</paraID>
      <start>34</start>
      <end>35</end>
      <status>unmodified</status>
      <modifiedWord/>
      <trackRevisions>false</trackRevisions>
    </reviewItem>
    <reviewItem>
      <errorID>2060bbff-7493-44b7-b428-29fbb4c5099e</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1203FEB2</paraID>
      <start>50</start>
      <end>51</end>
      <status>unmodified</status>
      <modifiedWord/>
      <trackRevisions>false</trackRevisions>
    </reviewItem>
    <reviewItem>
      <errorID>f603b7d0-6e5d-4a65-8955-a67bd9e1fdb7</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5B90B72B</paraID>
      <start>0</start>
      <end>2</end>
      <status>unmodified</status>
      <modifiedWord/>
      <trackRevisions>false</trackRevisions>
    </reviewItem>
    <reviewItem>
      <errorID>28cf67cf-780d-4e15-aed8-d2ee6ae9ab7d</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6E3BAEBB</paraID>
      <start>0</start>
      <end>2</end>
      <status>unmodified</status>
      <modifiedWord/>
      <trackRevisions>false</trackRevisions>
    </reviewItem>
    <reviewItem>
      <errorID>d8c8d654-1adf-423c-8fc8-5870ebaefd41</errorID>
      <errorWord>一次</errorWord>
      <group>L1_Knowledge</group>
      <groupName>知识性问题</groupName>
      <ability>L2_Knowledge</ability>
      <abilityName>其他知识</abilityName>
      <candidateList>
        <item>一种</item>
      </candidateList>
      <explain/>
      <paraID>494B2EC9</paraID>
      <start>39</start>
      <end>41</end>
      <status>unmodified</status>
      <modifiedWord/>
      <trackRevisions>false</trackRevisions>
    </reviewItem>
    <reviewItem>
      <errorID>656e31c3-b4fe-43e2-b0be-a77c4acd9a9d</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47198B90</paraID>
      <start>0</start>
      <end>2</end>
      <status>unmodified</status>
      <modifiedWord/>
      <trackRevisions>false</trackRevisions>
    </reviewItem>
    <reviewItem>
      <errorID>7a402075-e741-45ad-961c-daeddae507c8</errorID>
      <errorWord>(</errorWord>
      <group>L1_Format</group>
      <groupName>格式问题</groupName>
      <ability>L2_HalfPunc</ability>
      <abilityName>全半角检查</abilityName>
      <candidateList>
        <item>（</item>
      </candidateList>
      <explain>文本全半角错误。</explain>
      <paraID>47198B90</paraID>
      <start>26</start>
      <end>27</end>
      <status>unmodified</status>
      <modifiedWord/>
      <trackRevisions>false</trackRevisions>
    </reviewItem>
    <reviewItem>
      <errorID>af097abb-a56e-4940-b4ee-72277178cb18</errorID>
      <errorWord>)</errorWord>
      <group>L1_Format</group>
      <groupName>格式问题</groupName>
      <ability>L2_HalfPunc</ability>
      <abilityName>全半角检查</abilityName>
      <candidateList>
        <item>）</item>
      </candidateList>
      <explain>文本全半角错误。</explain>
      <paraID>47198B90</paraID>
      <start>38</start>
      <end>39</end>
      <status>unmodified</status>
      <modifiedWord/>
      <trackRevisions>false</trackRevisions>
    </reviewItem>
    <reviewItem>
      <errorID>da224f37-ebd8-4f87-acb1-35d419c4e7dd</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602DA6B6</paraID>
      <start>0</start>
      <end>2</end>
      <status>unmodified</status>
      <modifiedWord/>
      <trackRevisions>false</trackRevisions>
    </reviewItem>
    <reviewItem>
      <errorID>3f781e02-a96d-4963-9720-8e7cb753d5e1</errorID>
      <errorWord>(</errorWord>
      <group>L1_Format</group>
      <groupName>格式问题</groupName>
      <ability>L2_HalfPunc</ability>
      <abilityName>全半角检查</abilityName>
      <candidateList>
        <item>（</item>
      </candidateList>
      <explain>文本全半角错误。</explain>
      <paraID>602DA6B6</paraID>
      <start>40</start>
      <end>41</end>
      <status>unmodified</status>
      <modifiedWord/>
      <trackRevisions>false</trackRevisions>
    </reviewItem>
    <reviewItem>
      <errorID>c73e71f9-1c7b-46af-8b80-e8dac5c3db3f</errorID>
      <errorWord>)</errorWord>
      <group>L1_Format</group>
      <groupName>格式问题</groupName>
      <ability>L2_HalfPunc</ability>
      <abilityName>全半角检查</abilityName>
      <candidateList>
        <item>）</item>
      </candidateList>
      <explain>文本全半角错误。</explain>
      <paraID>602DA6B6</paraID>
      <start>47</start>
      <end>48</end>
      <status>unmodified</status>
      <modifiedWord/>
      <trackRevisions>false</trackRevisions>
    </reviewItem>
    <reviewItem>
      <errorID>bd73b1ef-3d25-40a8-82d9-2d39d2e4c5ae</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6FE78550</paraID>
      <start>0</start>
      <end>2</end>
      <status>unmodified</status>
      <modifiedWord/>
      <trackRevisions>false</trackRevisions>
    </reviewItem>
    <reviewItem>
      <errorID>bcd46522-400b-42bd-a113-db0853902ee9</errorID>
      <errorWord>(</errorWord>
      <group>L1_Format</group>
      <groupName>格式问题</groupName>
      <ability>L2_HalfPunc</ability>
      <abilityName>全半角检查</abilityName>
      <candidateList>
        <item>（</item>
      </candidateList>
      <explain>文本全半角错误。</explain>
      <paraID>6FE78550</paraID>
      <start>38</start>
      <end>39</end>
      <status>unmodified</status>
      <modifiedWord/>
      <trackRevisions>false</trackRevisions>
    </reviewItem>
    <reviewItem>
      <errorID>2d240da8-77f0-412b-9096-053ee628dca8</errorID>
      <errorWord>)</errorWord>
      <group>L1_Format</group>
      <groupName>格式问题</groupName>
      <ability>L2_HalfPunc</ability>
      <abilityName>全半角检查</abilityName>
      <candidateList>
        <item>）</item>
      </candidateList>
      <explain>文本全半角错误。</explain>
      <paraID>6FE78550</paraID>
      <start>41</start>
      <end>42</end>
      <status>unmodified</status>
      <modifiedWord/>
      <trackRevisions>false</trackRevisions>
    </reviewItem>
    <reviewItem>
      <errorID>13a7654e-74f1-4e02-b25d-c5b52c535029</errorID>
      <errorWord>（</errorWord>
      <group>L1_Punc</group>
      <groupName>标点问题</groupName>
      <ability>L2_Punc</ability>
      <abilityName>标点符号检查</abilityName>
      <candidateList/>
      <explain>同一形式括号套用。</explain>
      <paraID>27769A5E</paraID>
      <start>63</start>
      <end>64</end>
      <status>unmodified</status>
      <modifiedWord/>
      <trackRevisions>false</trackRevisions>
    </reviewItem>
    <reviewItem>
      <errorID>7dee417c-f200-41ac-a941-908133d3be1a</errorID>
      <errorWord>）</errorWord>
      <group>L1_Punc</group>
      <groupName>标点问题</groupName>
      <ability>L2_Punc</ability>
      <abilityName>标点符号检查</abilityName>
      <candidateList/>
      <explain>同一形式括号套用。</explain>
      <paraID>27769A5E</paraID>
      <start>68</start>
      <end>69</end>
      <status>unmodified</status>
      <modifiedWord/>
      <trackRevisions>false</trackRevisions>
    </reviewItem>
    <reviewItem>
      <errorID>170599b3-7caa-4e9a-9ff0-68ac916b2d55</errorID>
      <errorWord>（</errorWord>
      <group>L1_Punc</group>
      <groupName>标点问题</groupName>
      <ability>L2_Punc</ability>
      <abilityName>标点符号检查</abilityName>
      <candidateList/>
      <explain>同一形式括号套用。</explain>
      <paraID>27769A5E</paraID>
      <start>155</start>
      <end>156</end>
      <status>unmodified</status>
      <modifiedWord/>
      <trackRevisions>false</trackRevisions>
    </reviewItem>
    <reviewItem>
      <errorID>a4d0a3fb-39ad-4d59-8f27-7cc7e68c466c</errorID>
      <errorWord>）</errorWord>
      <group>L1_Punc</group>
      <groupName>标点问题</groupName>
      <ability>L2_Punc</ability>
      <abilityName>标点符号检查</abilityName>
      <candidateList/>
      <explain>同一形式括号套用。</explain>
      <paraID>27769A5E</paraID>
      <start>165</start>
      <end>166</end>
      <status>unmodified</status>
      <modifiedWord/>
      <trackRevisions>false</trackRevisions>
    </reviewItem>
    <reviewItem>
      <errorID>8e705b87-31e7-430e-9cd6-27b7bef18485</errorID>
      <errorWord>输输</errorWord>
      <group>L1_Word</group>
      <groupName>字词问题</groupName>
      <ability>L2_Typo</ability>
      <abilityName>字词错误</abilityName>
      <candidateList>
        <item>输</item>
      </candidateList>
      <explain/>
      <paraID>4D352438</paraID>
      <start>5</start>
      <end>6</end>
      <status>modified</status>
      <modifiedWord>输</modifiedWord>
      <trackRevisions>false</trackRevisions>
    </reviewItem>
    <reviewItem>
      <errorID>94ee93b5-b43f-4053-a86f-89142aefc041</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2D296D0</paraID>
      <start>0</start>
      <end>2</end>
      <status>unmodified</status>
      <modifiedWord/>
      <trackRevisions>false</trackRevisions>
    </reviewItem>
    <reviewItem>
      <errorID>f91de731-3e5c-430d-904b-377d5b00f5c1</errorID>
      <errorWord>(</errorWord>
      <group>L1_Format</group>
      <groupName>格式问题</groupName>
      <ability>L2_HalfPunc</ability>
      <abilityName>全半角检查</abilityName>
      <candidateList>
        <item>（</item>
      </candidateList>
      <explain>文本全半角错误。</explain>
      <paraID>6D669277</paraID>
      <start>39</start>
      <end>40</end>
      <status>unmodified</status>
      <modifiedWord/>
      <trackRevisions>false</trackRevisions>
    </reviewItem>
    <reviewItem>
      <errorID>db1b2ec9-0bc9-47b6-8c51-1e8612490347</errorID>
      <errorWord>【2023】326号</errorWord>
      <group>L1_Knowledge</group>
      <groupName>知识性问题</groupName>
      <ability>L2_Knowledge</ability>
      <abilityName>其他知识</abilityName>
      <candidateList>
        <item>〔2023〕326号</item>
      </candidateList>
      <explain>发文字号格式错误。</explain>
      <paraID>6D669277</paraID>
      <start>45</start>
      <end>55</end>
      <status>unmodified</status>
      <modifiedWord/>
      <trackRevisions>false</trackRevisions>
    </reviewItem>
    <reviewItem>
      <errorID>bea5f302-2c56-4ff9-ae4e-6202f5eecdc9</errorID>
      <errorWord>)</errorWord>
      <group>L1_Format</group>
      <groupName>格式问题</groupName>
      <ability>L2_HalfPunc</ability>
      <abilityName>全半角检查</abilityName>
      <candidateList>
        <item>）</item>
      </candidateList>
      <explain>文本全半角错误。</explain>
      <paraID>6D669277</paraID>
      <start>55</start>
      <end>56</end>
      <status>unmodified</status>
      <modifiedWord/>
      <trackRevisions>false</trackRevisions>
    </reviewItem>
    <reviewItem>
      <errorID>8a25c417-ca62-446a-807b-52a16efb4569</errorID>
      <errorWord>在</errorWord>
      <group>L1_Word</group>
      <groupName>字词问题</groupName>
      <ability>L2_Typo</ability>
      <abilityName>字词错误</abilityName>
      <candidateList>
        <item>本</item>
      </candidateList>
      <explain>存在字形相近字词的误用。</explain>
      <paraID>22D19619</paraID>
      <start>39</start>
      <end>40</end>
      <status>unmodified</status>
      <modifiedWord/>
      <trackRevisions>false</trackRevisions>
    </reviewItem>
    <reviewItem>
      <errorID>dd860d5a-45c3-4e26-a3de-797aaca0b378</errorID>
      <errorWord>项目在</errorWord>
      <group>L1_Word</group>
      <groupName>字词问题</groupName>
      <ability>L2_Typo</ability>
      <abilityName>字词错误</abilityName>
      <candidateList>
        <item>项目</item>
      </candidateList>
      <explain>〈名〉事物分成的门类：服务～｜体育～｜建设～。</explain>
      <paraID>22D19619</paraID>
      <start>40</start>
      <end>42</end>
      <status>modified</status>
      <modifiedWord>项目</modifiedWord>
      <trackRevisions>false</trackRevisions>
    </reviewItem>
    <reviewItem>
      <errorID>072f7ce4-e70e-4c44-a30a-efdc5736b8db</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21CEEA8A</paraID>
      <start>0</start>
      <end>2</end>
      <status>unmodified</status>
      <modifiedWord/>
      <trackRevisions>false</trackRevisions>
    </reviewItem>
    <reviewItem>
      <errorID>fce1c52d-6ef7-46c5-9326-c7ee5cf22591</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6F678C55</paraID>
      <start>0</start>
      <end>2</end>
      <status>unmodified</status>
      <modifiedWord/>
      <trackRevisions>false</trackRevisions>
    </reviewItem>
    <reviewItem>
      <errorID>1551a526-b8a0-48c8-ba51-4be91c234bcd</errorID>
      <errorWord>车间内</errorWord>
      <group>L1_Word</group>
      <groupName>字词问题</groupName>
      <ability>L2_Typo</ability>
      <abilityName>字词错误</abilityName>
      <candidateList>
        <item>车间</item>
      </candidateList>
      <explain/>
      <paraID>2000C20D</paraID>
      <start>14</start>
      <end>17</end>
      <status>unmodified</status>
      <modifiedWord/>
      <trackRevisions>false</trackRevisions>
    </reviewItem>
    <reviewItem>
      <errorID>408979ad-2df7-4549-b5b3-c5dfde3d251a</errorID>
      <errorWord>生产生产</errorWord>
      <group>L1_Word</group>
      <groupName>字词问题</groupName>
      <ability>L2_Typo</ability>
      <abilityName>字词错误</abilityName>
      <candidateList>
        <item>生产</item>
      </candidateList>
      <explain>〈动〉❶人们使用工具来创造各种生产资料和生活资料：工业～｜发展～｜～出更好的产品。❷生孩子。</explain>
      <paraID>2B107B27</paraID>
      <start>2</start>
      <end>4</end>
      <status>modified</status>
      <modifiedWord>生产</modifiedWord>
      <trackRevisions>false</trackRevisions>
    </reviewItem>
    <reviewItem>
      <errorID>af2f3d31-0177-42ec-8338-b91bad3d1b3a</errorID>
      <errorWord>(</errorWord>
      <group>L1_Format</group>
      <groupName>格式问题</groupName>
      <ability>L2_HalfPunc</ability>
      <abilityName>全半角检查</abilityName>
      <candidateList>
        <item>（</item>
      </candidateList>
      <explain>文本全半角错误。</explain>
      <paraID>5A6CA63F</paraID>
      <start>73</start>
      <end>74</end>
      <status>unmodified</status>
      <modifiedWord/>
      <trackRevisions>false</trackRevisions>
    </reviewItem>
    <reviewItem>
      <errorID>42446a4a-de4a-47e1-ab54-ae7588929fb8</errorID>
      <errorWord>)</errorWord>
      <group>L1_Format</group>
      <groupName>格式问题</groupName>
      <ability>L2_HalfPunc</ability>
      <abilityName>全半角检查</abilityName>
      <candidateList>
        <item>）</item>
      </candidateList>
      <explain>文本全半角错误。</explain>
      <paraID>5A6CA63F</paraID>
      <start>79</start>
      <end>80</end>
      <status>unmodified</status>
      <modifiedWord/>
      <trackRevisions>false</trackRevisions>
    </reviewItem>
    <reviewItem>
      <errorID>2c838b77-c476-4ba9-bdf4-2765e9688d98</errorID>
      <errorWord>(</errorWord>
      <group>L1_Format</group>
      <groupName>格式问题</groupName>
      <ability>L2_HalfPunc</ability>
      <abilityName>全半角检查</abilityName>
      <candidateList>
        <item>（</item>
      </candidateList>
      <explain>文本全半角错误。</explain>
      <paraID> D714721</paraID>
      <start>74</start>
      <end>75</end>
      <status>unmodified</status>
      <modifiedWord/>
      <trackRevisions>false</trackRevisions>
    </reviewItem>
    <reviewItem>
      <errorID>b738c45f-7fc5-49d5-8e43-8c8db5fc07d1</errorID>
      <errorWord>)</errorWord>
      <group>L1_Format</group>
      <groupName>格式问题</groupName>
      <ability>L2_HalfPunc</ability>
      <abilityName>全半角检查</abilityName>
      <candidateList>
        <item>）</item>
      </candidateList>
      <explain>文本全半角错误。</explain>
      <paraID> D714721</paraID>
      <start>82</start>
      <end>83</end>
      <status>unmodified</status>
      <modifiedWord/>
      <trackRevisions>false</trackRevisions>
    </reviewItem>
    <reviewItem>
      <errorID>87723db6-4aa9-4258-af38-e84a9ecb75ec</errorID>
      <errorWord>(</errorWord>
      <group>L1_Format</group>
      <groupName>格式问题</groupName>
      <ability>L2_HalfPunc</ability>
      <abilityName>全半角检查</abilityName>
      <candidateList>
        <item>（</item>
      </candidateList>
      <explain>文本全半角错误。</explain>
      <paraID>38B0EDE5</paraID>
      <start>74</start>
      <end>75</end>
      <status>unmodified</status>
      <modifiedWord/>
      <trackRevisions>false</trackRevisions>
    </reviewItem>
    <reviewItem>
      <errorID>ea756ecd-55f1-4733-84fe-65be5272c300</errorID>
      <errorWord>)</errorWord>
      <group>L1_Format</group>
      <groupName>格式问题</groupName>
      <ability>L2_HalfPunc</ability>
      <abilityName>全半角检查</abilityName>
      <candidateList>
        <item>）</item>
      </candidateList>
      <explain>文本全半角错误。</explain>
      <paraID>38B0EDE5</paraID>
      <start>82</start>
      <end>83</end>
      <status>unmodified</status>
      <modifiedWord/>
      <trackRevisions>false</trackRevisions>
    </reviewItem>
    <reviewItem>
      <errorID>40d08acd-f9f4-4bfc-b6ea-cf16cccccb16</errorID>
      <errorWord>(</errorWord>
      <group>L1_Format</group>
      <groupName>格式问题</groupName>
      <ability>L2_HalfPunc</ability>
      <abilityName>全半角检查</abilityName>
      <candidateList>
        <item>（</item>
      </candidateList>
      <explain>文本全半角错误。</explain>
      <paraID>28491D7A</paraID>
      <start>74</start>
      <end>75</end>
      <status>unmodified</status>
      <modifiedWord/>
      <trackRevisions>false</trackRevisions>
    </reviewItem>
    <reviewItem>
      <errorID>e467e433-547f-4187-ade8-ecba6adf8586</errorID>
      <errorWord>)</errorWord>
      <group>L1_Format</group>
      <groupName>格式问题</groupName>
      <ability>L2_HalfPunc</ability>
      <abilityName>全半角检查</abilityName>
      <candidateList>
        <item>）</item>
      </candidateList>
      <explain>文本全半角错误。</explain>
      <paraID>28491D7A</paraID>
      <start>82</start>
      <end>83</end>
      <status>unmodified</status>
      <modifiedWord/>
      <trackRevisions>false</trackRevisions>
    </reviewItem>
    <reviewItem>
      <errorID>46235972-4034-419e-9562-886a4d3d9b5c</errorID>
      <errorWord>(</errorWord>
      <group>L1_Format</group>
      <groupName>格式问题</groupName>
      <ability>L2_HalfPunc</ability>
      <abilityName>全半角检查</abilityName>
      <candidateList>
        <item>（</item>
      </candidateList>
      <explain>文本全半角错误。</explain>
      <paraID> BBFD0BF</paraID>
      <start>73</start>
      <end>74</end>
      <status>unmodified</status>
      <modifiedWord/>
      <trackRevisions>false</trackRevisions>
    </reviewItem>
    <reviewItem>
      <errorID>12cb986d-c95c-4395-92f9-468c0107c5ad</errorID>
      <errorWord>)</errorWord>
      <group>L1_Format</group>
      <groupName>格式问题</groupName>
      <ability>L2_HalfPunc</ability>
      <abilityName>全半角检查</abilityName>
      <candidateList>
        <item>）</item>
      </candidateList>
      <explain>文本全半角错误。</explain>
      <paraID> BBFD0BF</paraID>
      <start>79</start>
      <end>80</end>
      <status>unmodified</status>
      <modifiedWord/>
      <trackRevisions>false</trackRevisions>
    </reviewItem>
    <reviewItem>
      <errorID>b90623aa-5cec-4be7-a05b-31e86864ce19</errorID>
      <errorWord>(</errorWord>
      <group>L1_Format</group>
      <groupName>格式问题</groupName>
      <ability>L2_HalfPunc</ability>
      <abilityName>全半角检查</abilityName>
      <candidateList>
        <item>（</item>
      </candidateList>
      <explain>文本全半角错误。</explain>
      <paraID>3FDEC528</paraID>
      <start>92</start>
      <end>93</end>
      <status>unmodified</status>
      <modifiedWord/>
      <trackRevisions>false</trackRevisions>
    </reviewItem>
    <reviewItem>
      <errorID>0c9bf247-aaab-4b0d-9ddd-748a34d97619</errorID>
      <errorWord>)</errorWord>
      <group>L1_Format</group>
      <groupName>格式问题</groupName>
      <ability>L2_HalfPunc</ability>
      <abilityName>全半角检查</abilityName>
      <candidateList>
        <item>）</item>
      </candidateList>
      <explain>文本全半角错误。</explain>
      <paraID>3FDEC528</paraID>
      <start>100</start>
      <end>101</end>
      <status>unmodified</status>
      <modifiedWord/>
      <trackRevisions>false</trackRevisions>
    </reviewItem>
    <reviewItem>
      <errorID>ede5c283-e68d-47f9-9bc8-f1841fb4d36c</errorID>
      <errorWord>(</errorWord>
      <group>L1_Format</group>
      <groupName>格式问题</groupName>
      <ability>L2_HalfPunc</ability>
      <abilityName>全半角检查</abilityName>
      <candidateList>
        <item>（</item>
      </candidateList>
      <explain>文本全半角错误。</explain>
      <paraID>502FB200</paraID>
      <start>92</start>
      <end>93</end>
      <status>unmodified</status>
      <modifiedWord/>
      <trackRevisions>false</trackRevisions>
    </reviewItem>
    <reviewItem>
      <errorID>6ca4b34b-24c0-42ca-9791-eef41218bcea</errorID>
      <errorWord>)</errorWord>
      <group>L1_Format</group>
      <groupName>格式问题</groupName>
      <ability>L2_HalfPunc</ability>
      <abilityName>全半角检查</abilityName>
      <candidateList>
        <item>）</item>
      </candidateList>
      <explain>文本全半角错误。</explain>
      <paraID>502FB200</paraID>
      <start>100</start>
      <end>101</end>
      <status>unmodified</status>
      <modifiedWord/>
      <trackRevisions>false</trackRevisions>
    </reviewItem>
    <reviewItem>
      <errorID>b8465353-d802-4881-8d74-17c2e9a2f1a6</errorID>
      <errorWord>(</errorWord>
      <group>L1_Format</group>
      <groupName>格式问题</groupName>
      <ability>L2_HalfPunc</ability>
      <abilityName>全半角检查</abilityName>
      <candidateList>
        <item>（</item>
      </candidateList>
      <explain>文本全半角错误。</explain>
      <paraID> 311F742</paraID>
      <start>92</start>
      <end>93</end>
      <status>unmodified</status>
      <modifiedWord/>
      <trackRevisions>false</trackRevisions>
    </reviewItem>
    <reviewItem>
      <errorID>6b22bbad-443b-4585-837b-b00df82fb4bc</errorID>
      <errorWord>)</errorWord>
      <group>L1_Format</group>
      <groupName>格式问题</groupName>
      <ability>L2_HalfPunc</ability>
      <abilityName>全半角检查</abilityName>
      <candidateList>
        <item>）</item>
      </candidateList>
      <explain>文本全半角错误。</explain>
      <paraID> 311F742</paraID>
      <start>100</start>
      <end>101</end>
      <status>unmodified</status>
      <modifiedWord/>
      <trackRevisions>false</trackRevisions>
    </reviewItem>
    <reviewItem>
      <errorID>aeffb665-a4a6-48a9-be24-b4d0c5554b37</errorID>
      <errorWord>(</errorWord>
      <group>L1_Format</group>
      <groupName>格式问题</groupName>
      <ability>L2_HalfPunc</ability>
      <abilityName>全半角检查</abilityName>
      <candidateList>
        <item>（</item>
      </candidateList>
      <explain>文本全半角错误。</explain>
      <paraID>1D99104F</paraID>
      <start>65</start>
      <end>66</end>
      <status>unmodified</status>
      <modifiedWord/>
      <trackRevisions>false</trackRevisions>
    </reviewItem>
    <reviewItem>
      <errorID>41d2adea-25a2-480c-86b6-cb5e60d8529b</errorID>
      <errorWord>)</errorWord>
      <group>L1_Format</group>
      <groupName>格式问题</groupName>
      <ability>L2_HalfPunc</ability>
      <abilityName>全半角检查</abilityName>
      <candidateList>
        <item>）</item>
      </candidateList>
      <explain>文本全半角错误。</explain>
      <paraID>1D99104F</paraID>
      <start>73</start>
      <end>74</end>
      <status>unmodified</status>
      <modifiedWord/>
      <trackRevisions>false</trackRevisions>
    </reviewItem>
    <reviewItem>
      <errorID>7d231bd0-32bc-46ef-a146-760ae0c6a959</errorID>
      <errorWord>(</errorWord>
      <group>L1_Format</group>
      <groupName>格式问题</groupName>
      <ability>L2_HalfPunc</ability>
      <abilityName>全半角检查</abilityName>
      <candidateList>
        <item>（</item>
      </candidateList>
      <explain>文本全半角错误。</explain>
      <paraID>19BB902E</paraID>
      <start>65</start>
      <end>66</end>
      <status>unmodified</status>
      <modifiedWord/>
      <trackRevisions>false</trackRevisions>
    </reviewItem>
    <reviewItem>
      <errorID>e1421a0a-b3e4-4086-b267-6fcb9a7e71cb</errorID>
      <errorWord>)</errorWord>
      <group>L1_Format</group>
      <groupName>格式问题</groupName>
      <ability>L2_HalfPunc</ability>
      <abilityName>全半角检查</abilityName>
      <candidateList>
        <item>）</item>
      </candidateList>
      <explain>文本全半角错误。</explain>
      <paraID>19BB902E</paraID>
      <start>73</start>
      <end>74</end>
      <status>unmodified</status>
      <modifiedWord/>
      <trackRevisions>false</trackRevisions>
    </reviewItem>
    <reviewItem>
      <errorID>35e20eae-9f61-4a3d-b39d-54d8056666b6</errorID>
      <errorWord>(</errorWord>
      <group>L1_Format</group>
      <groupName>格式问题</groupName>
      <ability>L2_HalfPunc</ability>
      <abilityName>全半角检查</abilityName>
      <candidateList>
        <item>（</item>
      </candidateList>
      <explain>文本全半角错误。</explain>
      <paraID>7AC0A6FC</paraID>
      <start>65</start>
      <end>66</end>
      <status>unmodified</status>
      <modifiedWord/>
      <trackRevisions>false</trackRevisions>
    </reviewItem>
    <reviewItem>
      <errorID>cf3244d0-f1cd-46e1-8cd7-1790cd29015e</errorID>
      <errorWord>)</errorWord>
      <group>L1_Format</group>
      <groupName>格式问题</groupName>
      <ability>L2_HalfPunc</ability>
      <abilityName>全半角检查</abilityName>
      <candidateList>
        <item>）</item>
      </candidateList>
      <explain>文本全半角错误。</explain>
      <paraID>7AC0A6FC</paraID>
      <start>73</start>
      <end>74</end>
      <status>unmodified</status>
      <modifiedWord/>
      <trackRevisions>false</trackRevisions>
    </reviewItem>
    <reviewItem>
      <errorID>e26bde46-da24-4ebc-8b13-fd9e9298fb46</errorID>
      <errorWord>生活废水</errorWord>
      <group>L1_Knowledge</group>
      <groupName>知识性问题</groupName>
      <ability>L2_Term</ability>
      <abilityName>专业术语</abilityName>
      <candidateList>
        <item>生活污水</item>
      </candidateList>
      <explain/>
      <paraID>4E0B3017</paraID>
      <start>6</start>
      <end>10</end>
      <status>unmodified</status>
      <modifiedWord/>
      <trackRevisions>false</trackRevisions>
    </reviewItem>
    <reviewItem>
      <errorID>9a6b57fe-e641-4f65-a88e-b4c446e6a71b</errorID>
      <errorWord>生活废水</errorWord>
      <group>L1_Knowledge</group>
      <groupName>知识性问题</groupName>
      <ability>L2_Term</ability>
      <abilityName>专业术语</abilityName>
      <candidateList>
        <item>生活污水</item>
      </candidateList>
      <explain/>
      <paraID> C8CCC2A</paraID>
      <start>6</start>
      <end>10</end>
      <status>unmodified</status>
      <modifiedWord/>
      <trackRevisions>false</trackRevisions>
    </reviewItem>
    <reviewItem>
      <errorID>501b7c86-a829-4db2-80de-d10ee0f15914</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69A3C303</paraID>
      <start>0</start>
      <end>2</end>
      <status>unmodified</status>
      <modifiedWord/>
      <trackRevisions>false</trackRevisions>
    </reviewItem>
    <reviewItem>
      <errorID>79dc5a13-d6ab-4ee9-8fd6-3ddf410eb8da</errorID>
      <errorWord>)</errorWord>
      <group>L1_Format</group>
      <groupName>格式问题</groupName>
      <ability>L2_HalfPunc</ability>
      <abilityName>全半角检查</abilityName>
      <candidateList>
        <item>）</item>
      </candidateList>
      <explain>文本全半角错误。</explain>
      <paraID>3196C88A</paraID>
      <start>6</start>
      <end>7</end>
      <status>unmodified</status>
      <modifiedWord/>
      <trackRevisions>false</trackRevisions>
    </reviewItem>
    <reviewItem>
      <errorID>aa41e3c5-5eab-42c2-9edf-789d81c22072</errorID>
      <errorWord>)</errorWord>
      <group>L1_Format</group>
      <groupName>格式问题</groupName>
      <ability>L2_HalfPunc</ability>
      <abilityName>全半角检查</abilityName>
      <candidateList>
        <item>）</item>
      </candidateList>
      <explain>文本全半角错误。</explain>
      <paraID>3821C8F9</paraID>
      <start>6</start>
      <end>7</end>
      <status>unmodified</status>
      <modifiedWord/>
      <trackRevisions>false</trackRevisions>
    </reviewItem>
    <reviewItem>
      <errorID>13318b37-4e9c-4cc4-80ff-02ada553404b</errorID>
      <errorWord>)</errorWord>
      <group>L1_Format</group>
      <groupName>格式问题</groupName>
      <ability>L2_HalfPunc</ability>
      <abilityName>全半角检查</abilityName>
      <candidateList>
        <item>）</item>
      </candidateList>
      <explain>文本全半角错误。</explain>
      <paraID>1AE89A15</paraID>
      <start>6</start>
      <end>7</end>
      <status>unmodified</status>
      <modifiedWord/>
      <trackRevisions>false</trackRevisions>
    </reviewItem>
    <reviewItem>
      <errorID>06a205b4-1046-4123-90b2-d1514c7151fd</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6E88C3C2</paraID>
      <start>0</start>
      <end>2</end>
      <status>unmodified</status>
      <modifiedWord/>
      <trackRevisions>false</trackRevisions>
    </reviewItem>
    <reviewItem>
      <errorID>1d47e085-b004-4e51-8f86-8fe47e32d344</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5AD93F</paraID>
      <start>0</start>
      <end>2</end>
      <status>unmodified</status>
      <modifiedWord/>
      <trackRevisions>false</trackRevisions>
    </reviewItem>
    <reviewItem>
      <errorID>b949250e-2b73-49dd-960d-3e16f852a437</errorID>
      <errorWord>~</errorWord>
      <group>L1_Format</group>
      <groupName>格式问题</groupName>
      <ability>L2_HalfPunc</ability>
      <abilityName>全半角检查</abilityName>
      <candidateList>
        <item>～</item>
      </candidateList>
      <explain>文本全半角错误。</explain>
      <paraID>772A862D</paraID>
      <start>90</start>
      <end>91</end>
      <status>unmodified</status>
      <modifiedWord/>
      <trackRevisions>false</trackRevisions>
    </reviewItem>
    <reviewItem>
      <errorID>13fd2b27-5ae6-4272-b6aa-b888f4a1234a</errorID>
      <errorWord>，</errorWord>
      <group>L1_Word</group>
      <groupName>字词问题</groupName>
      <ability>L2_Typo</ability>
      <abilityName>字词错误</abilityName>
      <candidateList>
        <item>，具</item>
      </candidateList>
      <explain/>
      <paraID>772A862D</paraID>
      <start>136</start>
      <end>137</end>
      <status>unmodified</status>
      <modifiedWord/>
      <trackRevisions>false</trackRevisions>
    </reviewItem>
    <reviewItem>
      <errorID>73a36ec6-ae97-45eb-b715-b1cbe511dd86</errorID>
      <errorWord>粘稠</errorWord>
      <group>L1_Word</group>
      <groupName>字词问题</groupName>
      <ability>L2_Typo</ability>
      <abilityName>字词错误</abilityName>
      <candidateList>
        <item>黏稠</item>
      </candidateList>
      <explain>存在发音相同字词的误用。</explain>
      <paraID>626C65F1</paraID>
      <start>0</start>
      <end>2</end>
      <status>unmodified</status>
      <modifiedWord/>
      <trackRevisions>false</trackRevisions>
    </reviewItem>
    <reviewItem>
      <errorID>3e3171ad-5619-4129-97cd-43078d92754a</errorID>
      <errorWord>10-15%</errorWord>
      <group>L1_Knowledge</group>
      <groupName>知识性问题</groupName>
      <ability>L2_Knowledge</ability>
      <abilityName>其他知识</abilityName>
      <candidateList>
        <item>10%—15%</item>
      </candidateList>
      <explain>1. “10-15%”中的单位“%”仅出现在后一个数字上，容易引起歧义；根据《现代汉语标点符号数字用法规范手册》，数字表示范围两边需要使用统一的格式。2. 根据标点国标 4.13 中的规则，数字、时间或地域连接符应使用（视觉上更长的）“—”或“～”。</explain>
      <paraID>626C65F1</paraID>
      <start>56</start>
      <end>62</end>
      <status>unmodified</status>
      <modifiedWord/>
      <trackRevisions>false</trackRevisions>
    </reviewItem>
    <reviewItem>
      <errorID>fa4eace1-1451-4eb1-93cc-07583dc26cfe</errorID>
      <errorWord>25-30%</errorWord>
      <group>L1_Knowledge</group>
      <groupName>知识性问题</groupName>
      <ability>L2_Knowledge</ability>
      <abilityName>其他知识</abilityName>
      <candidateList>
        <item>25%—30%</item>
      </candidateList>
      <explain>1. “25-30%”中的单位“%”仅出现在后一个数字上，容易引起歧义；根据《现代汉语标点符号数字用法规范手册》，数字表示范围两边需要使用统一的格式。2. 根据标点国标 4.13 中的规则，数字、时间或地域连接符应使用（视觉上更长的）“—”或“～”。</explain>
      <paraID>626C65F1</paraID>
      <start>70</start>
      <end>76</end>
      <status>unmodified</status>
      <modifiedWord/>
      <trackRevisions>false</trackRevisions>
    </reviewItem>
    <reviewItem>
      <errorID>92b70329-2cc1-4627-ae0f-d6cb15312f67</errorID>
      <errorWord>30-35%</errorWord>
      <group>L1_Knowledge</group>
      <groupName>知识性问题</groupName>
      <ability>L2_Knowledge</ability>
      <abilityName>其他知识</abilityName>
      <candidateList>
        <item>30%—35%</item>
      </candidateList>
      <explain>1. “30-35%”中的单位“%”仅出现在后一个数字上，容易引起歧义；根据《现代汉语标点符号数字用法规范手册》，数字表示范围两边需要使用统一的格式。2. 根据标点国标 4.13 中的规则，数字、时间或地域连接符应使用（视觉上更长的）“—”或“～”。</explain>
      <paraID>626C65F1</paraID>
      <start>83</start>
      <end>89</end>
      <status>unmodified</status>
      <modifiedWord/>
      <trackRevisions>false</trackRevisions>
    </reviewItem>
    <reviewItem>
      <errorID>7031b3ac-facc-4a2d-9ba2-7f880fe64ad7</errorID>
      <errorWord>15-20%</errorWord>
      <group>L1_Knowledge</group>
      <groupName>知识性问题</groupName>
      <ability>L2_Knowledge</ability>
      <abilityName>其他知识</abilityName>
      <candidateList>
        <item>15%—20%</item>
      </candidateList>
      <explain>1. “15-20%”中的单位“%”仅出现在后一个数字上，容易引起歧义；根据《现代汉语标点符号数字用法规范手册》，数字表示范围两边需要使用统一的格式。2. 根据标点国标 4.13 中的规则，数字、时间或地域连接符应使用（视觉上更长的）“—”或“～”。</explain>
      <paraID>626C65F1</paraID>
      <start>92</start>
      <end>98</end>
      <status>unmodified</status>
      <modifiedWord/>
      <trackRevisions>false</trackRevisions>
    </reviewItem>
    <reviewItem>
      <errorID>2f96f02d-a058-447f-9236-e1dd740c93f2</errorID>
      <errorWord>双组份</errorWord>
      <group>L1_Word</group>
      <groupName>字词问题</groupName>
      <ability>L2_Variant</ability>
      <abilityName>异形词</abilityName>
      <candidateList>
        <item>双组分</item>
      </candidateList>
      <explain>词汇[双组份]的规范词形写作[双组分]。</explain>
      <paraID> B59C4E6</paraID>
      <start>0</start>
      <end>3</end>
      <status>unmodified</status>
      <modifiedWord/>
      <trackRevisions>false</trackRevisions>
    </reviewItem>
    <reviewItem>
      <errorID>40cbb306-5ae2-4e24-bb58-60d90fc9cf31</errorID>
      <errorWord>&lt;</errorWord>
      <group>L1_Format</group>
      <groupName>格式问题</groupName>
      <ability>L2_HalfPunc</ability>
      <abilityName>全半角检查</abilityName>
      <candidateList>
        <item>〈</item>
      </candidateList>
      <explain>文本全半角错误。</explain>
      <paraID> B59C4E6</paraID>
      <start>97</start>
      <end>98</end>
      <status>unmodified</status>
      <modifiedWord/>
      <trackRevisions>false</trackRevisions>
    </reviewItem>
    <reviewItem>
      <errorID>ced25a2c-f902-4728-bfc1-8bb70a35be42</errorID>
      <errorWord>~</errorWord>
      <group>L1_Format</group>
      <groupName>格式问题</groupName>
      <ability>L2_HalfPunc</ability>
      <abilityName>全半角检查</abilityName>
      <candidateList>
        <item>～</item>
      </candidateList>
      <explain>文本全半角错误。</explain>
      <paraID> B59C4E6</paraID>
      <start>164</start>
      <end>165</end>
      <status>unmodified</status>
      <modifiedWord/>
      <trackRevisions>false</trackRevisions>
    </reviewItem>
    <reviewItem>
      <errorID>1d71f6dc-071b-4267-a030-613f7ff95837</errorID>
      <errorWord>~</errorWord>
      <group>L1_Format</group>
      <groupName>格式问题</groupName>
      <ability>L2_HalfPunc</ability>
      <abilityName>全半角检查</abilityName>
      <candidateList>
        <item>～</item>
      </candidateList>
      <explain>文本全半角错误。</explain>
      <paraID> B59C4E6</paraID>
      <start>177</start>
      <end>178</end>
      <status>unmodified</status>
      <modifiedWord/>
      <trackRevisions>false</trackRevisions>
    </reviewItem>
    <reviewItem>
      <errorID>3dda69df-cea7-464f-9633-ef3a231af70f</errorID>
      <errorWord>~</errorWord>
      <group>L1_Format</group>
      <groupName>格式问题</groupName>
      <ability>L2_HalfPunc</ability>
      <abilityName>全半角检查</abilityName>
      <candidateList>
        <item>～</item>
      </candidateList>
      <explain>文本全半角错误。</explain>
      <paraID> B59C4E6</paraID>
      <start>189</start>
      <end>190</end>
      <status>unmodified</status>
      <modifiedWord/>
      <trackRevisions>false</trackRevisions>
    </reviewItem>
    <reviewItem>
      <errorID>0796f5ad-9324-49f8-bd2f-fba844ec0470</errorID>
      <errorWord>~</errorWord>
      <group>L1_Format</group>
      <groupName>格式问题</groupName>
      <ability>L2_HalfPunc</ability>
      <abilityName>全半角检查</abilityName>
      <candidateList>
        <item>～</item>
      </candidateList>
      <explain>文本全半角错误。</explain>
      <paraID> B59C4E6</paraID>
      <start>206</start>
      <end>207</end>
      <status>unmodified</status>
      <modifiedWord/>
      <trackRevisions>false</trackRevisions>
    </reviewItem>
    <reviewItem>
      <errorID>e33a307f-c752-414a-81c5-2c46191b92c5</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759162D4</paraID>
      <start>0</start>
      <end>2</end>
      <status>unmodified</status>
      <modifiedWord/>
      <trackRevisions>false</trackRevisions>
    </reviewItem>
    <reviewItem>
      <errorID>4899b61e-cd8b-4961-bfb6-7f1742211ee5</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40269ECC</paraID>
      <start>0</start>
      <end>2</end>
      <status>unmodified</status>
      <modifiedWord/>
      <trackRevisions>false</trackRevisions>
    </reviewItem>
    <reviewItem>
      <errorID>a19c48da-20bb-4106-8fb5-f3184a6dcd0a</errorID>
      <errorWord>8、</errorWord>
      <group>L1_Format</group>
      <groupName>格式问题</groupName>
      <ability>L2_Ordinal</ability>
      <abilityName>序号格式</abilityName>
      <candidateList>
        <item>8.</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18C66394</paraID>
      <start>0</start>
      <end>2</end>
      <status>unmodified</status>
      <modifiedWord/>
      <trackRevisions>false</trackRevisions>
    </reviewItem>
    <reviewItem>
      <errorID>9f03463e-290a-46da-8a0c-f32b1d583592</errorID>
      <errorWord>9、</errorWord>
      <group>L1_Format</group>
      <groupName>格式问题</groupName>
      <ability>L2_Ordinal</ability>
      <abilityName>序号格式</abilityName>
      <candidateList>
        <item>9.</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569DD5A4</paraID>
      <start>0</start>
      <end>2</end>
      <status>unmodified</status>
      <modifiedWord/>
      <trackRevisions>false</trackRevisions>
    </reviewItem>
    <reviewItem>
      <errorID>d6204563-69a0-43d4-b88d-a6f28b81fd09</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5DE27878</paraID>
      <start>0</start>
      <end>2</end>
      <status>unmodified</status>
      <modifiedWord/>
      <trackRevisions>false</trackRevisions>
    </reviewItem>
    <reviewItem>
      <errorID>cc0ec271-1911-454a-9214-961ca1c771e9</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35B51FBA</paraID>
      <start>0</start>
      <end>2</end>
      <status>unmodified</status>
      <modifiedWord/>
      <trackRevisions>false</trackRevisions>
    </reviewItem>
    <reviewItem>
      <errorID>a9c03abf-96bd-4964-a7d9-eba2c448cbcc</errorID>
      <errorWord>双组份</errorWord>
      <group>L1_Word</group>
      <groupName>字词问题</groupName>
      <ability>L2_Variant</ability>
      <abilityName>异形词</abilityName>
      <candidateList>
        <item>双组分</item>
      </candidateList>
      <explain>词汇[双组份]的规范词形写作[双组分]。</explain>
      <paraID>1C8596CD</paraID>
      <start>17</start>
      <end>20</end>
      <status>unmodified</status>
      <modifiedWord/>
      <trackRevisions>false</trackRevisions>
    </reviewItem>
    <reviewItem>
      <errorID>d7db6570-e924-44d5-8c2f-87e46d1bb39a</errorID>
      <errorWord>复膜</errorWord>
      <group>L1_Word</group>
      <groupName>字词问题</groupName>
      <ability>L2_Typo</ability>
      <abilityName>字词错误</abilityName>
      <candidateList>
        <item>复合</item>
      </candidateList>
      <explain/>
      <paraID>1C8596CD</paraID>
      <start>26</start>
      <end>28</end>
      <status>unmodified</status>
      <modifiedWord/>
      <trackRevisions>false</trackRevisions>
    </reviewItem>
    <reviewItem>
      <errorID>261d25ac-d2a8-4e41-a205-7d4b8c4aca35</errorID>
      <errorWord>（</errorWord>
      <group>L1_Punc</group>
      <groupName>标点问题</groupName>
      <ability>L2_Punc</ability>
      <abilityName>标点符号检查</abilityName>
      <candidateList/>
      <explain>同一形式括号套用。</explain>
      <paraID>74F94708</paraID>
      <start>28</start>
      <end>29</end>
      <status>unmodified</status>
      <modifiedWord/>
      <trackRevisions>false</trackRevisions>
    </reviewItem>
    <reviewItem>
      <errorID>5df66049-dab5-4cce-9a4e-1b2909e0478c</errorID>
      <errorWord>）</errorWord>
      <group>L1_Punc</group>
      <groupName>标点问题</groupName>
      <ability>L2_Punc</ability>
      <abilityName>标点符号检查</abilityName>
      <candidateList/>
      <explain>同一形式括号套用。</explain>
      <paraID>74F94708</paraID>
      <start>32</start>
      <end>33</end>
      <status>unmodified</status>
      <modifiedWord/>
      <trackRevisions>false</trackRevisions>
    </reviewItem>
    <reviewItem>
      <errorID>6afb9a6c-d599-4dc9-bae4-65d36a0af6eb</errorID>
      <errorWord>一</errorWord>
      <group>L1_Word</group>
      <groupName>字词问题</groupName>
      <ability>L2_Typo</ability>
      <abilityName>字词错误</abilityName>
      <candidateList>
        <item>一道</item>
      </candidateList>
      <explain>（～儿）〈副〉一同；一路❸：～走｜～工作。</explain>
      <paraID>4E0757CB</paraID>
      <start>42</start>
      <end>43</end>
      <status>unmodified</status>
      <modifiedWord/>
      <trackRevisions>false</trackRevisions>
    </reviewItem>
    <reviewItem>
      <errorID>06dc2ca3-2313-4d9b-918e-6b1983c8e820</errorID>
      <errorWord>交有</errorWord>
      <group>L1_Word</group>
      <groupName>字词问题</groupName>
      <ability>L2_Typo</ability>
      <abilityName>字词错误</abilityName>
      <candidateList>
        <item>交由</item>
      </candidateList>
      <explain>存在发音相同字词的误用。</explain>
      <paraID> E19F94B</paraID>
      <start>8</start>
      <end>10</end>
      <status>unmodified</status>
      <modifiedWord/>
      <trackRevisions>false</trackRevisions>
    </reviewItem>
    <reviewItem>
      <errorID>2787f666-df88-4a64-b422-41bbb0c45cbd</errorID>
      <errorWord>交有</errorWord>
      <group>L1_Word</group>
      <groupName>字词问题</groupName>
      <ability>L2_Typo</ability>
      <abilityName>字词错误</abilityName>
      <candidateList>
        <item>交由</item>
      </candidateList>
      <explain>存在发音相同字词的误用。</explain>
      <paraID>36E268D2</paraID>
      <start>8</start>
      <end>10</end>
      <status>unmodified</status>
      <modifiedWord/>
      <trackRevisions>false</trackRevisions>
    </reviewItem>
    <reviewItem>
      <errorID>d4d016b1-a46a-440f-b97a-47ebf5ee411b</errorID>
      <errorWord>交有</errorWord>
      <group>L1_Word</group>
      <groupName>字词问题</groupName>
      <ability>L2_Typo</ability>
      <abilityName>字词错误</abilityName>
      <candidateList>
        <item>交由</item>
      </candidateList>
      <explain>存在发音相同字词的误用。</explain>
      <paraID>718D6C16</paraID>
      <start>8</start>
      <end>10</end>
      <status>unmodified</status>
      <modifiedWord/>
      <trackRevisions>false</trackRevisions>
    </reviewItem>
    <reviewItem>
      <errorID>ec33b008-d9a7-4e6b-9508-be360515a132</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1AD672E8</paraID>
      <start>0</start>
      <end>2</end>
      <status>unmodified</status>
      <modifiedWord/>
      <trackRevisions>false</trackRevisions>
    </reviewItem>
    <reviewItem>
      <errorID>dd738479-0a19-4ff0-998b-27755650aa25</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 92D906A</paraID>
      <start>79</start>
      <end>80</end>
      <status>unmodified</status>
      <modifiedWord/>
      <trackRevisions>false</trackRevisions>
    </reviewItem>
    <reviewItem>
      <errorID>4f1054f6-8183-4f3d-a77d-9ec1f1838b25</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49E2B94D</paraID>
      <start>1</start>
      <end>3</end>
      <status>unmodified</status>
      <modifiedWord/>
      <trackRevisions>false</trackRevisions>
    </reviewItem>
    <reviewItem>
      <errorID>ad07cf47-9e13-403e-9049-27c9dc15515f</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15972665</paraID>
      <start>0</start>
      <end>2</end>
      <status>unmodified</status>
      <modifiedWord/>
      <trackRevisions>false</trackRevisions>
    </reviewItem>
    <reviewItem>
      <errorID>027202ac-41cf-4cc0-b8a5-b655e0540f59</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10525DCD</paraID>
      <start>60</start>
      <end>61</end>
      <status>unmodified</status>
      <modifiedWord/>
      <trackRevisions>false</trackRevisions>
    </reviewItem>
    <reviewItem>
      <errorID>018e20ef-3105-478b-b985-0a141adb1b50</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10525DCD</paraID>
      <start>237</start>
      <end>238</end>
      <status>unmodified</status>
      <modifiedWord/>
      <trackRevisions>false</trackRevisions>
    </reviewItem>
    <reviewItem>
      <errorID>ed980a45-b2e7-4b22-8e75-8438594ba2a5</errorID>
      <errorWord>)</errorWord>
      <group>L1_Format</group>
      <groupName>格式问题</groupName>
      <ability>L2_HalfPunc</ability>
      <abilityName>全半角检查</abilityName>
      <candidateList>
        <item>）</item>
      </candidateList>
      <explain>文本全半角错误。</explain>
      <paraID>3F7D9495</paraID>
      <start>30</start>
      <end>31</end>
      <status>unmodified</status>
      <modifiedWord/>
      <trackRevisions>false</trackRevisions>
    </reviewItem>
    <reviewItem>
      <errorID>7b0d0e1d-7a2a-4169-8cd8-956ae2a6a802</errorID>
      <errorWord>)</errorWord>
      <group>L1_Format</group>
      <groupName>格式问题</groupName>
      <ability>L2_HalfPunc</ability>
      <abilityName>全半角检查</abilityName>
      <candidateList>
        <item>）</item>
      </candidateList>
      <explain>文本全半角错误。</explain>
      <paraID>3F7D9495</paraID>
      <start>51</start>
      <end>52</end>
      <status>unmodified</status>
      <modifiedWord/>
      <trackRevisions>false</trackRevisions>
    </reviewItem>
    <reviewItem>
      <errorID>12544b3e-eedc-4438-a479-ce406b4b40f2</errorID>
      <errorWord>生活废水</errorWord>
      <group>L1_Knowledge</group>
      <groupName>知识性问题</groupName>
      <ability>L2_Term</ability>
      <abilityName>专业术语</abilityName>
      <candidateList>
        <item>生活污水</item>
      </candidateList>
      <explain/>
      <paraID>148DC8B1</paraID>
      <start>19</start>
      <end>23</end>
      <status>unmodified</status>
      <modifiedWord/>
      <trackRevisions>false</trackRevisions>
    </reviewItem>
    <reviewItem>
      <errorID>b7338b45-08ad-41d3-aead-99927e446bf6</errorID>
      <errorWord>：</errorWord>
      <group>L1_Format</group>
      <groupName>格式问题</groupName>
      <ability>L2_HalfPunc</ability>
      <abilityName>全半角检查</abilityName>
      <candidateList>
        <item>:</item>
      </candidateList>
      <explain>文本全半角错误。</explain>
      <paraID>2217F1EB</paraID>
      <start>54</start>
      <end>55</end>
      <status>unmodified</status>
      <modifiedWord/>
      <trackRevisions>false</trackRevisions>
    </reviewItem>
    <reviewItem>
      <errorID>b7fac3a7-2cd5-452c-90ad-efc7d1331c20</errorID>
      <errorWord>：</errorWord>
      <group>L1_Format</group>
      <groupName>格式问题</groupName>
      <ability>L2_HalfPunc</ability>
      <abilityName>全半角检查</abilityName>
      <candidateList>
        <item>:</item>
      </candidateList>
      <explain>文本全半角错误。</explain>
      <paraID>2217F1EB</paraID>
      <start>129</start>
      <end>130</end>
      <status>unmodified</status>
      <modifiedWord/>
      <trackRevisions>false</trackRevisions>
    </reviewItem>
    <reviewItem>
      <errorID>f6e6c719-0ece-4ac7-a87e-c26d06097e57</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4CB4F79C</paraID>
      <start>0</start>
      <end>2</end>
      <status>unmodified</status>
      <modifiedWord/>
      <trackRevisions>false</trackRevisions>
    </reviewItem>
    <reviewItem>
      <errorID>aa316b72-714e-4ff9-8b4a-7294b12c67c6</errorID>
      <errorWord>双组份</errorWord>
      <group>L1_Word</group>
      <groupName>字词问题</groupName>
      <ability>L2_Variant</ability>
      <abilityName>异形词</abilityName>
      <candidateList>
        <item>双组分</item>
      </candidateList>
      <explain>词汇[双组份]的规范词形写作[双组分]。</explain>
      <paraID>4251E026</paraID>
      <start>28</start>
      <end>31</end>
      <status>unmodified</status>
      <modifiedWord/>
      <trackRevisions>false</trackRevisions>
    </reviewItem>
    <reviewItem>
      <errorID>ae771762-0246-43de-a701-c814598d8910</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F8831C6</paraID>
      <start>0</start>
      <end>2</end>
      <status>unmodified</status>
      <modifiedWord/>
      <trackRevisions>false</trackRevisions>
    </reviewItem>
    <reviewItem>
      <errorID>b7c0dfcd-0958-46bb-9ef5-4bfecd4d007c</errorID>
      <errorWord>年</errorWord>
      <group>L1_Word</group>
      <groupName>字词问题</groupName>
      <ability>L2_Typo</ability>
      <abilityName>字词错误</abilityName>
      <candidateList>
        <item>年度</item>
      </candidateList>
      <explain/>
      <paraID>7E23E753</paraID>
      <start>0</start>
      <end>1</end>
      <status>unmodified</status>
      <modifiedWord/>
      <trackRevisions>false</trackRevisions>
    </reviewItem>
    <reviewItem>
      <errorID>61ef02e0-77dd-4af8-81ff-09bb508a72c6</errorID>
      <errorWord>（</errorWord>
      <group>L1_Format</group>
      <groupName>格式问题</groupName>
      <ability>L2_HalfPunc</ability>
      <abilityName>全半角检查</abilityName>
      <candidateList>
        <item>(</item>
      </candidateList>
      <explain>文本全半角错误。</explain>
      <paraID> C21401C</paraID>
      <start>0</start>
      <end>1</end>
      <status>unmodified</status>
      <modifiedWord/>
      <trackRevisions>false</trackRevisions>
    </reviewItem>
    <reviewItem>
      <errorID>933dc748-2430-4f5f-b457-f1cf248cfba3</errorID>
      <errorWord>）</errorWord>
      <group>L1_Format</group>
      <groupName>格式问题</groupName>
      <ability>L2_HalfPunc</ability>
      <abilityName>全半角检查</abilityName>
      <candidateList>
        <item>)</item>
      </candidateList>
      <explain>文本全半角错误。</explain>
      <paraID> C21401C</paraID>
      <start>6</start>
      <end>7</end>
      <status>unmodified</status>
      <modifiedWord/>
      <trackRevisions>false</trackRevisions>
    </reviewItem>
    <reviewItem>
      <errorID>99cb0926-eeac-44a9-ad0f-de5bd8a9c829</errorID>
      <errorWord>[2022]68号</errorWord>
      <group>L1_Knowledge</group>
      <groupName>知识性问题</groupName>
      <ability>L2_Knowledge</ability>
      <abilityName>其他知识</abilityName>
      <candidateList>
        <item>〔2022〕68号</item>
      </candidateList>
      <explain>发文字号格式错误。</explain>
      <paraID>7FED95BA</paraID>
      <start>49</start>
      <end>58</end>
      <status>unmodified</status>
      <modifiedWord/>
      <trackRevisions>false</trackRevisions>
    </reviewItem>
    <reviewItem>
      <errorID>80b9abe5-4f94-43cd-b9bd-f92c7b0eadbf</errorID>
      <errorWord>；</errorWord>
      <group>L1_Format</group>
      <groupName>格式问题</groupName>
      <ability>L2_HalfPunc</ability>
      <abilityName>全半角检查</abilityName>
      <candidateList>
        <item>;</item>
      </candidateList>
      <explain>文本全半角错误。</explain>
      <paraID>2F7FFCE4</paraID>
      <start>9</start>
      <end>10</end>
      <status>unmodified</status>
      <modifiedWord/>
      <trackRevisions>false</trackRevisions>
    </reviewItem>
    <reviewItem>
      <errorID>af539528-fed8-4ae4-a651-82b24feff2e6</errorID>
      <errorWord>；</errorWord>
      <group>L1_Format</group>
      <groupName>格式问题</groupName>
      <ability>L2_HalfPunc</ability>
      <abilityName>全半角检查</abilityName>
      <candidateList>
        <item>;</item>
      </candidateList>
      <explain>文本全半角错误。</explain>
      <paraID>2F7FFCE4</paraID>
      <start>19</start>
      <end>20</end>
      <status>unmodified</status>
      <modifiedWord/>
      <trackRevisions>false</trackRevisions>
    </reviewItem>
    <reviewItem>
      <errorID>0282fc33-c4a8-47f1-8a83-d073a6f212e0</errorID>
      <errorWord>；</errorWord>
      <group>L1_Format</group>
      <groupName>格式问题</groupName>
      <ability>L2_HalfPunc</ability>
      <abilityName>全半角检查</abilityName>
      <candidateList>
        <item>;</item>
      </candidateList>
      <explain>文本全半角错误。</explain>
      <paraID>2F7FFCE4</paraID>
      <start>31</start>
      <end>32</end>
      <status>unmodified</status>
      <modifiedWord/>
      <trackRevisions>false</trackRevisions>
    </reviewItem>
    <reviewItem>
      <errorID>9841bb15-4cd4-422c-9e23-b2fcc0e8af6d</errorID>
      <errorWord>；</errorWord>
      <group>L1_Format</group>
      <groupName>格式问题</groupName>
      <ability>L2_HalfPunc</ability>
      <abilityName>全半角检查</abilityName>
      <candidateList>
        <item>;</item>
      </candidateList>
      <explain>文本全半角错误。</explain>
      <paraID>2F7FFCE4</paraID>
      <start>43</start>
      <end>44</end>
      <status>unmodified</status>
      <modifiedWord/>
      <trackRevisions>false</trackRevisions>
    </reviewItem>
    <reviewItem>
      <errorID>bd140379-d105-4452-b926-ccb69b5b32b1</errorID>
      <errorWord>～</errorWord>
      <group>L1_Format</group>
      <groupName>格式问题</groupName>
      <ability>L2_HalfPunc</ability>
      <abilityName>全半角检查</abilityName>
      <candidateList>
        <item>~</item>
      </candidateList>
      <explain>文本全半角错误。</explain>
      <paraID>4A6C2641</paraID>
      <start>4</start>
      <end>5</end>
      <status>unmodified</status>
      <modifiedWord/>
      <trackRevisions>false</trackRevisions>
    </reviewItem>
    <reviewItem>
      <errorID>5dea7b58-d5d3-4b9f-afae-4398c5e1f160</errorID>
      <errorWord>(</errorWord>
      <group>L1_Format</group>
      <groupName>格式问题</groupName>
      <ability>L2_HalfPunc</ability>
      <abilityName>全半角检查</abilityName>
      <candidateList>
        <item>（</item>
      </candidateList>
      <explain>文本全半角错误。</explain>
      <paraID>43B8F383</paraID>
      <start>35</start>
      <end>36</end>
      <status>unmodified</status>
      <modifiedWord/>
      <trackRevisions>false</trackRevisions>
    </reviewItem>
    <reviewItem>
      <errorID>96a76b78-7921-48ff-a573-d501b2610345</errorID>
      <errorWord>)</errorWord>
      <group>L1_Format</group>
      <groupName>格式问题</groupName>
      <ability>L2_HalfPunc</ability>
      <abilityName>全半角检查</abilityName>
      <candidateList>
        <item>）</item>
      </candidateList>
      <explain>文本全半角错误。</explain>
      <paraID>43B8F383</paraID>
      <start>50</start>
      <end>51</end>
      <status>unmodified</status>
      <modifiedWord/>
      <trackRevisions>false</trackRevisions>
    </reviewItem>
    <reviewItem>
      <errorID>b6ee03a5-22dd-4b76-8965-cc38ce2e2522</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565C0E3</paraID>
      <start>0</start>
      <end>2</end>
      <status>unmodified</status>
      <modifiedWord/>
      <trackRevisions>false</trackRevisions>
    </reviewItem>
    <reviewItem>
      <errorID>40927f9b-81ec-4282-aba6-63b0696f8c59</errorID>
      <errorWord>II类</errorWord>
      <group>L1_Knowledge</group>
      <groupName>知识性问题</groupName>
      <ability>L2_Knowledge</ability>
      <abilityName>其他知识</abilityName>
      <candidateList>
        <item>Ⅱ类</item>
      </candidateList>
      <explain/>
      <paraID>2307DBA7</paraID>
      <start>68</start>
      <end>71</end>
      <status>unmodified</status>
      <modifiedWord/>
      <trackRevisions>false</trackRevisions>
    </reviewItem>
    <reviewItem>
      <errorID>37f12e42-eee7-438c-af69-32b748f9fe71</errorID>
      <errorWord>III类</errorWord>
      <group>L1_Knowledge</group>
      <groupName>知识性问题</groupName>
      <ability>L2_Knowledge</ability>
      <abilityName>其他知识</abilityName>
      <candidateList>
        <item>Ⅲ类</item>
      </candidateList>
      <explain/>
      <paraID>2307DBA7</paraID>
      <start>90</start>
      <end>94</end>
      <status>unmodified</status>
      <modifiedWord/>
      <trackRevisions>false</trackRevisions>
    </reviewItem>
    <reviewItem>
      <errorID>a71326bd-b85d-4710-b0f4-11f4f1c699c5</errorID>
      <errorWord>IV类</errorWord>
      <group>L1_Knowledge</group>
      <groupName>知识性问题</groupName>
      <ability>L2_Knowledge</ability>
      <abilityName>其他知识</abilityName>
      <candidateList>
        <item>Ⅳ类</item>
      </candidateList>
      <explain/>
      <paraID>2307DBA7</paraID>
      <start>177</start>
      <end>180</end>
      <status>unmodified</status>
      <modifiedWord/>
      <trackRevisions>false</trackRevisions>
    </reviewItem>
    <reviewItem>
      <errorID>3b44b581-2f89-498a-9606-55bfaf04ac8c</errorID>
      <errorWord>IV类</errorWord>
      <group>L1_Knowledge</group>
      <groupName>知识性问题</groupName>
      <ability>L2_Knowledge</ability>
      <abilityName>其他知识</abilityName>
      <candidateList>
        <item>Ⅳ类</item>
      </candidateList>
      <explain/>
      <paraID>785A4A18</paraID>
      <start>97</start>
      <end>100</end>
      <status>unmodified</status>
      <modifiedWord/>
      <trackRevisions>false</trackRevisions>
    </reviewItem>
    <reviewItem>
      <errorID>c061075e-cce6-472f-a986-0d878c05747b</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1D8CBE49</paraID>
      <start>0</start>
      <end>2</end>
      <status>unmodified</status>
      <modifiedWord/>
      <trackRevisions>false</trackRevisions>
    </reviewItem>
    <reviewItem>
      <errorID>49158a1a-ea5e-4f46-988a-a9ba4b2b7a9f</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4922565E</paraID>
      <start>0</start>
      <end>2</end>
      <status>unmodified</status>
      <modifiedWord/>
      <trackRevisions>false</trackRevisions>
    </reviewItem>
    <reviewItem>
      <errorID>947b7493-13ea-4f0a-84f3-1c7268b72464</errorID>
      <errorWord>，</errorWord>
      <group>L1_Word</group>
      <groupName>字词问题</groupName>
      <ability>L2_Typo</ability>
      <abilityName>字词错误</abilityName>
      <candidateList>
        <item>，在</item>
      </candidateList>
      <explain/>
      <paraID> 363C134</paraID>
      <start>25</start>
      <end>26</end>
      <status>unmodified</status>
      <modifiedWord/>
      <trackRevisions>false</trackRevisions>
    </reviewItem>
    <reviewItem>
      <errorID>77524913-4b90-42b8-9d78-75c758d1e801</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2AF93BB9</paraID>
      <start>0</start>
      <end>2</end>
      <status>unmodified</status>
      <modifiedWord/>
      <trackRevisions>false</trackRevisions>
    </reviewItem>
    <reviewItem>
      <errorID>0fe3893b-9c9b-4954-b392-701a72e1e405</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6832A337</paraID>
      <start>0</start>
      <end>2</end>
      <status>unmodified</status>
      <modifiedWord/>
      <trackRevisions>false</trackRevisions>
    </reviewItem>
    <reviewItem>
      <errorID>3e8c7fd4-284d-491d-8388-b15a4946f178</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33F0B232</paraID>
      <start>0</start>
      <end>2</end>
      <status>unmodified</status>
      <modifiedWord/>
      <trackRevisions>false</trackRevisions>
    </reviewItem>
    <reviewItem>
      <errorID>994d3993-51f1-4499-8530-c2729619664b</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58C341F1</paraID>
      <start>0</start>
      <end>2</end>
      <status>unmodified</status>
      <modifiedWord/>
      <trackRevisions>false</trackRevisions>
    </reviewItem>
    <reviewItem>
      <errorID>d7cf5eca-03d8-4821-b6cc-8f3c4d3d1ae4</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1590E67F</paraID>
      <start>0</start>
      <end>2</end>
      <status>unmodified</status>
      <modifiedWord/>
      <trackRevisions>false</trackRevisions>
    </reviewItem>
    <reviewItem>
      <errorID>aead80dc-c5d2-46ab-8227-5f5f5bad3ba7</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C5E7174</paraID>
      <start>0</start>
      <end>2</end>
      <status>unmodified</status>
      <modifiedWord/>
      <trackRevisions>false</trackRevisions>
    </reviewItem>
    <reviewItem>
      <errorID>31f4fc7c-7315-4667-813a-309e936d5741</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2FE6660E</paraID>
      <start>0</start>
      <end>2</end>
      <status>unmodified</status>
      <modifiedWord/>
      <trackRevisions>false</trackRevisions>
    </reviewItem>
    <reviewItem>
      <errorID>0ce37262-b094-46cb-b4ca-9048a772ac21</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6AFB8FDD</paraID>
      <start>0</start>
      <end>2</end>
      <status>unmodified</status>
      <modifiedWord/>
      <trackRevisions>false</trackRevisions>
    </reviewItem>
    <reviewItem>
      <errorID>0de95ce7-efaa-4b62-b21d-d3ab2a4d321b</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3FB84F2B</paraID>
      <start>0</start>
      <end>2</end>
      <status>unmodified</status>
      <modifiedWord/>
      <trackRevisions>false</trackRevisions>
    </reviewItem>
    <reviewItem>
      <errorID>35faaee1-b463-4fa6-b109-fd9db3e78ded</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7AB2A5BE</paraID>
      <start>0</start>
      <end>2</end>
      <status>unmodified</status>
      <modifiedWord/>
      <trackRevisions>false</trackRevisions>
    </reviewItem>
    <reviewItem>
      <errorID>f19fc526-8820-4490-a566-f3a96f650abd</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45DA0DEF</paraID>
      <start>0</start>
      <end>2</end>
      <status>unmodified</status>
      <modifiedWord/>
      <trackRevisions>false</trackRevisions>
    </reviewItem>
    <reviewItem>
      <errorID>48df72e6-b7f9-431d-827c-bd87ab3202b7</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121F9B88</paraID>
      <start>0</start>
      <end>2</end>
      <status>unmodified</status>
      <modifiedWord/>
      <trackRevisions>false</trackRevisions>
    </reviewItem>
    <reviewItem>
      <errorID>44a6adeb-3eb4-4a97-a7b4-686c3652ad59</errorID>
      <errorWord>(</errorWord>
      <group>L1_Format</group>
      <groupName>格式问题</groupName>
      <ability>L2_HalfPunc</ability>
      <abilityName>全半角检查</abilityName>
      <candidateList>
        <item>（</item>
      </candidateList>
      <explain>文本全半角错误。</explain>
      <paraID> 2687306</paraID>
      <start>16</start>
      <end>17</end>
      <status>unmodified</status>
      <modifiedWord/>
      <trackRevisions>false</trackRevisions>
    </reviewItem>
    <reviewItem>
      <errorID>ce9f31f0-4250-4a2a-9fa9-da64ba8e971c</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43D8340F</paraID>
      <start>0</start>
      <end>2</end>
      <status>unmodified</status>
      <modifiedWord/>
      <trackRevisions>false</trackRevisions>
    </reviewItem>
    <reviewItem>
      <errorID>12f6ac77-8940-4b55-b8a6-565ac6f34472</errorID>
      <errorWord>[2014]197号</errorWord>
      <group>L1_Knowledge</group>
      <groupName>知识性问题</groupName>
      <ability>L2_Knowledge</ability>
      <abilityName>其他知识</abilityName>
      <candidateList>
        <item>〔2014〕197号</item>
      </candidateList>
      <explain>发文字号格式错误。</explain>
      <paraID>1D54F125</paraID>
      <start>106</start>
      <end>116</end>
      <status>unmodified</status>
      <modifiedWord/>
      <trackRevisions>false</trackRevisions>
    </reviewItem>
    <reviewItem>
      <errorID>168e08be-d54e-45b0-8964-e73e06bfaed1</errorID>
      <errorWord>[2014]283号</errorWord>
      <group>L1_Knowledge</group>
      <groupName>知识性问题</groupName>
      <ability>L2_Knowledge</ability>
      <abilityName>其他知识</abilityName>
      <candidateList>
        <item>〔2014〕283号</item>
      </candidateList>
      <explain>发文字号格式错误。</explain>
      <paraID>1D54F125</paraID>
      <start>154</start>
      <end>164</end>
      <status>unmodified</status>
      <modifiedWord/>
      <trackRevisions>false</trackRevisions>
    </reviewItem>
    <reviewItem>
      <errorID>41cd8e80-5001-438a-9e29-937e395fa275</errorID>
      <errorWord>[2023]283号</errorWord>
      <group>L1_Knowledge</group>
      <groupName>知识性问题</groupName>
      <ability>L2_Knowledge</ability>
      <abilityName>其他知识</abilityName>
      <candidateList>
        <item>〔2023〕283号</item>
      </candidateList>
      <explain>发文字号格式错误。</explain>
      <paraID>1D54F125</paraID>
      <start>216</start>
      <end>226</end>
      <status>unmodified</status>
      <modifiedWord/>
      <trackRevisions>false</trackRevisions>
    </reviewItem>
    <reviewItem>
      <errorID>158bbd70-e92e-49b4-acf0-af42020c92fc</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5D1760D4</paraID>
      <start>0</start>
      <end>2</end>
      <status>unmodified</status>
      <modifiedWord/>
      <trackRevisions>false</trackRevisions>
    </reviewItem>
    <reviewItem>
      <errorID>17b187b5-67ac-40f1-905d-cb59179ec575</errorID>
      <errorWord>(</errorWord>
      <group>L1_Format</group>
      <groupName>格式问题</groupName>
      <ability>L2_HalfPunc</ability>
      <abilityName>全半角检查</abilityName>
      <candidateList>
        <item>（</item>
      </candidateList>
      <explain>文本全半角错误。</explain>
      <paraID>1D61E519</paraID>
      <start>7</start>
      <end>8</end>
      <status>unmodified</status>
      <modifiedWord/>
      <trackRevisions>false</trackRevisions>
    </reviewItem>
    <reviewItem>
      <errorID>ffae9b81-d7a3-46b6-a8ee-2289bc9265f4</errorID>
      <errorWord>：</errorWord>
      <group>L1_Format</group>
      <groupName>格式问题</groupName>
      <ability>L2_HalfPunc</ability>
      <abilityName>全半角检查</abilityName>
      <candidateList>
        <item>:</item>
      </candidateList>
      <explain>文本全半角错误。</explain>
      <paraID>52A36C3B</paraID>
      <start>27</start>
      <end>28</end>
      <status>unmodified</status>
      <modifiedWord/>
      <trackRevisions>false</trackRevisions>
    </reviewItem>
    <reviewItem>
      <errorID>2e650dd6-c03e-4b36-a701-7b175ffee1b8</errorID>
      <errorWord>(</errorWord>
      <group>L1_Format</group>
      <groupName>格式问题</groupName>
      <ability>L2_HalfPunc</ability>
      <abilityName>全半角检查</abilityName>
      <candidateList>
        <item>（</item>
      </candidateList>
      <explain>文本全半角错误。</explain>
      <paraID>1B7C8024</paraID>
      <start>7</start>
      <end>8</end>
      <status>unmodified</status>
      <modifiedWord/>
      <trackRevisions>false</trackRevisions>
    </reviewItem>
    <reviewItem>
      <errorID>2daa5257-5f0f-4c90-b260-95c184a3162c</errorID>
      <errorWord>：</errorWord>
      <group>L1_Format</group>
      <groupName>格式问题</groupName>
      <ability>L2_HalfPunc</ability>
      <abilityName>全半角检查</abilityName>
      <candidateList>
        <item>:</item>
      </candidateList>
      <explain>文本全半角错误。</explain>
      <paraID>4AB37C1E</paraID>
      <start>33</start>
      <end>34</end>
      <status>unmodified</status>
      <modifiedWord/>
      <trackRevisions>false</trackRevisions>
    </reviewItem>
    <reviewItem>
      <errorID>a8eb84a7-d08c-48c0-ad35-459c9318129c</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2B76F514</paraID>
      <start>0</start>
      <end>2</end>
      <status>unmodified</status>
      <modifiedWord/>
      <trackRevisions>false</trackRevisions>
    </reviewItem>
    <reviewItem>
      <errorID>c5962085-7566-4453-b9fd-e85e99880045</errorID>
      <errorWord>：</errorWord>
      <group>L1_Format</group>
      <groupName>格式问题</groupName>
      <ability>L2_HalfPunc</ability>
      <abilityName>全半角检查</abilityName>
      <candidateList>
        <item>:</item>
      </candidateList>
      <explain>文本全半角错误。</explain>
      <paraID>295E7EB1</paraID>
      <start>47</start>
      <end>48</end>
      <status>unmodified</status>
      <modifiedWord/>
      <trackRevisions>false</trackRevisions>
    </reviewItem>
    <reviewItem>
      <errorID>50d79738-48e7-4a96-8f1b-a5dcf8f9cc45</errorID>
      <errorWord>&lt;</errorWord>
      <group>L1_Format</group>
      <groupName>格式问题</groupName>
      <ability>L2_HalfPunc</ability>
      <abilityName>全半角检查</abilityName>
      <candidateList>
        <item>〈</item>
      </candidateList>
      <explain>文本全半角错误。</explain>
      <paraID>1A6B91F0</paraID>
      <start>179</start>
      <end>180</end>
      <status>unmodified</status>
      <modifiedWord/>
      <trackRevisions>false</trackRevisions>
    </reviewItem>
    <reviewItem>
      <errorID>a76e9f7c-e1a7-46cc-aa70-b501cefc8c33</errorID>
      <errorWord>&gt;的通知》</errorWord>
      <group>L1_Punc</group>
      <groupName>标点问题</groupName>
      <ability>L2_Punc</ability>
      <abilityName>标点符号检查</abilityName>
      <candidateList>
        <item>〉的通知》</item>
      </candidateList>
      <explain/>
      <paraID>1A6B91F0</paraID>
      <start>193</start>
      <end>198</end>
      <status>unmodified</status>
      <modifiedWord/>
      <trackRevisions>false</trackRevisions>
    </reviewItem>
    <reviewItem>
      <errorID>9377cd0d-a458-467e-8f81-b47913b4fdfd</errorID>
      <errorWord>(</errorWord>
      <group>L1_Format</group>
      <groupName>格式问题</groupName>
      <ability>L2_HalfPunc</ability>
      <abilityName>全半角检查</abilityName>
      <candidateList>
        <item>（</item>
      </candidateList>
      <explain>文本全半角错误。</explain>
      <paraID>1A6B91F0</paraID>
      <start>198</start>
      <end>199</end>
      <status>unmodified</status>
      <modifiedWord/>
      <trackRevisions>false</trackRevisions>
    </reviewItem>
    <reviewItem>
      <errorID>a229f5c2-e275-4268-b9a0-00325afd6752</errorID>
      <errorWord>[2017]9号</errorWord>
      <group>L1_Knowledge</group>
      <groupName>知识性问题</groupName>
      <ability>L2_Knowledge</ability>
      <abilityName>其他知识</abilityName>
      <candidateList>
        <item>〔2017〕9号</item>
      </candidateList>
      <explain>发文字号格式错误。</explain>
      <paraID>1A6B91F0</paraID>
      <start>202</start>
      <end>210</end>
      <status>unmodified</status>
      <modifiedWord/>
      <trackRevisions>false</trackRevisions>
    </reviewItem>
    <reviewItem>
      <errorID>6b79ed24-0bac-4ce3-a7a0-d88d0ad7ac85</errorID>
      <errorWord>)</errorWord>
      <group>L1_Format</group>
      <groupName>格式问题</groupName>
      <ability>L2_HalfPunc</ability>
      <abilityName>全半角检查</abilityName>
      <candidateList>
        <item>）</item>
      </candidateList>
      <explain>文本全半角错误。</explain>
      <paraID>1A6B91F0</paraID>
      <start>210</start>
      <end>211</end>
      <status>unmodified</status>
      <modifiedWord/>
      <trackRevisions>false</trackRevisions>
    </reviewItem>
    <reviewItem>
      <errorID>32550169-ee71-47a0-b150-4102808aeadb</errorID>
      <errorWord>(</errorWord>
      <group>L1_Format</group>
      <groupName>格式问题</groupName>
      <ability>L2_HalfPunc</ability>
      <abilityName>全半角检查</abilityName>
      <candidateList>
        <item>（</item>
      </candidateList>
      <explain>文本全半角错误。</explain>
      <paraID>1A6B91F0</paraID>
      <start>226</start>
      <end>227</end>
      <status>unmodified</status>
      <modifiedWord/>
      <trackRevisions>false</trackRevisions>
    </reviewItem>
    <reviewItem>
      <errorID>95f68145-d059-438d-b240-2bcfd111d348</errorID>
      <errorWord>)</errorWord>
      <group>L1_Format</group>
      <groupName>格式问题</groupName>
      <ability>L2_HalfPunc</ability>
      <abilityName>全半角检查</abilityName>
      <candidateList>
        <item>）</item>
      </candidateList>
      <explain>文本全半角错误。</explain>
      <paraID>1A6B91F0</paraID>
      <start>240</start>
      <end>241</end>
      <status>unmodified</status>
      <modifiedWord/>
      <trackRevisions>false</trackRevisions>
    </reviewItem>
    <reviewItem>
      <errorID>14afe916-6517-4b7d-9f59-6942d151d821</errorID>
      <errorWord>(</errorWord>
      <group>L1_Format</group>
      <groupName>格式问题</groupName>
      <ability>L2_HalfPunc</ability>
      <abilityName>全半角检查</abilityName>
      <candidateList>
        <item>（</item>
      </candidateList>
      <explain>文本全半角错误。</explain>
      <paraID>1A6B91F0</paraID>
      <start>259</start>
      <end>260</end>
      <status>unmodified</status>
      <modifiedWord/>
      <trackRevisions>false</trackRevisions>
    </reviewItem>
    <reviewItem>
      <errorID>2a6346b6-9b6e-4605-a47b-d36b10270bc9</errorID>
      <errorWord>[2013]23号</errorWord>
      <group>L1_Knowledge</group>
      <groupName>知识性问题</groupName>
      <ability>L2_Knowledge</ability>
      <abilityName>其他知识</abilityName>
      <candidateList>
        <item>〔2013〕23号</item>
      </candidateList>
      <explain>发文字号格式错误。</explain>
      <paraID>1A6B91F0</paraID>
      <start>262</start>
      <end>271</end>
      <status>unmodified</status>
      <modifiedWord/>
      <trackRevisions>false</trackRevisions>
    </reviewItem>
    <reviewItem>
      <errorID>8e15f14c-fffb-4999-b942-cb9e2b3c9d60</errorID>
      <errorWord>)</errorWord>
      <group>L1_Format</group>
      <groupName>格式问题</groupName>
      <ability>L2_HalfPunc</ability>
      <abilityName>全半角检查</abilityName>
      <candidateList>
        <item>）</item>
      </candidateList>
      <explain>文本全半角错误。</explain>
      <paraID>1A6B91F0</paraID>
      <start>271</start>
      <end>272</end>
      <status>unmodified</status>
      <modifiedWord/>
      <trackRevisions>false</trackRevisions>
    </reviewItem>
    <reviewItem>
      <errorID>0d01ed6f-3bb0-43f0-ac8a-32b834425be7</errorID>
      <errorWord>(</errorWord>
      <group>L1_Format</group>
      <groupName>格式问题</groupName>
      <ability>L2_HalfPunc</ability>
      <abilityName>全半角检查</abilityName>
      <candidateList>
        <item>（</item>
      </candidateList>
      <explain>文本全半角错误。</explain>
      <paraID>1A6B91F0</paraID>
      <start>286</start>
      <end>287</end>
      <status>unmodified</status>
      <modifiedWord/>
      <trackRevisions>false</trackRevisions>
    </reviewItem>
    <reviewItem>
      <errorID>b968c421-cfd4-4aeb-a56b-3b5affb51305</errorID>
      <errorWord>)</errorWord>
      <group>L1_Format</group>
      <groupName>格式问题</groupName>
      <ability>L2_HalfPunc</ability>
      <abilityName>全半角检查</abilityName>
      <candidateList>
        <item>）</item>
      </candidateList>
      <explain>文本全半角错误。</explain>
      <paraID>1A6B91F0</paraID>
      <start>297</start>
      <end>298</end>
      <status>unmodified</status>
      <modifiedWord/>
      <trackRevisions>false</trackRevisions>
    </reviewItem>
    <reviewItem>
      <errorID>5d1e57ca-454c-40ee-a62c-32b47efcf991</errorID>
      <errorWord>&lt;</errorWord>
      <group>L1_Format</group>
      <groupName>格式问题</groupName>
      <ability>L2_HalfPunc</ability>
      <abilityName>全半角检查</abilityName>
      <candidateList>
        <item>〈</item>
      </candidateList>
      <explain>文本全半角错误。</explain>
      <paraID>1A6B91F0</paraID>
      <start>304</start>
      <end>305</end>
      <status>unmodified</status>
      <modifiedWord/>
      <trackRevisions>false</trackRevisions>
    </reviewItem>
    <reviewItem>
      <errorID>f7b238ff-a1c0-43ef-8ab8-78cc56e7cd0d</errorID>
      <errorWord>&gt;的通知》</errorWord>
      <group>L1_Punc</group>
      <groupName>标点问题</groupName>
      <ability>L2_Punc</ability>
      <abilityName>标点符号检查</abilityName>
      <candidateList>
        <item>〉的通知》</item>
      </candidateList>
      <explain/>
      <paraID>1A6B91F0</paraID>
      <start>327</start>
      <end>332</end>
      <status>unmodified</status>
      <modifiedWord/>
      <trackRevisions>false</trackRevisions>
    </reviewItem>
    <reviewItem>
      <errorID>b96a10c0-3af8-49f8-b9d8-d0a15a3b5b54</errorID>
      <errorWord>(</errorWord>
      <group>L1_Format</group>
      <groupName>格式问题</groupName>
      <ability>L2_HalfPunc</ability>
      <abilityName>全半角检查</abilityName>
      <candidateList>
        <item>（</item>
      </candidateList>
      <explain>文本全半角错误。</explain>
      <paraID>1A6B91F0</paraID>
      <start>332</start>
      <end>333</end>
      <status>unmodified</status>
      <modifiedWord/>
      <trackRevisions>false</trackRevisions>
    </reviewItem>
    <reviewItem>
      <errorID>7d29d935-f2a1-45ec-8de2-35349e453d37</errorID>
      <errorWord>[2013]28号</errorWord>
      <group>L1_Knowledge</group>
      <groupName>知识性问题</groupName>
      <ability>L2_Knowledge</ability>
      <abilityName>其他知识</abilityName>
      <candidateList>
        <item>〔2013〕28号</item>
      </candidateList>
      <explain>发文字号格式错误。</explain>
      <paraID>1A6B91F0</paraID>
      <start>336</start>
      <end>345</end>
      <status>unmodified</status>
      <modifiedWord/>
      <trackRevisions>false</trackRevisions>
    </reviewItem>
    <reviewItem>
      <errorID>6356224a-15e8-459e-a260-b7651ad158ee</errorID>
      <errorWord>)</errorWord>
      <group>L1_Format</group>
      <groupName>格式问题</groupName>
      <ability>L2_HalfPunc</ability>
      <abilityName>全半角检查</abilityName>
      <candidateList>
        <item>）</item>
      </candidateList>
      <explain>文本全半角错误。</explain>
      <paraID>1A6B91F0</paraID>
      <start>345</start>
      <end>346</end>
      <status>unmodified</status>
      <modifiedWord/>
      <trackRevisions>false</trackRevisions>
    </reviewItem>
    <reviewItem>
      <errorID>50131d14-5400-4051-b515-0d3e2daf0d28</errorID>
      <errorWord>来源于</errorWord>
      <group>L1_Word</group>
      <groupName>字词问题</groupName>
      <ability>L2_Typo</ability>
      <abilityName>字词错误</abilityName>
      <candidateList>
        <item>来源</item>
      </candidateList>
      <explain/>
      <paraID>68D0B844</paraID>
      <start>21</start>
      <end>24</end>
      <status>unmodified</status>
      <modifiedWord/>
      <trackRevisions>false</trackRevisions>
    </reviewItem>
    <reviewItem>
      <errorID>89c10fce-05c2-4572-b309-47935b57db10</errorID>
      <errorWord>其它</errorWord>
      <group>L1_Word</group>
      <groupName>字词问题</groupName>
      <ability>L2_Alias</ability>
      <abilityName>也作/曾用词</abilityName>
      <candidateList>
        <item>其他</item>
      </candidateList>
      <explain>词汇[其它]为不规范表述或旧称，其规范书面表述为[其他]。</explain>
      <paraID>56B2CEC5</paraID>
      <start>32</start>
      <end>34</end>
      <status>unmodified</status>
      <modifiedWord/>
      <trackRevisions>false</trackRevisions>
    </reviewItem>
    <reviewItem>
      <errorID>33d0ab42-e650-457e-8bc4-6c4104f526ec</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4B4C4BF0</paraID>
      <start>0</start>
      <end>2</end>
      <status>unmodified</status>
      <modifiedWord/>
      <trackRevisions>false</trackRevisions>
    </reviewItem>
    <reviewItem>
      <errorID>695bd58c-e25d-45c4-ad4b-ddd979c1ba24</errorID>
      <errorWord>（</errorWord>
      <group>L1_Format</group>
      <groupName>格式问题</groupName>
      <ability>L2_HalfPunc</ability>
      <abilityName>全半角检查</abilityName>
      <candidateList>
        <item>(</item>
      </candidateList>
      <explain>文本全半角错误。</explain>
      <paraID>6A95A8F4</paraID>
      <start>0</start>
      <end>1</end>
      <status>unmodified</status>
      <modifiedWord/>
      <trackRevisions>false</trackRevisions>
    </reviewItem>
    <reviewItem>
      <errorID>fdf49914-b131-4d21-ba80-87f15ad0869f</errorID>
      <errorWord>）</errorWord>
      <group>L1_Format</group>
      <groupName>格式问题</groupName>
      <ability>L2_HalfPunc</ability>
      <abilityName>全半角检查</abilityName>
      <candidateList>
        <item>)</item>
      </candidateList>
      <explain>文本全半角错误。</explain>
      <paraID>6A95A8F4</paraID>
      <start>4</start>
      <end>5</end>
      <status>unmodified</status>
      <modifiedWord/>
      <trackRevisions>false</trackRevisions>
    </reviewItem>
    <reviewItem>
      <errorID>bfc45ba3-49f5-40c2-870c-278707695c3a</errorID>
      <errorWord>（</errorWord>
      <group>L1_Format</group>
      <groupName>格式问题</groupName>
      <ability>L2_HalfPunc</ability>
      <abilityName>全半角检查</abilityName>
      <candidateList>
        <item>(</item>
      </candidateList>
      <explain>文本全半角错误。</explain>
      <paraID> 25D1A09</paraID>
      <start>0</start>
      <end>1</end>
      <status>unmodified</status>
      <modifiedWord/>
      <trackRevisions>false</trackRevisions>
    </reviewItem>
    <reviewItem>
      <errorID>d68fc62e-36e4-4920-9e33-22201adc6f33</errorID>
      <errorWord>）</errorWord>
      <group>L1_Format</group>
      <groupName>格式问题</groupName>
      <ability>L2_HalfPunc</ability>
      <abilityName>全半角检查</abilityName>
      <candidateList>
        <item>)</item>
      </candidateList>
      <explain>文本全半角错误。</explain>
      <paraID> 25D1A09</paraID>
      <start>9</start>
      <end>10</end>
      <status>unmodified</status>
      <modifiedWord/>
      <trackRevisions>false</trackRevisions>
    </reviewItem>
    <reviewItem>
      <errorID>b5be07d7-495d-495a-b2e7-795bebfffed2</errorID>
      <errorWord>（</errorWord>
      <group>L1_Format</group>
      <groupName>格式问题</groupName>
      <ability>L2_HalfPunc</ability>
      <abilityName>全半角检查</abilityName>
      <candidateList>
        <item>(</item>
      </candidateList>
      <explain>文本全半角错误。</explain>
      <paraID>58662482</paraID>
      <start>0</start>
      <end>1</end>
      <status>unmodified</status>
      <modifiedWord/>
      <trackRevisions>false</trackRevisions>
    </reviewItem>
    <reviewItem>
      <errorID>0724d5cf-303d-4558-be8e-5ecd8d1a970c</errorID>
      <errorWord>）</errorWord>
      <group>L1_Format</group>
      <groupName>格式问题</groupName>
      <ability>L2_HalfPunc</ability>
      <abilityName>全半角检查</abilityName>
      <candidateList>
        <item>)</item>
      </candidateList>
      <explain>文本全半角错误。</explain>
      <paraID>58662482</paraID>
      <start>9</start>
      <end>10</end>
      <status>unmodified</status>
      <modifiedWord/>
      <trackRevisions>false</trackRevisions>
    </reviewItem>
    <reviewItem>
      <errorID>53a65590-efff-45b4-8cd3-1d19f2f79bc9</errorID>
      <errorWord>（</errorWord>
      <group>L1_Format</group>
      <groupName>格式问题</groupName>
      <ability>L2_HalfPunc</ability>
      <abilityName>全半角检查</abilityName>
      <candidateList>
        <item>(</item>
      </candidateList>
      <explain>文本全半角错误。</explain>
      <paraID>2C5DF67D</paraID>
      <start>0</start>
      <end>1</end>
      <status>unmodified</status>
      <modifiedWord/>
      <trackRevisions>false</trackRevisions>
    </reviewItem>
    <reviewItem>
      <errorID>34c247bc-f742-4642-8384-a8b49b97009c</errorID>
      <errorWord>）</errorWord>
      <group>L1_Format</group>
      <groupName>格式问题</groupName>
      <ability>L2_HalfPunc</ability>
      <abilityName>全半角检查</abilityName>
      <candidateList>
        <item>)</item>
      </candidateList>
      <explain>文本全半角错误。</explain>
      <paraID>2C5DF67D</paraID>
      <start>4</start>
      <end>5</end>
      <status>unmodified</status>
      <modifiedWord/>
      <trackRevisions>false</trackRevisions>
    </reviewItem>
    <reviewItem>
      <errorID>9ba33dd6-47da-400c-b3ad-1c730c2aefd3</errorID>
      <errorWord>（</errorWord>
      <group>L1_Format</group>
      <groupName>格式问题</groupName>
      <ability>L2_HalfPunc</ability>
      <abilityName>全半角检查</abilityName>
      <candidateList>
        <item>(</item>
      </candidateList>
      <explain>文本全半角错误。</explain>
      <paraID> 2C4820A</paraID>
      <start>0</start>
      <end>1</end>
      <status>unmodified</status>
      <modifiedWord/>
      <trackRevisions>false</trackRevisions>
    </reviewItem>
    <reviewItem>
      <errorID>56da35a8-5416-4c31-91db-96eefaa35b73</errorID>
      <errorWord>）</errorWord>
      <group>L1_Format</group>
      <groupName>格式问题</groupName>
      <ability>L2_HalfPunc</ability>
      <abilityName>全半角检查</abilityName>
      <candidateList>
        <item>)</item>
      </candidateList>
      <explain>文本全半角错误。</explain>
      <paraID> 2C4820A</paraID>
      <start>9</start>
      <end>10</end>
      <status>unmodified</status>
      <modifiedWord/>
      <trackRevisions>false</trackRevisions>
    </reviewItem>
    <reviewItem>
      <errorID>d5f8cfdc-20f3-4d80-b47e-1ca040201349</errorID>
      <errorWord>（</errorWord>
      <group>L1_Format</group>
      <groupName>格式问题</groupName>
      <ability>L2_HalfPunc</ability>
      <abilityName>全半角检查</abilityName>
      <candidateList>
        <item>(</item>
      </candidateList>
      <explain>文本全半角错误。</explain>
      <paraID> 4BE9B8E</paraID>
      <start>0</start>
      <end>1</end>
      <status>unmodified</status>
      <modifiedWord/>
      <trackRevisions>false</trackRevisions>
    </reviewItem>
    <reviewItem>
      <errorID>cb0bdab1-f5b2-46c1-aa83-62753d4cb8d7</errorID>
      <errorWord>）</errorWord>
      <group>L1_Format</group>
      <groupName>格式问题</groupName>
      <ability>L2_HalfPunc</ability>
      <abilityName>全半角检查</abilityName>
      <candidateList>
        <item>)</item>
      </candidateList>
      <explain>文本全半角错误。</explain>
      <paraID> 4BE9B8E</paraID>
      <start>9</start>
      <end>10</end>
      <status>unmodified</status>
      <modifiedWord/>
      <trackRevisions>false</trackRevisions>
    </reviewItem>
    <reviewItem>
      <errorID>5041e7a3-2cf9-4648-b451-90df9ca93996</errorID>
      <errorWord>（</errorWord>
      <group>L1_Format</group>
      <groupName>格式问题</groupName>
      <ability>L2_HalfPunc</ability>
      <abilityName>全半角检查</abilityName>
      <candidateList>
        <item>(</item>
      </candidateList>
      <explain>文本全半角错误。</explain>
      <paraID>183BF394</paraID>
      <start>0</start>
      <end>1</end>
      <status>unmodified</status>
      <modifiedWord/>
      <trackRevisions>false</trackRevisions>
    </reviewItem>
    <reviewItem>
      <errorID>37490815-f7a1-4d1c-a984-255319a61946</errorID>
      <errorWord>）</errorWord>
      <group>L1_Format</group>
      <groupName>格式问题</groupName>
      <ability>L2_HalfPunc</ability>
      <abilityName>全半角检查</abilityName>
      <candidateList>
        <item>)</item>
      </candidateList>
      <explain>文本全半角错误。</explain>
      <paraID>183BF394</paraID>
      <start>9</start>
      <end>10</end>
      <status>unmodified</status>
      <modifiedWord/>
      <trackRevisions>false</trackRevisions>
    </reviewItem>
    <reviewItem>
      <errorID>8ef89740-da88-487b-a0a5-868b4ab1984a</errorID>
      <errorWord>（</errorWord>
      <group>L1_Format</group>
      <groupName>格式问题</groupName>
      <ability>L2_HalfPunc</ability>
      <abilityName>全半角检查</abilityName>
      <candidateList>
        <item>(</item>
      </candidateList>
      <explain>文本全半角错误。</explain>
      <paraID>243364B7</paraID>
      <start>0</start>
      <end>1</end>
      <status>unmodified</status>
      <modifiedWord/>
      <trackRevisions>false</trackRevisions>
    </reviewItem>
    <reviewItem>
      <errorID>6baf46e7-d2ba-4fb8-ae19-e381f10695f2</errorID>
      <errorWord>）</errorWord>
      <group>L1_Format</group>
      <groupName>格式问题</groupName>
      <ability>L2_HalfPunc</ability>
      <abilityName>全半角检查</abilityName>
      <candidateList>
        <item>)</item>
      </candidateList>
      <explain>文本全半角错误。</explain>
      <paraID>243364B7</paraID>
      <start>9</start>
      <end>10</end>
      <status>unmodified</status>
      <modifiedWord/>
      <trackRevisions>false</trackRevisions>
    </reviewItem>
    <reviewItem>
      <errorID>80ed982a-39e1-46d7-af4a-82d6db888917</errorID>
      <errorWord>（</errorWord>
      <group>L1_Format</group>
      <groupName>格式问题</groupName>
      <ability>L2_HalfPunc</ability>
      <abilityName>全半角检查</abilityName>
      <candidateList>
        <item>(</item>
      </candidateList>
      <explain>文本全半角错误。</explain>
      <paraID>1A0C1F84</paraID>
      <start>0</start>
      <end>1</end>
      <status>unmodified</status>
      <modifiedWord/>
      <trackRevisions>false</trackRevisions>
    </reviewItem>
    <reviewItem>
      <errorID>2a095f58-44b0-41f0-8a94-abc6b8b3b09b</errorID>
      <errorWord>）</errorWord>
      <group>L1_Format</group>
      <groupName>格式问题</groupName>
      <ability>L2_HalfPunc</ability>
      <abilityName>全半角检查</abilityName>
      <candidateList>
        <item>)</item>
      </candidateList>
      <explain>文本全半角错误。</explain>
      <paraID>1A0C1F84</paraID>
      <start>9</start>
      <end>10</end>
      <status>unmodified</status>
      <modifiedWord/>
      <trackRevisions>false</trackRevisions>
    </reviewItem>
    <reviewItem>
      <errorID>21bd87e8-8889-40ae-82f5-33d3f56b56e9</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12F22484</paraID>
      <start>139</start>
      <end>140</end>
      <status>unmodified</status>
      <modifiedWord/>
      <trackRevisions>false</trackRevisions>
    </reviewItem>
    <reviewItem>
      <errorID>c2970f71-fbec-4797-bc2a-4e954d7af37c</errorID>
      <errorWord>双组份</errorWord>
      <group>L1_Word</group>
      <groupName>字词问题</groupName>
      <ability>L2_Variant</ability>
      <abilityName>异形词</abilityName>
      <candidateList>
        <item>双组分</item>
      </candidateList>
      <explain>词汇[双组份]的规范词形写作[双组分]。</explain>
      <paraID>18A8D6B6</paraID>
      <start>7</start>
      <end>10</end>
      <status>unmodified</status>
      <modifiedWord/>
      <trackRevisions>false</trackRevisions>
    </reviewItem>
    <reviewItem>
      <errorID>7393d480-53f2-492f-92a9-8c65c2b7446d</errorID>
      <errorWord>~</errorWord>
      <group>L1_Format</group>
      <groupName>格式问题</groupName>
      <ability>L2_HalfPunc</ability>
      <abilityName>全半角检查</abilityName>
      <candidateList>
        <item>～</item>
      </candidateList>
      <explain>文本全半角错误。</explain>
      <paraID>18A8D6B6</paraID>
      <start>224</start>
      <end>225</end>
      <status>unmodified</status>
      <modifiedWord/>
      <trackRevisions>false</trackRevisions>
    </reviewItem>
    <reviewItem>
      <errorID>c31bdcbf-cd19-4c76-abe0-8c089a82a8b2</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28F071A2</paraID>
      <start>199</start>
      <end>200</end>
      <status>unmodified</status>
      <modifiedWord/>
      <trackRevisions>false</trackRevisions>
    </reviewItem>
    <reviewItem>
      <errorID>96cc46d0-79e5-469f-b268-0796aa27e576</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28F071A2</paraID>
      <start>217</start>
      <end>218</end>
      <status>unmodified</status>
      <modifiedWord/>
      <trackRevisions>false</trackRevisions>
    </reviewItem>
    <reviewItem>
      <errorID>4a380a6b-8731-413f-b83a-80c938745e9c</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28F071A2</paraID>
      <start>237</start>
      <end>238</end>
      <status>unmodified</status>
      <modifiedWord/>
      <trackRevisions>false</trackRevisions>
    </reviewItem>
    <reviewItem>
      <errorID>b9aba3df-23cc-4a57-892a-aa6f586f0087</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28F071A2</paraID>
      <start>328</start>
      <end>329</end>
      <status>unmodified</status>
      <modifiedWord/>
      <trackRevisions>false</trackRevisions>
    </reviewItem>
    <reviewItem>
      <errorID>6c87d9c1-5054-4bda-8258-90d52facccc7</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28F071A2</paraID>
      <start>346</start>
      <end>347</end>
      <status>unmodified</status>
      <modifiedWord/>
      <trackRevisions>false</trackRevisions>
    </reviewItem>
    <reviewItem>
      <errorID>0ae6d941-2250-4f37-88a8-9d1cd3427823</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28F071A2</paraID>
      <start>366</start>
      <end>367</end>
      <status>unmodified</status>
      <modifiedWord/>
      <trackRevisions>false</trackRevisions>
    </reviewItem>
    <reviewItem>
      <errorID>9506d617-86e9-4970-a095-83918ff6ac71</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 AC0B9D5</paraID>
      <start>139</start>
      <end>140</end>
      <status>unmodified</status>
      <modifiedWord/>
      <trackRevisions>false</trackRevisions>
    </reviewItem>
    <reviewItem>
      <errorID>91a28d88-7e34-4e73-a76c-fb7f66bec456</errorID>
      <errorWord>双组份</errorWord>
      <group>L1_Word</group>
      <groupName>字词问题</groupName>
      <ability>L2_Variant</ability>
      <abilityName>异形词</abilityName>
      <candidateList>
        <item>双组分</item>
      </candidateList>
      <explain>词汇[双组份]的规范词形写作[双组分]。</explain>
      <paraID>474D6116</paraID>
      <start>9</start>
      <end>12</end>
      <status>unmodified</status>
      <modifiedWord/>
      <trackRevisions>false</trackRevisions>
    </reviewItem>
    <reviewItem>
      <errorID>21451913-f855-49bd-b2fc-b7144fcc6274</errorID>
      <errorWord>~</errorWord>
      <group>L1_Format</group>
      <groupName>格式问题</groupName>
      <ability>L2_HalfPunc</ability>
      <abilityName>全半角检查</abilityName>
      <candidateList>
        <item>～</item>
      </candidateList>
      <explain>文本全半角错误。</explain>
      <paraID>474D6116</paraID>
      <start>226</start>
      <end>227</end>
      <status>unmodified</status>
      <modifiedWord/>
      <trackRevisions>false</trackRevisions>
    </reviewItem>
    <reviewItem>
      <errorID>c0495179-410f-42af-b8e5-cae8d8296535</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1DF9A909</paraID>
      <start>200</start>
      <end>201</end>
      <status>unmodified</status>
      <modifiedWord/>
      <trackRevisions>false</trackRevisions>
    </reviewItem>
    <reviewItem>
      <errorID>94026e92-b0d7-4690-ac64-dc2b03567b92</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1DF9A909</paraID>
      <start>218</start>
      <end>219</end>
      <status>unmodified</status>
      <modifiedWord/>
      <trackRevisions>false</trackRevisions>
    </reviewItem>
    <reviewItem>
      <errorID>9cae788a-f2c9-4a9f-b894-74b23d66ad69</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1DF9A909</paraID>
      <start>238</start>
      <end>239</end>
      <status>unmodified</status>
      <modifiedWord/>
      <trackRevisions>false</trackRevisions>
    </reviewItem>
    <reviewItem>
      <errorID>52e45d17-2c4a-4658-baa8-4321e27ce1c2</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1DF9A909</paraID>
      <start>329</start>
      <end>330</end>
      <status>unmodified</status>
      <modifiedWord/>
      <trackRevisions>false</trackRevisions>
    </reviewItem>
    <reviewItem>
      <errorID>8d582468-ac97-4717-bc3a-25cbca1cd02d</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1DF9A909</paraID>
      <start>347</start>
      <end>348</end>
      <status>unmodified</status>
      <modifiedWord/>
      <trackRevisions>false</trackRevisions>
    </reviewItem>
    <reviewItem>
      <errorID>9f9ea226-69c9-46fe-a380-a625487b1012</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1DF9A909</paraID>
      <start>367</start>
      <end>368</end>
      <status>unmodified</status>
      <modifiedWord/>
      <trackRevisions>false</trackRevisions>
    </reviewItem>
    <reviewItem>
      <errorID>845fb523-7eb0-46d8-a368-084422c24bc8</errorID>
      <errorWord>双组份</errorWord>
      <group>L1_Word</group>
      <groupName>字词问题</groupName>
      <ability>L2_Variant</ability>
      <abilityName>异形词</abilityName>
      <candidateList>
        <item>双组分</item>
      </candidateList>
      <explain>词汇[双组份]的规范词形写作[双组分]。</explain>
      <paraID>5AFC1EF1</paraID>
      <start>7</start>
      <end>10</end>
      <status>unmodified</status>
      <modifiedWord/>
      <trackRevisions>false</trackRevisions>
    </reviewItem>
    <reviewItem>
      <errorID>1b770560-b64b-4122-9b33-4a75dae3b1ff</errorID>
      <errorWord>~</errorWord>
      <group>L1_Format</group>
      <groupName>格式问题</groupName>
      <ability>L2_HalfPunc</ability>
      <abilityName>全半角检查</abilityName>
      <candidateList>
        <item>～</item>
      </candidateList>
      <explain>文本全半角错误。</explain>
      <paraID>5AFC1EF1</paraID>
      <start>224</start>
      <end>225</end>
      <status>unmodified</status>
      <modifiedWord/>
      <trackRevisions>false</trackRevisions>
    </reviewItem>
    <reviewItem>
      <errorID>8a75de5c-2d48-4d4c-8e71-1bb5122abfc4</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10CD40D4</paraID>
      <start>197</start>
      <end>198</end>
      <status>unmodified</status>
      <modifiedWord/>
      <trackRevisions>false</trackRevisions>
    </reviewItem>
    <reviewItem>
      <errorID>4bb6dfce-a08d-424e-aebf-fb06dae0f8f0</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10CD40D4</paraID>
      <start>215</start>
      <end>216</end>
      <status>unmodified</status>
      <modifiedWord/>
      <trackRevisions>false</trackRevisions>
    </reviewItem>
    <reviewItem>
      <errorID>93a277af-45f5-490f-b1b8-601402bd3f01</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10CD40D4</paraID>
      <start>235</start>
      <end>236</end>
      <status>unmodified</status>
      <modifiedWord/>
      <trackRevisions>false</trackRevisions>
    </reviewItem>
    <reviewItem>
      <errorID>94243295-65f3-4ab5-a3d0-9ed55ae9716b</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10CD40D4</paraID>
      <start>326</start>
      <end>327</end>
      <status>unmodified</status>
      <modifiedWord/>
      <trackRevisions>false</trackRevisions>
    </reviewItem>
    <reviewItem>
      <errorID>61548210-0597-46ab-9711-d27fd764cbcd</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10CD40D4</paraID>
      <start>344</start>
      <end>345</end>
      <status>unmodified</status>
      <modifiedWord/>
      <trackRevisions>false</trackRevisions>
    </reviewItem>
    <reviewItem>
      <errorID>b1e75cea-299e-4f99-9b71-94b573b3ff6e</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10CD40D4</paraID>
      <start>364</start>
      <end>365</end>
      <status>unmodified</status>
      <modifiedWord/>
      <trackRevisions>false</trackRevisions>
    </reviewItem>
    <reviewItem>
      <errorID>da1e7d45-0ef4-4a90-89e9-95d0f4aff9da</errorID>
      <errorWord>阔值</errorWord>
      <group>L1_Word</group>
      <groupName>字词问题</groupName>
      <ability>L2_Typo</ability>
      <abilityName>字词错误</abilityName>
      <candidateList>
        <item>阈值</item>
      </candidateList>
      <explain/>
      <paraID>4EEB98D0</paraID>
      <start>17</start>
      <end>19</end>
      <status>modified</status>
      <modifiedWord>阈值</modifiedWord>
      <trackRevisions>false</trackRevisions>
    </reviewItem>
    <reviewItem>
      <errorID>098bd866-f275-4b57-a0b9-7259900793f8</errorID>
      <errorWord>范用</errorWord>
      <group>L1_Word</group>
      <groupName>字词问题</groupName>
      <ability>L2_Typo</ability>
      <abilityName>字词错误</abilityName>
      <candidateList>
        <item>范围</item>
      </candidateList>
      <explain>存在字形相近字词的误用。</explain>
      <paraID>4EEB98D0</paraID>
      <start>22</start>
      <end>24</end>
      <status>modified</status>
      <modifiedWord>范围</modifiedWord>
      <trackRevisions>false</trackRevisions>
    </reviewItem>
    <reviewItem>
      <errorID>6751c5a5-f692-4e66-a744-5bac70fb6b3d</errorID>
      <errorWord>阔值</errorWord>
      <group>L1_Word</group>
      <groupName>字词问题</groupName>
      <ability>L2_Typo</ability>
      <abilityName>字词错误</abilityName>
      <candidateList>
        <item>阈值</item>
      </candidateList>
      <explain/>
      <paraID>7E3BB950</paraID>
      <start>16</start>
      <end>18</end>
      <status>modified</status>
      <modifiedWord>阈值</modifiedWord>
      <trackRevisions>false</trackRevisions>
    </reviewItem>
    <reviewItem>
      <errorID>99dec19a-dcc6-4269-ae53-d98cc0da2130</errorID>
      <errorWord>机</errorWord>
      <group>L1_Word</group>
      <groupName>字词问题</groupName>
      <ability>L2_Typo</ability>
      <abilityName>字词错误</abilityName>
      <candidateList>
        <item>及</item>
      </candidateList>
      <explain>存在发音相同字词的误用。</explain>
      <paraID>5C041098</paraID>
      <start>11</start>
      <end>12</end>
      <status>modified</status>
      <modifiedWord>及</modifiedWord>
      <trackRevisions>false</trackRevisions>
    </reviewItem>
    <reviewItem>
      <errorID>c189bdfb-398e-46ef-8c3a-af50d5bbc047</errorID>
      <errorWord>综上所属</errorWord>
      <group>L1_Word</group>
      <groupName>字词问题</groupName>
      <ability>L2_Typo</ability>
      <abilityName>字词错误</abilityName>
      <candidateList>
        <item>综上所述</item>
      </candidateList>
      <explain/>
      <paraID>788EAFBE</paraID>
      <start>0</start>
      <end>4</end>
      <status>modified</status>
      <modifiedWord>综上所述</modifiedWord>
      <trackRevisions>false</trackRevisions>
    </reviewItem>
    <reviewItem>
      <errorID>b9892171-e59b-40ea-a26a-2f2c516d9470</errorID>
      <errorWord>(</errorWord>
      <group>L1_Format</group>
      <groupName>格式问题</groupName>
      <ability>L2_HalfPunc</ability>
      <abilityName>全半角检查</abilityName>
      <candidateList>
        <item>（</item>
      </candidateList>
      <explain>文本全半角错误。</explain>
      <paraID>788EAFBE</paraID>
      <start>29</start>
      <end>30</end>
      <status>unmodified</status>
      <modifiedWord/>
      <trackRevisions>false</trackRevisions>
    </reviewItem>
    <reviewItem>
      <errorID>2daf94c0-3591-4253-a7cf-58bda158cdab</errorID>
      <errorWord>)</errorWord>
      <group>L1_Format</group>
      <groupName>格式问题</groupName>
      <ability>L2_HalfPunc</ability>
      <abilityName>全半角检查</abilityName>
      <candidateList>
        <item>）</item>
      </candidateList>
      <explain>文本全半角错误。</explain>
      <paraID>788EAFBE</paraID>
      <start>40</start>
      <end>41</end>
      <status>unmodified</status>
      <modifiedWord/>
      <trackRevisions>false</trackRevisions>
    </reviewItem>
    <reviewItem>
      <errorID>4ebf437c-30b8-4636-99f4-2eed002c2c55</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 F97EC32</paraID>
      <start>124</start>
      <end>125</end>
      <status>unmodified</status>
      <modifiedWord/>
      <trackRevisions>false</trackRevisions>
    </reviewItem>
    <reviewItem>
      <errorID>41b9aa32-50f6-4411-a3a9-b01f5e03338a</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 F97EC32</paraID>
      <start>142</start>
      <end>143</end>
      <status>unmodified</status>
      <modifiedWord/>
      <trackRevisions>false</trackRevisions>
    </reviewItem>
    <reviewItem>
      <errorID>8b7c6b6e-0200-4ed8-b0e3-a01cf79572c0</errorID>
      <errorWord>(</errorWord>
      <group>L1_Format</group>
      <groupName>格式问题</groupName>
      <ability>L2_HalfPunc</ability>
      <abilityName>全半角检查</abilityName>
      <candidateList>
        <item>（</item>
      </candidateList>
      <explain>文本全半角错误。</explain>
      <paraID>39D60BE3</paraID>
      <start>6</start>
      <end>7</end>
      <status>unmodified</status>
      <modifiedWord/>
      <trackRevisions>false</trackRevisions>
    </reviewItem>
    <reviewItem>
      <errorID>25ecf910-bad3-459e-8fcf-5a0fb59ad525</errorID>
      <errorWord>)</errorWord>
      <group>L1_Format</group>
      <groupName>格式问题</groupName>
      <ability>L2_HalfPunc</ability>
      <abilityName>全半角检查</abilityName>
      <candidateList>
        <item>）</item>
      </candidateList>
      <explain>文本全半角错误。</explain>
      <paraID>39D60BE3</paraID>
      <start>10</start>
      <end>11</end>
      <status>unmodified</status>
      <modifiedWord/>
      <trackRevisions>false</trackRevisions>
    </reviewItem>
    <reviewItem>
      <errorID>68ff7cab-4acf-4f94-a7bd-e3bdcbd6f2f8</errorID>
      <errorWord>(</errorWord>
      <group>L1_Format</group>
      <groupName>格式问题</groupName>
      <ability>L2_HalfPunc</ability>
      <abilityName>全半角检查</abilityName>
      <candidateList>
        <item>（</item>
      </candidateList>
      <explain>文本全半角错误。</explain>
      <paraID> 3CAFEDB</paraID>
      <start>4</start>
      <end>5</end>
      <status>unmodified</status>
      <modifiedWord/>
      <trackRevisions>false</trackRevisions>
    </reviewItem>
    <reviewItem>
      <errorID>75fdd2dd-d942-4d49-9f38-449645a185de</errorID>
      <errorWord>)</errorWord>
      <group>L1_Format</group>
      <groupName>格式问题</groupName>
      <ability>L2_HalfPunc</ability>
      <abilityName>全半角检查</abilityName>
      <candidateList>
        <item>）</item>
      </candidateList>
      <explain>文本全半角错误。</explain>
      <paraID> 3CAFEDB</paraID>
      <start>10</start>
      <end>11</end>
      <status>unmodified</status>
      <modifiedWord/>
      <trackRevisions>false</trackRevisions>
    </reviewItem>
    <reviewItem>
      <errorID>0f844b5b-9ea6-4659-b107-06c26de92c3a</errorID>
      <errorWord>(</errorWord>
      <group>L1_Format</group>
      <groupName>格式问题</groupName>
      <ability>L2_HalfPunc</ability>
      <abilityName>全半角检查</abilityName>
      <candidateList>
        <item>（</item>
      </candidateList>
      <explain>文本全半角错误。</explain>
      <paraID>7F9AE7AC</paraID>
      <start>4</start>
      <end>5</end>
      <status>unmodified</status>
      <modifiedWord/>
      <trackRevisions>false</trackRevisions>
    </reviewItem>
    <reviewItem>
      <errorID>110a9f5a-e837-4388-b479-56f13976f2a6</errorID>
      <errorWord>)</errorWord>
      <group>L1_Format</group>
      <groupName>格式问题</groupName>
      <ability>L2_HalfPunc</ability>
      <abilityName>全半角检查</abilityName>
      <candidateList>
        <item>）</item>
      </candidateList>
      <explain>文本全半角错误。</explain>
      <paraID>7F9AE7AC</paraID>
      <start>9</start>
      <end>10</end>
      <status>unmodified</status>
      <modifiedWord/>
      <trackRevisions>false</trackRevisions>
    </reviewItem>
    <reviewItem>
      <errorID>c0db3643-1135-46a7-8e79-c9dce4eef9ae</errorID>
      <errorWord>(</errorWord>
      <group>L1_Format</group>
      <groupName>格式问题</groupName>
      <ability>L2_HalfPunc</ability>
      <abilityName>全半角检查</abilityName>
      <candidateList>
        <item>（</item>
      </candidateList>
      <explain>文本全半角错误。</explain>
      <paraID>262B0450</paraID>
      <start>4</start>
      <end>5</end>
      <status>unmodified</status>
      <modifiedWord/>
      <trackRevisions>false</trackRevisions>
    </reviewItem>
    <reviewItem>
      <errorID>5d68e646-1f5d-4d16-a041-50c0f45fceca</errorID>
      <errorWord>)</errorWord>
      <group>L1_Format</group>
      <groupName>格式问题</groupName>
      <ability>L2_HalfPunc</ability>
      <abilityName>全半角检查</abilityName>
      <candidateList>
        <item>）</item>
      </candidateList>
      <explain>文本全半角错误。</explain>
      <paraID>262B0450</paraID>
      <start>6</start>
      <end>7</end>
      <status>unmodified</status>
      <modifiedWord/>
      <trackRevisions>false</trackRevisions>
    </reviewItem>
    <reviewItem>
      <errorID>73e1a7b1-26fa-44d3-a8e7-78d5354a3011</errorID>
      <errorWord>(</errorWord>
      <group>L1_Format</group>
      <groupName>格式问题</groupName>
      <ability>L2_HalfPunc</ability>
      <abilityName>全半角检查</abilityName>
      <candidateList>
        <item>（</item>
      </candidateList>
      <explain>文本全半角错误。</explain>
      <paraID>167DA62D</paraID>
      <start>3</start>
      <end>4</end>
      <status>unmodified</status>
      <modifiedWord/>
      <trackRevisions>false</trackRevisions>
    </reviewItem>
    <reviewItem>
      <errorID>e1e2b686-4a28-4a5c-a285-cb023b8c1d17</errorID>
      <errorWord>)</errorWord>
      <group>L1_Format</group>
      <groupName>格式问题</groupName>
      <ability>L2_HalfPunc</ability>
      <abilityName>全半角检查</abilityName>
      <candidateList>
        <item>）</item>
      </candidateList>
      <explain>文本全半角错误。</explain>
      <paraID>167DA62D</paraID>
      <start>5</start>
      <end>6</end>
      <status>unmodified</status>
      <modifiedWord/>
      <trackRevisions>false</trackRevisions>
    </reviewItem>
    <reviewItem>
      <errorID>3c718a45-45e7-4cd8-806b-62fe81f4faf4</errorID>
      <errorWord>(</errorWord>
      <group>L1_Format</group>
      <groupName>格式问题</groupName>
      <ability>L2_HalfPunc</ability>
      <abilityName>全半角检查</abilityName>
      <candidateList>
        <item>（</item>
      </candidateList>
      <explain>文本全半角错误。</explain>
      <paraID>7A452254</paraID>
      <start>4</start>
      <end>5</end>
      <status>unmodified</status>
      <modifiedWord/>
      <trackRevisions>false</trackRevisions>
    </reviewItem>
    <reviewItem>
      <errorID>c3e7ed8e-c1ad-4fb2-a041-a9590b8feea4</errorID>
      <errorWord>)</errorWord>
      <group>L1_Format</group>
      <groupName>格式问题</groupName>
      <ability>L2_HalfPunc</ability>
      <abilityName>全半角检查</abilityName>
      <candidateList>
        <item>）</item>
      </candidateList>
      <explain>文本全半角错误。</explain>
      <paraID>7A452254</paraID>
      <start>10</start>
      <end>11</end>
      <status>unmodified</status>
      <modifiedWord/>
      <trackRevisions>false</trackRevisions>
    </reviewItem>
    <reviewItem>
      <errorID>60458ab7-e20e-470f-bf32-7743869b9a2d</errorID>
      <errorWord>(</errorWord>
      <group>L1_Format</group>
      <groupName>格式问题</groupName>
      <ability>L2_HalfPunc</ability>
      <abilityName>全半角检查</abilityName>
      <candidateList>
        <item>（</item>
      </candidateList>
      <explain>文本全半角错误。</explain>
      <paraID>69735FAF</paraID>
      <start>4</start>
      <end>5</end>
      <status>unmodified</status>
      <modifiedWord/>
      <trackRevisions>false</trackRevisions>
    </reviewItem>
    <reviewItem>
      <errorID>bbe9d77e-5099-465d-84e0-ee8716f23399</errorID>
      <errorWord>)</errorWord>
      <group>L1_Format</group>
      <groupName>格式问题</groupName>
      <ability>L2_HalfPunc</ability>
      <abilityName>全半角检查</abilityName>
      <candidateList>
        <item>）</item>
      </candidateList>
      <explain>文本全半角错误。</explain>
      <paraID>69735FAF</paraID>
      <start>9</start>
      <end>10</end>
      <status>unmodified</status>
      <modifiedWord/>
      <trackRevisions>false</trackRevisions>
    </reviewItem>
    <reviewItem>
      <errorID>240a6a89-eb70-4803-acbc-3564a099b50c</errorID>
      <errorWord>(</errorWord>
      <group>L1_Format</group>
      <groupName>格式问题</groupName>
      <ability>L2_HalfPunc</ability>
      <abilityName>全半角检查</abilityName>
      <candidateList>
        <item>（</item>
      </candidateList>
      <explain>文本全半角错误。</explain>
      <paraID>61377F09</paraID>
      <start>3</start>
      <end>4</end>
      <status>unmodified</status>
      <modifiedWord/>
      <trackRevisions>false</trackRevisions>
    </reviewItem>
    <reviewItem>
      <errorID>1304b528-4bfb-4598-b0f0-e6d7b76827ab</errorID>
      <errorWord>)</errorWord>
      <group>L1_Format</group>
      <groupName>格式问题</groupName>
      <ability>L2_HalfPunc</ability>
      <abilityName>全半角检查</abilityName>
      <candidateList>
        <item>）</item>
      </candidateList>
      <explain>文本全半角错误。</explain>
      <paraID>61377F09</paraID>
      <start>7</start>
      <end>8</end>
      <status>unmodified</status>
      <modifiedWord/>
      <trackRevisions>false</trackRevisions>
    </reviewItem>
    <reviewItem>
      <errorID>76c36eee-04e9-41e3-aea1-daeda13ab40d</errorID>
      <errorWord>(</errorWord>
      <group>L1_Format</group>
      <groupName>格式问题</groupName>
      <ability>L2_HalfPunc</ability>
      <abilityName>全半角检查</abilityName>
      <candidateList>
        <item>（</item>
      </candidateList>
      <explain>文本全半角错误。</explain>
      <paraID>4F2B6B81</paraID>
      <start>5</start>
      <end>6</end>
      <status>unmodified</status>
      <modifiedWord/>
      <trackRevisions>false</trackRevisions>
    </reviewItem>
    <reviewItem>
      <errorID>be56c281-d447-4152-9cc5-33d4a6043eb1</errorID>
      <errorWord>)</errorWord>
      <group>L1_Format</group>
      <groupName>格式问题</groupName>
      <ability>L2_HalfPunc</ability>
      <abilityName>全半角检查</abilityName>
      <candidateList>
        <item>）</item>
      </candidateList>
      <explain>文本全半角错误。</explain>
      <paraID>4F2B6B81</paraID>
      <start>7</start>
      <end>8</end>
      <status>unmodified</status>
      <modifiedWord/>
      <trackRevisions>false</trackRevisions>
    </reviewItem>
    <reviewItem>
      <errorID>98a5d9d7-b984-4324-99a7-df67e21ae929</errorID>
      <errorWord>(</errorWord>
      <group>L1_Format</group>
      <groupName>格式问题</groupName>
      <ability>L2_HalfPunc</ability>
      <abilityName>全半角检查</abilityName>
      <candidateList>
        <item>（</item>
      </candidateList>
      <explain>文本全半角错误。</explain>
      <paraID>356B6DD5</paraID>
      <start>5</start>
      <end>6</end>
      <status>unmodified</status>
      <modifiedWord/>
      <trackRevisions>false</trackRevisions>
    </reviewItem>
    <reviewItem>
      <errorID>a32f4c56-72a8-4021-bbad-c465d7180b96</errorID>
      <errorWord>)</errorWord>
      <group>L1_Format</group>
      <groupName>格式问题</groupName>
      <ability>L2_HalfPunc</ability>
      <abilityName>全半角检查</abilityName>
      <candidateList>
        <item>）</item>
      </candidateList>
      <explain>文本全半角错误。</explain>
      <paraID>356B6DD5</paraID>
      <start>7</start>
      <end>8</end>
      <status>unmodified</status>
      <modifiedWord/>
      <trackRevisions>false</trackRevisions>
    </reviewItem>
    <reviewItem>
      <errorID>ba068d46-3a21-4801-8bad-8e17d4c1b350</errorID>
      <errorWord>(</errorWord>
      <group>L1_Format</group>
      <groupName>格式问题</groupName>
      <ability>L2_HalfPunc</ability>
      <abilityName>全半角检查</abilityName>
      <candidateList>
        <item>（</item>
      </candidateList>
      <explain>文本全半角错误。</explain>
      <paraID>38529059</paraID>
      <start>2</start>
      <end>3</end>
      <status>unmodified</status>
      <modifiedWord/>
      <trackRevisions>false</trackRevisions>
    </reviewItem>
    <reviewItem>
      <errorID>b408fc20-6511-4e13-be7d-9eea37bfa4e5</errorID>
      <errorWord>)</errorWord>
      <group>L1_Format</group>
      <groupName>格式问题</groupName>
      <ability>L2_HalfPunc</ability>
      <abilityName>全半角检查</abilityName>
      <candidateList>
        <item>）</item>
      </candidateList>
      <explain>文本全半角错误。</explain>
      <paraID>38529059</paraID>
      <start>4</start>
      <end>5</end>
      <status>unmodified</status>
      <modifiedWord/>
      <trackRevisions>false</trackRevisions>
    </reviewItem>
    <reviewItem>
      <errorID>8a46dd19-eec6-4d9f-b4bb-e3e5fa3da4d2</errorID>
      <errorWord>(</errorWord>
      <group>L1_Format</group>
      <groupName>格式问题</groupName>
      <ability>L2_HalfPunc</ability>
      <abilityName>全半角检查</abilityName>
      <candidateList>
        <item>（</item>
      </candidateList>
      <explain>文本全半角错误。</explain>
      <paraID>47DA3EA6</paraID>
      <start>6</start>
      <end>7</end>
      <status>unmodified</status>
      <modifiedWord/>
      <trackRevisions>false</trackRevisions>
    </reviewItem>
    <reviewItem>
      <errorID>37ea58e7-b8c1-4c13-ace3-13f0923aff24</errorID>
      <errorWord>)</errorWord>
      <group>L1_Format</group>
      <groupName>格式问题</groupName>
      <ability>L2_HalfPunc</ability>
      <abilityName>全半角检查</abilityName>
      <candidateList>
        <item>）</item>
      </candidateList>
      <explain>文本全半角错误。</explain>
      <paraID>47DA3EA6</paraID>
      <start>10</start>
      <end>11</end>
      <status>unmodified</status>
      <modifiedWord/>
      <trackRevisions>false</trackRevisions>
    </reviewItem>
    <reviewItem>
      <errorID>3fd90ca4-b88f-4ea4-880d-ef8b536f0fe4</errorID>
      <errorWord>(</errorWord>
      <group>L1_Format</group>
      <groupName>格式问题</groupName>
      <ability>L2_HalfPunc</ability>
      <abilityName>全半角检查</abilityName>
      <candidateList>
        <item>（</item>
      </candidateList>
      <explain>文本全半角错误。</explain>
      <paraID>13FA5489</paraID>
      <start>4</start>
      <end>5</end>
      <status>unmodified</status>
      <modifiedWord/>
      <trackRevisions>false</trackRevisions>
    </reviewItem>
    <reviewItem>
      <errorID>3e16387b-7ed6-46bf-ab33-d994bf12cc12</errorID>
      <errorWord>)</errorWord>
      <group>L1_Format</group>
      <groupName>格式问题</groupName>
      <ability>L2_HalfPunc</ability>
      <abilityName>全半角检查</abilityName>
      <candidateList>
        <item>）</item>
      </candidateList>
      <explain>文本全半角错误。</explain>
      <paraID>13FA5489</paraID>
      <start>10</start>
      <end>11</end>
      <status>unmodified</status>
      <modifiedWord/>
      <trackRevisions>false</trackRevisions>
    </reviewItem>
    <reviewItem>
      <errorID>e50e6a36-92c1-4c7a-acae-ea19ab329df7</errorID>
      <errorWord>(</errorWord>
      <group>L1_Format</group>
      <groupName>格式问题</groupName>
      <ability>L2_HalfPunc</ability>
      <abilityName>全半角检查</abilityName>
      <candidateList>
        <item>（</item>
      </candidateList>
      <explain>文本全半角错误。</explain>
      <paraID>7F1E00B6</paraID>
      <start>4</start>
      <end>5</end>
      <status>unmodified</status>
      <modifiedWord/>
      <trackRevisions>false</trackRevisions>
    </reviewItem>
    <reviewItem>
      <errorID>d55beceb-b7e5-4b02-a537-68f49d274f71</errorID>
      <errorWord>)</errorWord>
      <group>L1_Format</group>
      <groupName>格式问题</groupName>
      <ability>L2_HalfPunc</ability>
      <abilityName>全半角检查</abilityName>
      <candidateList>
        <item>）</item>
      </candidateList>
      <explain>文本全半角错误。</explain>
      <paraID>7F1E00B6</paraID>
      <start>9</start>
      <end>10</end>
      <status>unmodified</status>
      <modifiedWord/>
      <trackRevisions>false</trackRevisions>
    </reviewItem>
    <reviewItem>
      <errorID>d3805764-e394-4386-bfba-65ecd4831269</errorID>
      <errorWord>(</errorWord>
      <group>L1_Format</group>
      <groupName>格式问题</groupName>
      <ability>L2_HalfPunc</ability>
      <abilityName>全半角检查</abilityName>
      <candidateList>
        <item>（</item>
      </candidateList>
      <explain>文本全半角错误。</explain>
      <paraID>5CFAB1CA</paraID>
      <start>4</start>
      <end>5</end>
      <status>unmodified</status>
      <modifiedWord/>
      <trackRevisions>false</trackRevisions>
    </reviewItem>
    <reviewItem>
      <errorID>59567b89-798d-446c-a60d-8647b37f4e0c</errorID>
      <errorWord>)</errorWord>
      <group>L1_Format</group>
      <groupName>格式问题</groupName>
      <ability>L2_HalfPunc</ability>
      <abilityName>全半角检查</abilityName>
      <candidateList>
        <item>）</item>
      </candidateList>
      <explain>文本全半角错误。</explain>
      <paraID>5CFAB1CA</paraID>
      <start>6</start>
      <end>7</end>
      <status>unmodified</status>
      <modifiedWord/>
      <trackRevisions>false</trackRevisions>
    </reviewItem>
    <reviewItem>
      <errorID>6cda9822-f519-4ead-9c1c-9197ee1cca87</errorID>
      <errorWord>(</errorWord>
      <group>L1_Format</group>
      <groupName>格式问题</groupName>
      <ability>L2_HalfPunc</ability>
      <abilityName>全半角检查</abilityName>
      <candidateList>
        <item>（</item>
      </candidateList>
      <explain>文本全半角错误。</explain>
      <paraID>47A8A0C3</paraID>
      <start>3</start>
      <end>4</end>
      <status>unmodified</status>
      <modifiedWord/>
      <trackRevisions>false</trackRevisions>
    </reviewItem>
    <reviewItem>
      <errorID>c1f1c6cc-6a78-4bce-bf53-763ea2ee6fee</errorID>
      <errorWord>)</errorWord>
      <group>L1_Format</group>
      <groupName>格式问题</groupName>
      <ability>L2_HalfPunc</ability>
      <abilityName>全半角检查</abilityName>
      <candidateList>
        <item>）</item>
      </candidateList>
      <explain>文本全半角错误。</explain>
      <paraID>47A8A0C3</paraID>
      <start>5</start>
      <end>6</end>
      <status>unmodified</status>
      <modifiedWord/>
      <trackRevisions>false</trackRevisions>
    </reviewItem>
    <reviewItem>
      <errorID>af057c01-3139-4882-ac50-2b30f858d0ce</errorID>
      <errorWord>(</errorWord>
      <group>L1_Format</group>
      <groupName>格式问题</groupName>
      <ability>L2_HalfPunc</ability>
      <abilityName>全半角检查</abilityName>
      <candidateList>
        <item>（</item>
      </candidateList>
      <explain>文本全半角错误。</explain>
      <paraID>62CE32E2</paraID>
      <start>4</start>
      <end>5</end>
      <status>unmodified</status>
      <modifiedWord/>
      <trackRevisions>false</trackRevisions>
    </reviewItem>
    <reviewItem>
      <errorID>957fbcbd-b364-4418-b17d-bc59f0c07e93</errorID>
      <errorWord>)</errorWord>
      <group>L1_Format</group>
      <groupName>格式问题</groupName>
      <ability>L2_HalfPunc</ability>
      <abilityName>全半角检查</abilityName>
      <candidateList>
        <item>）</item>
      </candidateList>
      <explain>文本全半角错误。</explain>
      <paraID>62CE32E2</paraID>
      <start>10</start>
      <end>11</end>
      <status>unmodified</status>
      <modifiedWord/>
      <trackRevisions>false</trackRevisions>
    </reviewItem>
    <reviewItem>
      <errorID>f31f6e33-2ba8-40c9-9f8e-abbd17995a92</errorID>
      <errorWord>(</errorWord>
      <group>L1_Format</group>
      <groupName>格式问题</groupName>
      <ability>L2_HalfPunc</ability>
      <abilityName>全半角检查</abilityName>
      <candidateList>
        <item>（</item>
      </candidateList>
      <explain>文本全半角错误。</explain>
      <paraID> 6AEC40B</paraID>
      <start>4</start>
      <end>5</end>
      <status>unmodified</status>
      <modifiedWord/>
      <trackRevisions>false</trackRevisions>
    </reviewItem>
    <reviewItem>
      <errorID>e3f0eddb-de81-4152-a2b8-5c39278b2876</errorID>
      <errorWord>)</errorWord>
      <group>L1_Format</group>
      <groupName>格式问题</groupName>
      <ability>L2_HalfPunc</ability>
      <abilityName>全半角检查</abilityName>
      <candidateList>
        <item>）</item>
      </candidateList>
      <explain>文本全半角错误。</explain>
      <paraID> 6AEC40B</paraID>
      <start>9</start>
      <end>10</end>
      <status>unmodified</status>
      <modifiedWord/>
      <trackRevisions>false</trackRevisions>
    </reviewItem>
    <reviewItem>
      <errorID>0bde3344-00ee-453e-84d1-6772f4d34390</errorID>
      <errorWord>(</errorWord>
      <group>L1_Format</group>
      <groupName>格式问题</groupName>
      <ability>L2_HalfPunc</ability>
      <abilityName>全半角检查</abilityName>
      <candidateList>
        <item>（</item>
      </candidateList>
      <explain>文本全半角错误。</explain>
      <paraID>13F54243</paraID>
      <start>3</start>
      <end>4</end>
      <status>unmodified</status>
      <modifiedWord/>
      <trackRevisions>false</trackRevisions>
    </reviewItem>
    <reviewItem>
      <errorID>09297022-2236-40e7-a3a7-1d2a16b28956</errorID>
      <errorWord>)</errorWord>
      <group>L1_Format</group>
      <groupName>格式问题</groupName>
      <ability>L2_HalfPunc</ability>
      <abilityName>全半角检查</abilityName>
      <candidateList>
        <item>）</item>
      </candidateList>
      <explain>文本全半角错误。</explain>
      <paraID>13F54243</paraID>
      <start>7</start>
      <end>8</end>
      <status>unmodified</status>
      <modifiedWord/>
      <trackRevisions>false</trackRevisions>
    </reviewItem>
    <reviewItem>
      <errorID>41d61b61-0445-4132-8fd2-8df26cb296bb</errorID>
      <errorWord>(</errorWord>
      <group>L1_Format</group>
      <groupName>格式问题</groupName>
      <ability>L2_HalfPunc</ability>
      <abilityName>全半角检查</abilityName>
      <candidateList>
        <item>（</item>
      </candidateList>
      <explain>文本全半角错误。</explain>
      <paraID>1C7DFB2E</paraID>
      <start>5</start>
      <end>6</end>
      <status>unmodified</status>
      <modifiedWord/>
      <trackRevisions>false</trackRevisions>
    </reviewItem>
    <reviewItem>
      <errorID>2bef3edb-e347-4a0b-b4ce-6d5aa8bec4a6</errorID>
      <errorWord>)</errorWord>
      <group>L1_Format</group>
      <groupName>格式问题</groupName>
      <ability>L2_HalfPunc</ability>
      <abilityName>全半角检查</abilityName>
      <candidateList>
        <item>）</item>
      </candidateList>
      <explain>文本全半角错误。</explain>
      <paraID>1C7DFB2E</paraID>
      <start>7</start>
      <end>8</end>
      <status>unmodified</status>
      <modifiedWord/>
      <trackRevisions>false</trackRevisions>
    </reviewItem>
    <reviewItem>
      <errorID>d3c1a273-e91f-4f82-be1c-39abbd88943e</errorID>
      <errorWord>(</errorWord>
      <group>L1_Format</group>
      <groupName>格式问题</groupName>
      <ability>L2_HalfPunc</ability>
      <abilityName>全半角检查</abilityName>
      <candidateList>
        <item>（</item>
      </candidateList>
      <explain>文本全半角错误。</explain>
      <paraID>69AD943C</paraID>
      <start>5</start>
      <end>6</end>
      <status>unmodified</status>
      <modifiedWord/>
      <trackRevisions>false</trackRevisions>
    </reviewItem>
    <reviewItem>
      <errorID>edaa17e5-7a72-447c-b7b6-a89da001f9c0</errorID>
      <errorWord>)</errorWord>
      <group>L1_Format</group>
      <groupName>格式问题</groupName>
      <ability>L2_HalfPunc</ability>
      <abilityName>全半角检查</abilityName>
      <candidateList>
        <item>）</item>
      </candidateList>
      <explain>文本全半角错误。</explain>
      <paraID>69AD943C</paraID>
      <start>7</start>
      <end>8</end>
      <status>unmodified</status>
      <modifiedWord/>
      <trackRevisions>false</trackRevisions>
    </reviewItem>
    <reviewItem>
      <errorID>0c88bd9a-8138-4f33-9bb1-331609e6691c</errorID>
      <errorWord>(</errorWord>
      <group>L1_Format</group>
      <groupName>格式问题</groupName>
      <ability>L2_HalfPunc</ability>
      <abilityName>全半角检查</abilityName>
      <candidateList>
        <item>（</item>
      </candidateList>
      <explain>文本全半角错误。</explain>
      <paraID>4897DA6C</paraID>
      <start>2</start>
      <end>3</end>
      <status>unmodified</status>
      <modifiedWord/>
      <trackRevisions>false</trackRevisions>
    </reviewItem>
    <reviewItem>
      <errorID>aee2ad79-0431-41e2-aa0a-cf9dd89266da</errorID>
      <errorWord>)</errorWord>
      <group>L1_Format</group>
      <groupName>格式问题</groupName>
      <ability>L2_HalfPunc</ability>
      <abilityName>全半角检查</abilityName>
      <candidateList>
        <item>）</item>
      </candidateList>
      <explain>文本全半角错误。</explain>
      <paraID>4897DA6C</paraID>
      <start>4</start>
      <end>5</end>
      <status>unmodified</status>
      <modifiedWord/>
      <trackRevisions>false</trackRevisions>
    </reviewItem>
    <reviewItem>
      <errorID>08e3476d-c9cd-4b81-962c-cdc9b231f373</errorID>
      <errorWord>(</errorWord>
      <group>L1_Format</group>
      <groupName>格式问题</groupName>
      <ability>L2_HalfPunc</ability>
      <abilityName>全半角检查</abilityName>
      <candidateList>
        <item>（</item>
      </candidateList>
      <explain>文本全半角错误。</explain>
      <paraID>39301B61</paraID>
      <start>6</start>
      <end>7</end>
      <status>unmodified</status>
      <modifiedWord/>
      <trackRevisions>false</trackRevisions>
    </reviewItem>
    <reviewItem>
      <errorID>9b483e5e-6fe4-4e58-8f19-19c0657fcb2f</errorID>
      <errorWord>)</errorWord>
      <group>L1_Format</group>
      <groupName>格式问题</groupName>
      <ability>L2_HalfPunc</ability>
      <abilityName>全半角检查</abilityName>
      <candidateList>
        <item>）</item>
      </candidateList>
      <explain>文本全半角错误。</explain>
      <paraID>39301B61</paraID>
      <start>10</start>
      <end>11</end>
      <status>unmodified</status>
      <modifiedWord/>
      <trackRevisions>false</trackRevisions>
    </reviewItem>
    <reviewItem>
      <errorID>1afaf6cf-39f1-4bd6-b664-897dffdd2e02</errorID>
      <errorWord>(</errorWord>
      <group>L1_Format</group>
      <groupName>格式问题</groupName>
      <ability>L2_HalfPunc</ability>
      <abilityName>全半角检查</abilityName>
      <candidateList>
        <item>（</item>
      </candidateList>
      <explain>文本全半角错误。</explain>
      <paraID>7CD3DBC4</paraID>
      <start>4</start>
      <end>5</end>
      <status>unmodified</status>
      <modifiedWord/>
      <trackRevisions>false</trackRevisions>
    </reviewItem>
    <reviewItem>
      <errorID>c9fab7be-9096-46c9-adff-81f5c2e84869</errorID>
      <errorWord>)</errorWord>
      <group>L1_Format</group>
      <groupName>格式问题</groupName>
      <ability>L2_HalfPunc</ability>
      <abilityName>全半角检查</abilityName>
      <candidateList>
        <item>）</item>
      </candidateList>
      <explain>文本全半角错误。</explain>
      <paraID>7CD3DBC4</paraID>
      <start>10</start>
      <end>11</end>
      <status>unmodified</status>
      <modifiedWord/>
      <trackRevisions>false</trackRevisions>
    </reviewItem>
    <reviewItem>
      <errorID>9a750e48-075c-415d-ab01-dc3a6af02835</errorID>
      <errorWord>(</errorWord>
      <group>L1_Format</group>
      <groupName>格式问题</groupName>
      <ability>L2_HalfPunc</ability>
      <abilityName>全半角检查</abilityName>
      <candidateList>
        <item>（</item>
      </candidateList>
      <explain>文本全半角错误。</explain>
      <paraID>1AF7D4F5</paraID>
      <start>4</start>
      <end>5</end>
      <status>unmodified</status>
      <modifiedWord/>
      <trackRevisions>false</trackRevisions>
    </reviewItem>
    <reviewItem>
      <errorID>73969a17-cc24-4451-a559-e31212d20a7a</errorID>
      <errorWord>)</errorWord>
      <group>L1_Format</group>
      <groupName>格式问题</groupName>
      <ability>L2_HalfPunc</ability>
      <abilityName>全半角检查</abilityName>
      <candidateList>
        <item>）</item>
      </candidateList>
      <explain>文本全半角错误。</explain>
      <paraID>1AF7D4F5</paraID>
      <start>9</start>
      <end>10</end>
      <status>unmodified</status>
      <modifiedWord/>
      <trackRevisions>false</trackRevisions>
    </reviewItem>
    <reviewItem>
      <errorID>0913b303-049a-47d1-8e99-2263c72eb7b7</errorID>
      <errorWord>(</errorWord>
      <group>L1_Format</group>
      <groupName>格式问题</groupName>
      <ability>L2_HalfPunc</ability>
      <abilityName>全半角检查</abilityName>
      <candidateList>
        <item>（</item>
      </candidateList>
      <explain>文本全半角错误。</explain>
      <paraID>376944AF</paraID>
      <start>4</start>
      <end>5</end>
      <status>unmodified</status>
      <modifiedWord/>
      <trackRevisions>false</trackRevisions>
    </reviewItem>
    <reviewItem>
      <errorID>7b3ed30a-a1ab-4daf-b27d-95d9c2355667</errorID>
      <errorWord>)</errorWord>
      <group>L1_Format</group>
      <groupName>格式问题</groupName>
      <ability>L2_HalfPunc</ability>
      <abilityName>全半角检查</abilityName>
      <candidateList>
        <item>）</item>
      </candidateList>
      <explain>文本全半角错误。</explain>
      <paraID>376944AF</paraID>
      <start>6</start>
      <end>7</end>
      <status>unmodified</status>
      <modifiedWord/>
      <trackRevisions>false</trackRevisions>
    </reviewItem>
    <reviewItem>
      <errorID>ad8bada4-5034-4fe4-8e14-758254f1a890</errorID>
      <errorWord>(</errorWord>
      <group>L1_Format</group>
      <groupName>格式问题</groupName>
      <ability>L2_HalfPunc</ability>
      <abilityName>全半角检查</abilityName>
      <candidateList>
        <item>（</item>
      </candidateList>
      <explain>文本全半角错误。</explain>
      <paraID>1F60F197</paraID>
      <start>3</start>
      <end>4</end>
      <status>unmodified</status>
      <modifiedWord/>
      <trackRevisions>false</trackRevisions>
    </reviewItem>
    <reviewItem>
      <errorID>543047f3-b4b6-4937-b513-006c2ce46eff</errorID>
      <errorWord>)</errorWord>
      <group>L1_Format</group>
      <groupName>格式问题</groupName>
      <ability>L2_HalfPunc</ability>
      <abilityName>全半角检查</abilityName>
      <candidateList>
        <item>）</item>
      </candidateList>
      <explain>文本全半角错误。</explain>
      <paraID>1F60F197</paraID>
      <start>5</start>
      <end>6</end>
      <status>unmodified</status>
      <modifiedWord/>
      <trackRevisions>false</trackRevisions>
    </reviewItem>
    <reviewItem>
      <errorID>8e3ebc9d-eeb9-428e-af42-a76dc9d825ef</errorID>
      <errorWord>(</errorWord>
      <group>L1_Format</group>
      <groupName>格式问题</groupName>
      <ability>L2_HalfPunc</ability>
      <abilityName>全半角检查</abilityName>
      <candidateList>
        <item>（</item>
      </candidateList>
      <explain>文本全半角错误。</explain>
      <paraID>51ACF05C</paraID>
      <start>4</start>
      <end>5</end>
      <status>unmodified</status>
      <modifiedWord/>
      <trackRevisions>false</trackRevisions>
    </reviewItem>
    <reviewItem>
      <errorID>e662d83d-bab1-4edd-befb-5a672ebffee6</errorID>
      <errorWord>)</errorWord>
      <group>L1_Format</group>
      <groupName>格式问题</groupName>
      <ability>L2_HalfPunc</ability>
      <abilityName>全半角检查</abilityName>
      <candidateList>
        <item>）</item>
      </candidateList>
      <explain>文本全半角错误。</explain>
      <paraID>51ACF05C</paraID>
      <start>10</start>
      <end>11</end>
      <status>unmodified</status>
      <modifiedWord/>
      <trackRevisions>false</trackRevisions>
    </reviewItem>
    <reviewItem>
      <errorID>2a740167-8ca8-4dae-8ffe-1d457838b7e4</errorID>
      <errorWord>(</errorWord>
      <group>L1_Format</group>
      <groupName>格式问题</groupName>
      <ability>L2_HalfPunc</ability>
      <abilityName>全半角检查</abilityName>
      <candidateList>
        <item>（</item>
      </candidateList>
      <explain>文本全半角错误。</explain>
      <paraID> 3534E86</paraID>
      <start>4</start>
      <end>5</end>
      <status>unmodified</status>
      <modifiedWord/>
      <trackRevisions>false</trackRevisions>
    </reviewItem>
    <reviewItem>
      <errorID>4a1dba23-f4f3-441a-9649-5213b6dd7d64</errorID>
      <errorWord>)</errorWord>
      <group>L1_Format</group>
      <groupName>格式问题</groupName>
      <ability>L2_HalfPunc</ability>
      <abilityName>全半角检查</abilityName>
      <candidateList>
        <item>）</item>
      </candidateList>
      <explain>文本全半角错误。</explain>
      <paraID> 3534E86</paraID>
      <start>9</start>
      <end>10</end>
      <status>unmodified</status>
      <modifiedWord/>
      <trackRevisions>false</trackRevisions>
    </reviewItem>
    <reviewItem>
      <errorID>1c99d700-c706-44ed-ac69-f4e68aec4d0c</errorID>
      <errorWord>(</errorWord>
      <group>L1_Format</group>
      <groupName>格式问题</groupName>
      <ability>L2_HalfPunc</ability>
      <abilityName>全半角检查</abilityName>
      <candidateList>
        <item>（</item>
      </candidateList>
      <explain>文本全半角错误。</explain>
      <paraID>4B169ED7</paraID>
      <start>3</start>
      <end>4</end>
      <status>unmodified</status>
      <modifiedWord/>
      <trackRevisions>false</trackRevisions>
    </reviewItem>
    <reviewItem>
      <errorID>293da088-b0c0-4746-9c90-8c5336c1139c</errorID>
      <errorWord>)</errorWord>
      <group>L1_Format</group>
      <groupName>格式问题</groupName>
      <ability>L2_HalfPunc</ability>
      <abilityName>全半角检查</abilityName>
      <candidateList>
        <item>）</item>
      </candidateList>
      <explain>文本全半角错误。</explain>
      <paraID>4B169ED7</paraID>
      <start>7</start>
      <end>8</end>
      <status>unmodified</status>
      <modifiedWord/>
      <trackRevisions>false</trackRevisions>
    </reviewItem>
    <reviewItem>
      <errorID>8512afc6-b371-4391-a40d-383060d13c71</errorID>
      <errorWord>(</errorWord>
      <group>L1_Format</group>
      <groupName>格式问题</groupName>
      <ability>L2_HalfPunc</ability>
      <abilityName>全半角检查</abilityName>
      <candidateList>
        <item>（</item>
      </candidateList>
      <explain>文本全半角错误。</explain>
      <paraID>5EE35387</paraID>
      <start>5</start>
      <end>6</end>
      <status>unmodified</status>
      <modifiedWord/>
      <trackRevisions>false</trackRevisions>
    </reviewItem>
    <reviewItem>
      <errorID>f4547e2c-4cbd-496f-8cd1-297f09add0ab</errorID>
      <errorWord>)</errorWord>
      <group>L1_Format</group>
      <groupName>格式问题</groupName>
      <ability>L2_HalfPunc</ability>
      <abilityName>全半角检查</abilityName>
      <candidateList>
        <item>）</item>
      </candidateList>
      <explain>文本全半角错误。</explain>
      <paraID>5EE35387</paraID>
      <start>7</start>
      <end>8</end>
      <status>unmodified</status>
      <modifiedWord/>
      <trackRevisions>false</trackRevisions>
    </reviewItem>
    <reviewItem>
      <errorID>0adb6764-0629-4971-8257-1e880aaeecee</errorID>
      <errorWord>(</errorWord>
      <group>L1_Format</group>
      <groupName>格式问题</groupName>
      <ability>L2_HalfPunc</ability>
      <abilityName>全半角检查</abilityName>
      <candidateList>
        <item>（</item>
      </candidateList>
      <explain>文本全半角错误。</explain>
      <paraID>38F6AF8C</paraID>
      <start>5</start>
      <end>6</end>
      <status>unmodified</status>
      <modifiedWord/>
      <trackRevisions>false</trackRevisions>
    </reviewItem>
    <reviewItem>
      <errorID>72dad005-583d-4387-a273-8e22e4d632e4</errorID>
      <errorWord>)</errorWord>
      <group>L1_Format</group>
      <groupName>格式问题</groupName>
      <ability>L2_HalfPunc</ability>
      <abilityName>全半角检查</abilityName>
      <candidateList>
        <item>）</item>
      </candidateList>
      <explain>文本全半角错误。</explain>
      <paraID>38F6AF8C</paraID>
      <start>7</start>
      <end>8</end>
      <status>unmodified</status>
      <modifiedWord/>
      <trackRevisions>false</trackRevisions>
    </reviewItem>
    <reviewItem>
      <errorID>f2fdc25b-0b3e-49a4-a901-97d725ca9061</errorID>
      <errorWord>(</errorWord>
      <group>L1_Format</group>
      <groupName>格式问题</groupName>
      <ability>L2_HalfPunc</ability>
      <abilityName>全半角检查</abilityName>
      <candidateList>
        <item>（</item>
      </candidateList>
      <explain>文本全半角错误。</explain>
      <paraID>3590E478</paraID>
      <start>2</start>
      <end>3</end>
      <status>unmodified</status>
      <modifiedWord/>
      <trackRevisions>false</trackRevisions>
    </reviewItem>
    <reviewItem>
      <errorID>42f89944-f64f-4327-a6e9-ebe92e0b1848</errorID>
      <errorWord>)</errorWord>
      <group>L1_Format</group>
      <groupName>格式问题</groupName>
      <ability>L2_HalfPunc</ability>
      <abilityName>全半角检查</abilityName>
      <candidateList>
        <item>）</item>
      </candidateList>
      <explain>文本全半角错误。</explain>
      <paraID>3590E478</paraID>
      <start>4</start>
      <end>5</end>
      <status>unmodified</status>
      <modifiedWord/>
      <trackRevisions>false</trackRevisions>
    </reviewItem>
    <reviewItem>
      <errorID>14c9a5fb-557c-4ce5-9b56-a8a1484c6d03</errorID>
      <errorWord>话性炭</errorWord>
      <group>L1_Word</group>
      <groupName>字词问题</groupName>
      <ability>L2_Typo</ability>
      <abilityName>字词错误</abilityName>
      <candidateList>
        <item>活性炭</item>
      </candidateList>
      <explain>〈名〉吸附能力很强的炭，把硬木、果壳、骨头等放在密闭容器中烧成炭再增加其孔隙后制成。防毒面具中用来过滤气体，工业上用来脱色、使溶液纯净，也可用于医药方面。</explain>
      <paraID>1FF8E62F</paraID>
      <start>655</start>
      <end>658</end>
      <status>unmodified</status>
      <modifiedWord/>
      <trackRevisions>false</trackRevisions>
    </reviewItem>
    <reviewItem>
      <errorID>d22d971f-2869-4148-a360-4ebe790caaf2</errorID>
      <errorWord>(</errorWord>
      <group>L1_Format</group>
      <groupName>格式问题</groupName>
      <ability>L2_HalfPunc</ability>
      <abilityName>全半角检查</abilityName>
      <candidateList>
        <item>（</item>
      </candidateList>
      <explain>文本全半角错误。</explain>
      <paraID>58A0CFBF</paraID>
      <start>3</start>
      <end>4</end>
      <status>unmodified</status>
      <modifiedWord/>
      <trackRevisions>false</trackRevisions>
    </reviewItem>
    <reviewItem>
      <errorID>b8cd0820-c1c7-4399-b2f8-8d6d1ed1abf0</errorID>
      <errorWord>)</errorWord>
      <group>L1_Format</group>
      <groupName>格式问题</groupName>
      <ability>L2_HalfPunc</ability>
      <abilityName>全半角检查</abilityName>
      <candidateList>
        <item>）</item>
      </candidateList>
      <explain>文本全半角错误。</explain>
      <paraID>58A0CFBF</paraID>
      <start>8</start>
      <end>9</end>
      <status>unmodified</status>
      <modifiedWord/>
      <trackRevisions>false</trackRevisions>
    </reviewItem>
    <reviewItem>
      <errorID>1d2c903d-75d4-4f79-9a8f-3d66764fd390</errorID>
      <errorWord>(</errorWord>
      <group>L1_Format</group>
      <groupName>格式问题</groupName>
      <ability>L2_HalfPunc</ability>
      <abilityName>全半角检查</abilityName>
      <candidateList>
        <item>（</item>
      </candidateList>
      <explain>文本全半角错误。</explain>
      <paraID>11DA0985</paraID>
      <start>4</start>
      <end>5</end>
      <status>unmodified</status>
      <modifiedWord/>
      <trackRevisions>false</trackRevisions>
    </reviewItem>
    <reviewItem>
      <errorID>dc7329b9-71fb-46b2-9257-828819848cea</errorID>
      <errorWord>)</errorWord>
      <group>L1_Format</group>
      <groupName>格式问题</groupName>
      <ability>L2_HalfPunc</ability>
      <abilityName>全半角检查</abilityName>
      <candidateList>
        <item>）</item>
      </candidateList>
      <explain>文本全半角错误。</explain>
      <paraID>11DA0985</paraID>
      <start>10</start>
      <end>11</end>
      <status>unmodified</status>
      <modifiedWord/>
      <trackRevisions>false</trackRevisions>
    </reviewItem>
    <reviewItem>
      <errorID>aed3df34-a287-4058-b988-902a7df2f34d</errorID>
      <errorWord>(</errorWord>
      <group>L1_Format</group>
      <groupName>格式问题</groupName>
      <ability>L2_HalfPunc</ability>
      <abilityName>全半角检查</abilityName>
      <candidateList>
        <item>（</item>
      </candidateList>
      <explain>文本全半角错误。</explain>
      <paraID> 3BC6629</paraID>
      <start>4</start>
      <end>5</end>
      <status>unmodified</status>
      <modifiedWord/>
      <trackRevisions>false</trackRevisions>
    </reviewItem>
    <reviewItem>
      <errorID>5b5bd8c9-ab85-4784-a63d-cac4520b2124</errorID>
      <errorWord>)</errorWord>
      <group>L1_Format</group>
      <groupName>格式问题</groupName>
      <ability>L2_HalfPunc</ability>
      <abilityName>全半角检查</abilityName>
      <candidateList>
        <item>）</item>
      </candidateList>
      <explain>文本全半角错误。</explain>
      <paraID> 3BC6629</paraID>
      <start>9</start>
      <end>10</end>
      <status>unmodified</status>
      <modifiedWord/>
      <trackRevisions>false</trackRevisions>
    </reviewItem>
    <reviewItem>
      <errorID>ff2f217a-df6c-49a4-af96-3ccc225ecb41</errorID>
      <errorWord>(</errorWord>
      <group>L1_Format</group>
      <groupName>格式问题</groupName>
      <ability>L2_HalfPunc</ability>
      <abilityName>全半角检查</abilityName>
      <candidateList>
        <item>（</item>
      </candidateList>
      <explain>文本全半角错误。</explain>
      <paraID>64B8AC25</paraID>
      <start>3</start>
      <end>4</end>
      <status>unmodified</status>
      <modifiedWord/>
      <trackRevisions>false</trackRevisions>
    </reviewItem>
    <reviewItem>
      <errorID>c4804898-6ced-46b6-b3ac-1639f7e34c1c</errorID>
      <errorWord>)</errorWord>
      <group>L1_Format</group>
      <groupName>格式问题</groupName>
      <ability>L2_HalfPunc</ability>
      <abilityName>全半角检查</abilityName>
      <candidateList>
        <item>）</item>
      </candidateList>
      <explain>文本全半角错误。</explain>
      <paraID>64B8AC25</paraID>
      <start>8</start>
      <end>9</end>
      <status>unmodified</status>
      <modifiedWord/>
      <trackRevisions>false</trackRevisions>
    </reviewItem>
    <reviewItem>
      <errorID>902cf241-95d4-4a33-bc3a-9bedc0499ea9</errorID>
      <errorWord>后方</errorWord>
      <group>L1_Word</group>
      <groupName>字词问题</groupName>
      <ability>L2_Typo</ability>
      <abilityName>字词错误</abilityName>
      <candidateList>
        <item>后</item>
      </candidateList>
      <explain>❶君主的妻子：皇～｜～妃。❷古代称君主：商之先～。❸（Hòu）〈名〉姓。</explain>
      <paraID>60A6A17A</paraID>
      <start>67</start>
      <end>69</end>
      <status>unmodified</status>
      <modifiedWord/>
      <trackRevisions>false</trackRevisions>
    </reviewItem>
    <reviewItem>
      <errorID>c30358a3-cd45-4866-89bb-57874468b47a</errorID>
      <errorWord>设</errorWord>
      <group>L1_Word</group>
      <groupName>字词问题</groupName>
      <ability>L2_Typo</ability>
      <abilityName>字词错误</abilityName>
      <candidateList>
        <item>设立</item>
      </candidateList>
      <explain/>
      <paraID>72630071</paraID>
      <start>1</start>
      <end>2</end>
      <status>unmodified</status>
      <modifiedWord/>
      <trackRevisions>false</trackRevisions>
    </reviewItem>
    <reviewItem>
      <errorID>39c9d399-2115-45c3-a3f9-c3712e3bc483</errorID>
      <errorWord>环境检测</errorWord>
      <group>L1_Word</group>
      <groupName>字词问题</groupName>
      <ability>L2_Typo</ability>
      <abilityName>字词错误</abilityName>
      <candidateList>
        <item>环境监测</item>
      </candidateList>
      <explain/>
      <paraID>72630071</paraID>
      <start>37</start>
      <end>41</end>
      <status>unmodified</status>
      <modifiedWord/>
      <trackRevisions>false</trackRevisions>
    </reviewItem>
    <reviewItem>
      <errorID>d7116fa9-e714-49f0-b155-4d590c13244b</errorID>
      <errorWord>(</errorWord>
      <group>L1_Format</group>
      <groupName>格式问题</groupName>
      <ability>L2_HalfPunc</ability>
      <abilityName>全半角检查</abilityName>
      <candidateList>
        <item>（</item>
      </candidateList>
      <explain>文本全半角错误。</explain>
      <paraID>69842BB6</paraID>
      <start>111</start>
      <end>112</end>
      <status>unmodified</status>
      <modifiedWord/>
      <trackRevisions>false</trackRevisions>
    </reviewItem>
    <reviewItem>
      <errorID>22ca8fd0-2b5c-4a25-a52d-a80ab9675ddc</errorID>
      <errorWord>)</errorWord>
      <group>L1_Format</group>
      <groupName>格式问题</groupName>
      <ability>L2_HalfPunc</ability>
      <abilityName>全半角检查</abilityName>
      <candidateList>
        <item>）</item>
      </candidateList>
      <explain>文本全半角错误。</explain>
      <paraID>69842BB6</paraID>
      <start>126</start>
      <end>127</end>
      <status>unmodified</status>
      <modifiedWord/>
      <trackRevisions>false</trackRevisions>
    </reviewItem>
    <reviewItem>
      <errorID>0494703c-3f72-4f64-94b0-59ab65747965</errorID>
      <errorWord>*</errorWord>
      <group>L1_Punc</group>
      <groupName>标点问题</groupName>
      <ability>L2_Punc</ability>
      <abilityName>标点符号检查</abilityName>
      <candidateList/>
      <explain/>
      <paraID>45AB5883</paraID>
      <start>0</start>
      <end>1</end>
      <status>unmodified</status>
      <modifiedWord/>
      <trackRevisions>false</trackRevisions>
    </reviewItem>
    <reviewItem>
      <errorID>5e3200f4-7831-41fd-b782-c70050c87948</errorID>
      <errorWord>(</errorWord>
      <group>L1_Format</group>
      <groupName>格式问题</groupName>
      <ability>L2_HalfPunc</ability>
      <abilityName>全半角检查</abilityName>
      <candidateList>
        <item>（</item>
      </candidateList>
      <explain>文本全半角错误。</explain>
      <paraID>6B94A3C0</paraID>
      <start>15</start>
      <end>16</end>
      <status>unmodified</status>
      <modifiedWord/>
      <trackRevisions>false</trackRevisions>
    </reviewItem>
    <reviewItem>
      <errorID>9c0a45af-ee62-4913-901d-af0db49ed339</errorID>
      <errorWord>)</errorWord>
      <group>L1_Format</group>
      <groupName>格式问题</groupName>
      <ability>L2_HalfPunc</ability>
      <abilityName>全半角检查</abilityName>
      <candidateList>
        <item>）</item>
      </candidateList>
      <explain>文本全半角错误。</explain>
      <paraID>6B94A3C0</paraID>
      <start>38</start>
      <end>39</end>
      <status>unmodified</status>
      <modifiedWord/>
      <trackRevisions>false</trackRevisions>
    </reviewItem>
    <reviewItem>
      <errorID>7b6e8dda-722a-4f11-b3da-2eb51c119ba0</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DAE5E79</paraID>
      <start>0</start>
      <end>2</end>
      <status>unmodified</status>
      <modifiedWord/>
      <trackRevisions>false</trackRevisions>
    </reviewItem>
    <reviewItem>
      <errorID>a7cea84e-894e-43a3-a898-4c1dc0a8f3fc</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4CEE18E1</paraID>
      <start>0</start>
      <end>2</end>
      <status>unmodified</status>
      <modifiedWord/>
      <trackRevisions>false</trackRevisions>
    </reviewItem>
    <reviewItem>
      <errorID>e8b0674d-e004-4821-9309-b72d9752eb94</errorID>
      <errorWord>)</errorWord>
      <group>L1_Format</group>
      <groupName>格式问题</groupName>
      <ability>L2_HalfPunc</ability>
      <abilityName>全半角检查</abilityName>
      <candidateList>
        <item>）</item>
      </candidateList>
      <explain>文本全半角错误。</explain>
      <paraID>19100884</paraID>
      <start>24</start>
      <end>25</end>
      <status>unmodified</status>
      <modifiedWord/>
      <trackRevisions>false</trackRevisions>
    </reviewItem>
    <reviewItem>
      <errorID>38281d97-af53-4a2b-8cd0-7e4c4b7333d3</errorID>
      <errorWord>源源</errorWord>
      <group>L1_Word</group>
      <groupName>字词问题</groupName>
      <ability>L2_Typo</ability>
      <abilityName>字词错误</abilityName>
      <candidateList>
        <item>源</item>
      </candidateList>
      <explain/>
      <paraID>6B6DAE65</paraID>
      <start>1</start>
      <end>3</end>
      <status>unmodified</status>
      <modifiedWord/>
      <trackRevisions>false</trackRevisions>
    </reviewItem>
    <reviewItem>
      <errorID>7c171468-32a0-44c5-be50-c599747fb1d8</errorID>
      <errorWord>(</errorWord>
      <group>L1_Format</group>
      <groupName>格式问题</groupName>
      <ability>L2_HalfPunc</ability>
      <abilityName>全半角检查</abilityName>
      <candidateList>
        <item>（</item>
      </candidateList>
      <explain>文本全半角错误。</explain>
      <paraID>76589064</paraID>
      <start>2</start>
      <end>3</end>
      <status>unmodified</status>
      <modifiedWord/>
      <trackRevisions>false</trackRevisions>
    </reviewItem>
    <reviewItem>
      <errorID>ab9d7e7a-54e7-4089-9e91-2253b1fbda6f</errorID>
      <errorWord>)</errorWord>
      <group>L1_Format</group>
      <groupName>格式问题</groupName>
      <ability>L2_HalfPunc</ability>
      <abilityName>全半角检查</abilityName>
      <candidateList>
        <item>）</item>
      </candidateList>
      <explain>文本全半角错误。</explain>
      <paraID>76589064</paraID>
      <start>8</start>
      <end>9</end>
      <status>unmodified</status>
      <modifiedWord/>
      <trackRevisions>false</trackRevisions>
    </reviewItem>
    <reviewItem>
      <errorID>13da59aa-2a7d-46bd-a4d6-cca1058f5305</errorID>
      <errorWord>（</errorWord>
      <group>L1_Format</group>
      <groupName>格式问题</groupName>
      <ability>L2_HalfPunc</ability>
      <abilityName>全半角检查</abilityName>
      <candidateList>
        <item>(</item>
      </candidateList>
      <explain>文本全半角错误。</explain>
      <paraID>5B1C6FA1</paraID>
      <start>0</start>
      <end>1</end>
      <status>unmodified</status>
      <modifiedWord/>
      <trackRevisions>false</trackRevisions>
    </reviewItem>
    <reviewItem>
      <errorID>0b3a4912-938a-4193-a126-72f3747a8e3c</errorID>
      <errorWord>，</errorWord>
      <group>L1_Format</group>
      <groupName>格式问题</groupName>
      <ability>L2_HalfPunc</ability>
      <abilityName>全半角检查</abilityName>
      <candidateList>
        <item>,</item>
      </candidateList>
      <explain>文本全半角错误。</explain>
      <paraID>5B1C6FA1</paraID>
      <start>3</start>
      <end>4</end>
      <status>unmodified</status>
      <modifiedWord/>
      <trackRevisions>false</trackRevisions>
    </reviewItem>
    <reviewItem>
      <errorID>6da5544c-2539-46ee-b19e-54b875fbcf85</errorID>
      <errorWord>，</errorWord>
      <group>L1_Format</group>
      <groupName>格式问题</groupName>
      <ability>L2_HalfPunc</ability>
      <abilityName>全半角检查</abilityName>
      <candidateList>
        <item>,</item>
      </candidateList>
      <explain>文本全半角错误。</explain>
      <paraID>5B1C6FA1</paraID>
      <start>6</start>
      <end>7</end>
      <status>unmodified</status>
      <modifiedWord/>
      <trackRevisions>false</trackRevisions>
    </reviewItem>
    <reviewItem>
      <errorID>76f97ae3-b548-4aeb-81ed-600c336b60a8</errorID>
      <errorWord>）</errorWord>
      <group>L1_Format</group>
      <groupName>格式问题</groupName>
      <ability>L2_HalfPunc</ability>
      <abilityName>全半角检查</abilityName>
      <candidateList>
        <item>)</item>
      </candidateList>
      <explain>文本全半角错误。</explain>
      <paraID>5B1C6FA1</paraID>
      <start>10</start>
      <end>11</end>
      <status>unmodified</status>
      <modifiedWord/>
      <trackRevisions>false</trackRevisions>
    </reviewItem>
    <reviewItem>
      <errorID>60de9d67-3324-4107-a6ec-cc52091b58f0</errorID>
      <errorWord>其它</errorWord>
      <group>L1_Word</group>
      <groupName>字词问题</groupName>
      <ability>L2_Alias</ability>
      <abilityName>也作/曾用词</abilityName>
      <candidateList>
        <item>其他</item>
      </candidateList>
      <explain>词汇[其它]为不规范表述或旧称，其规范书面表述为[其他]。</explain>
      <paraID>1EB91750</paraID>
      <start>1</start>
      <end>3</end>
      <status>unmodified</status>
      <modifiedWord/>
      <trackRevisions>false</trackRevisions>
    </reviewItem>
    <reviewItem>
      <errorID>d8db9243-6177-411e-b994-96be3595e184</errorID>
      <errorWord>其它</errorWord>
      <group>L1_Word</group>
      <groupName>字词问题</groupName>
      <ability>L2_Alias</ability>
      <abilityName>也作/曾用词</abilityName>
      <candidateList>
        <item>其他</item>
      </candidateList>
      <explain>词汇[其它]为不规范表述或旧称，其规范书面表述为[其他]。</explain>
      <paraID>673B88A9</paraID>
      <start>0</start>
      <end>2</end>
      <status>unmodified</status>
      <modifiedWord/>
      <trackRevisions>false</trackRevisions>
    </reviewItem>
    <reviewItem>
      <errorID>49974634-8ab0-4fcd-a7bd-5b77de5b7cf9</errorID>
      <errorWord>)</errorWord>
      <group>L1_Format</group>
      <groupName>格式问题</groupName>
      <ability>L2_HalfPunc</ability>
      <abilityName>全半角检查</abilityName>
      <candidateList>
        <item>）</item>
      </candidateList>
      <explain>文本全半角错误。</explain>
      <paraID>7D6073AA</paraID>
      <start>16</start>
      <end>17</end>
      <status>unmodified</status>
      <modifiedWord/>
      <trackRevisions>false</trackRevisions>
    </reviewItem>
    <reviewItem>
      <errorID>4c86f40a-5a72-4881-9698-e598da92383c</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56647FB9</paraID>
      <start>0</start>
      <end>2</end>
      <status>unmodified</status>
      <modifiedWord/>
      <trackRevisions>false</trackRevisions>
    </reviewItem>
    <reviewItem>
      <errorID>d60375e5-a974-4e7e-97eb-4fc8808a1762</errorID>
      <errorWord>法律、法规</errorWord>
      <group>L1_Word</group>
      <groupName>字词问题</groupName>
      <ability>L2_Typo</ability>
      <abilityName>字词错误</abilityName>
      <candidateList>
        <item>法律法规</item>
      </candidateList>
      <explain/>
      <paraID> 8030D8F</paraID>
      <start>61</start>
      <end>66</end>
      <status>unmodified</status>
      <modifiedWord/>
      <trackRevisions>false</trackRevisions>
    </reviewItem>
    <reviewItem>
      <errorID>09e78d3e-a607-4045-a5cd-4e992f61c898</errorID>
      <errorWord>（</errorWord>
      <group>L1_Format</group>
      <groupName>格式问题</groupName>
      <ability>L2_HalfPunc</ability>
      <abilityName>全半角检查</abilityName>
      <candidateList>
        <item>(</item>
      </candidateList>
      <explain>文本全半角错误。</explain>
      <paraID>74CB4CF4</paraID>
      <start>0</start>
      <end>1</end>
      <status>unmodified</status>
      <modifiedWord/>
      <trackRevisions>false</trackRevisions>
    </reviewItem>
    <reviewItem>
      <errorID>8d8a02b9-bb1f-42dd-b950-0a2956a855eb</errorID>
      <errorWord>）</errorWord>
      <group>L1_Format</group>
      <groupName>格式问题</groupName>
      <ability>L2_HalfPunc</ability>
      <abilityName>全半角检查</abilityName>
      <candidateList>
        <item>)</item>
      </candidateList>
      <explain>文本全半角错误。</explain>
      <paraID>74CB4CF4</paraID>
      <start>4</start>
      <end>5</end>
      <status>unmodified</status>
      <modifiedWord/>
      <trackRevisions>false</trackRevisions>
    </reviewItem>
    <reviewItem>
      <errorID>84d8fef8-6a72-447b-b9ad-e096cb783bc0</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6181BB30</paraID>
      <start>227</start>
      <end>228</end>
      <status>unmodified</status>
      <modifiedWord/>
      <trackRevisions>false</trackRevisions>
    </reviewItem>
    <reviewItem>
      <errorID>d714ebe8-6ed9-4f2a-8202-322812126eb4</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5F78C5C4</paraID>
      <start>0</start>
      <end>2</end>
      <status>unmodified</status>
      <modifiedWord/>
      <trackRevisions>false</trackRevisions>
    </reviewItem>
    <reviewItem>
      <errorID>cef42ce9-3efb-4801-9754-1692185cbf14</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1A85639</paraID>
      <start>0</start>
      <end>2</end>
      <status>unmodified</status>
      <modifiedWord/>
      <trackRevisions>false</trackRevisions>
    </reviewItem>
    <reviewItem>
      <errorID>9927b3f0-1c19-43e3-97f9-35596426f8f6</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58D4A726</paraID>
      <start>0</start>
      <end>2</end>
      <status>unmodified</status>
      <modifiedWord/>
      <trackRevisions>false</trackRevisions>
    </reviewItem>
    <reviewItem>
      <errorID>2122372e-e68d-4b4e-be6d-16c15b597e60</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4F0E89D2</paraID>
      <start>0</start>
      <end>2</end>
      <status>unmodified</status>
      <modifiedWord/>
      <trackRevisions>false</trackRevisions>
    </reviewItem>
    <reviewItem>
      <errorID>0ff7f623-e3e3-4637-a470-4d4db3265a05</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273564E</paraID>
      <start>0</start>
      <end>2</end>
      <status>unmodified</status>
      <modifiedWord/>
      <trackRevisions>false</trackRevisions>
    </reviewItem>
    <reviewItem>
      <errorID>e1cc1660-668b-48d6-b840-2176a78a8464</errorID>
      <errorWord>、的</errorWord>
      <group>L1_Word</group>
      <groupName>字词问题</groupName>
      <ability>L2_Typo</ability>
      <abilityName>字词错误</abilityName>
      <candidateList>
        <item>、</item>
      </candidateList>
      <explain/>
      <paraID>388F2958</paraID>
      <start>1</start>
      <end>3</end>
      <status>unmodified</status>
      <modifiedWord/>
      <trackRevisions>false</trackRevisions>
    </reviewItem>
    <reviewItem>
      <errorID>ee772e72-8442-46e8-a1b2-7f4b5f33cdbf</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52E2B37E</paraID>
      <start>0</start>
      <end>2</end>
      <status>unmodified</status>
      <modifiedWord/>
      <trackRevisions>false</trackRevisions>
    </reviewItem>
    <reviewItem>
      <errorID>82c32abf-972b-4825-9291-4715add9c142</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10132F15</paraID>
      <start>0</start>
      <end>2</end>
      <status>unmodified</status>
      <modifiedWord/>
      <trackRevisions>false</trackRevisions>
    </reviewItem>
    <reviewItem>
      <errorID>d8a75edc-16c5-437d-bc6a-4ee9b7428cb4</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32FDE099</paraID>
      <start>0</start>
      <end>2</end>
      <status>unmodified</status>
      <modifiedWord/>
      <trackRevisions>false</trackRevisions>
    </reviewItem>
    <reviewItem>
      <errorID>74fbd048-0cc1-4f7a-a163-3452bfb1c650</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476BCE1A</paraID>
      <start>0</start>
      <end>2</end>
      <status>unmodified</status>
      <modifiedWord/>
      <trackRevisions>false</trackRevisions>
    </reviewItem>
    <reviewItem>
      <errorID>02ad01e6-2393-4043-8d7c-0474ac89abe4</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790E1D7C</paraID>
      <start>0</start>
      <end>2</end>
      <status>unmodified</status>
      <modifiedWord/>
      <trackRevisions>false</trackRevisions>
    </reviewItem>
    <reviewItem>
      <errorID>97e1531c-9efe-4526-b8f9-31d75b0966a4</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1219FB57</paraID>
      <start>0</start>
      <end>2</end>
      <status>unmodified</status>
      <modifiedWord/>
      <trackRevisions>false</trackRevisions>
    </reviewItem>
    <reviewItem>
      <errorID>ec220c60-b195-4219-81f5-09000b5c229d</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75832F4C</paraID>
      <start>0</start>
      <end>2</end>
      <status>unmodified</status>
      <modifiedWord/>
      <trackRevisions>false</trackRevisions>
    </reviewItem>
    <reviewItem>
      <errorID>4bb30b09-0504-4af2-9929-1b4f39f568b8</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543B7D19</paraID>
      <start>0</start>
      <end>2</end>
      <status>unmodified</status>
      <modifiedWord/>
      <trackRevisions>false</trackRevisions>
    </reviewItem>
    <reviewItem>
      <errorID>59d589f6-b6ee-4c47-8757-bd3a5acd85fb</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1244FBCD</paraID>
      <start>0</start>
      <end>2</end>
      <status>unmodified</status>
      <modifiedWord/>
      <trackRevisions>false</trackRevisions>
    </reviewItem>
    <reviewItem>
      <errorID>0f2c5fba-458a-4799-a17d-3759e8c431d4</errorID>
      <errorWord>裙脚</errorWord>
      <group>L1_Word</group>
      <groupName>字词问题</groupName>
      <ability>L2_Typo</ability>
      <abilityName>字词错误</abilityName>
      <candidateList>
        <item>裙角</item>
      </candidateList>
      <explain/>
      <paraID>26A6A46D</paraID>
      <start>92</start>
      <end>94</end>
      <status>unmodified</status>
      <modifiedWord/>
      <trackRevisions>false</trackRevisions>
    </reviewItem>
    <reviewItem>
      <errorID>4e36a050-01a9-403a-ba63-570a7927b4e0</errorID>
      <errorWord>裙脚</errorWord>
      <group>L1_Word</group>
      <groupName>字词问题</groupName>
      <ability>L2_Typo</ability>
      <abilityName>字词错误</abilityName>
      <candidateList>
        <item>裙角</item>
      </candidateList>
      <explain/>
      <paraID>1202C45D</paraID>
      <start>38</start>
      <end>40</end>
      <status>unmodified</status>
      <modifiedWord/>
      <trackRevisions>false</trackRevisions>
    </reviewItem>
    <reviewItem>
      <errorID>23b9d228-871b-458d-bd5c-ff37b7dd153f</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34661B4</paraID>
      <start>0</start>
      <end>2</end>
      <status>unmodified</status>
      <modifiedWord/>
      <trackRevisions>false</trackRevisions>
    </reviewItem>
    <reviewItem>
      <errorID>a2663ba0-e5ae-44f6-aac4-cdf45d9a528b</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C23A69F</paraID>
      <start>0</start>
      <end>2</end>
      <status>unmodified</status>
      <modifiedWord/>
      <trackRevisions>false</trackRevisions>
    </reviewItem>
    <reviewItem>
      <errorID>f4a78aba-fb41-422e-9eee-6ae31c190a8e</errorID>
      <errorWord>存在</errorWord>
      <group>L1_Word</group>
      <groupName>字词问题</groupName>
      <ability>L2_Typo</ability>
      <abilityName>字词错误</abilityName>
      <candidateList>
        <item>存放</item>
      </candidateList>
      <explain/>
      <paraID>31023FCC</paraID>
      <start>95</start>
      <end>97</end>
      <status>unmodified</status>
      <modifiedWord/>
      <trackRevisions>false</trackRevisions>
    </reviewItem>
    <reviewItem>
      <errorID>ddc2679f-87b3-4987-8efd-060cbc411fb6</errorID>
      <errorWord>、…</errorWord>
      <group>L1_Punc</group>
      <groupName>标点问题</groupName>
      <ability>L2_Punc</ability>
      <abilityName>标点符号检查</abilityName>
      <candidateList>
        <item>、</item>
      </candidateList>
      <explain/>
      <paraID> 37346FC</paraID>
      <start>9</start>
      <end>11</end>
      <status>unmodified</status>
      <modifiedWord/>
      <trackRevisions>false</trackRevisions>
    </reviewItem>
    <reviewItem>
      <errorID>ff77987d-4d3c-4706-b4d1-fe832317e181</errorID>
      <errorWord>、…</errorWord>
      <group>L1_Punc</group>
      <groupName>标点问题</groupName>
      <ability>L2_Punc</ability>
      <abilityName>标点符号检查</abilityName>
      <candidateList>
        <item>、</item>
      </candidateList>
      <explain/>
      <paraID>31D23CE9</paraID>
      <start>5</start>
      <end>7</end>
      <status>unmodified</status>
      <modifiedWord/>
      <trackRevisions>false</trackRevisions>
    </reviewItem>
    <reviewItem>
      <errorID>deaa923f-4e0e-4024-bedc-be5c8532b25c</errorID>
      <errorWord>(</errorWord>
      <group>L1_Format</group>
      <groupName>格式问题</groupName>
      <ability>L2_HalfPunc</ability>
      <abilityName>全半角检查</abilityName>
      <candidateList>
        <item>（</item>
      </candidateList>
      <explain>文本全半角错误。</explain>
      <paraID> BC8AF61</paraID>
      <start>6</start>
      <end>7</end>
      <status>unmodified</status>
      <modifiedWord/>
      <trackRevisions>false</trackRevisions>
    </reviewItem>
    <reviewItem>
      <errorID>50e10fee-b983-4620-8428-0c888a91a113</errorID>
      <errorWord>)</errorWord>
      <group>L1_Format</group>
      <groupName>格式问题</groupName>
      <ability>L2_HalfPunc</ability>
      <abilityName>全半角检查</abilityName>
      <candidateList>
        <item>）</item>
      </candidateList>
      <explain>文本全半角错误。</explain>
      <paraID> BC8AF61</paraID>
      <start>8</start>
      <end>9</end>
      <status>unmodified</status>
      <modifiedWord/>
      <trackRevisions>false</trackRevisions>
    </reviewItem>
    <reviewItem>
      <errorID>27d09981-03e3-4c6c-a0eb-1fa43ba17c2d</errorID>
      <errorWord>泄露</errorWord>
      <group>L1_Word</group>
      <groupName>字词问题</groupName>
      <ability>L2_Typo</ability>
      <abilityName>字词错误</abilityName>
      <candidateList>
        <item>泄漏</item>
      </candidateList>
      <explain/>
      <paraID>32DAA381</paraID>
      <start>122</start>
      <end>124</end>
      <status>unmodified</status>
      <modifiedWord/>
      <trackRevisions>false</trackRevisions>
    </reviewItem>
    <reviewItem>
      <errorID>403a32f6-dcba-4771-909c-4f198e92fa7e</errorID>
      <errorWord>(</errorWord>
      <group>L1_Format</group>
      <groupName>格式问题</groupName>
      <ability>L2_HalfPunc</ability>
      <abilityName>全半角检查</abilityName>
      <candidateList>
        <item>（</item>
      </candidateList>
      <explain>文本全半角错误。</explain>
      <paraID>32DAA381</paraID>
      <start>143</start>
      <end>144</end>
      <status>unmodified</status>
      <modifiedWord/>
      <trackRevisions>false</trackRevisions>
    </reviewItem>
    <reviewItem>
      <errorID>23cba89e-fd6a-4c0f-8e07-8d37ea231c65</errorID>
      <errorWord>)</errorWord>
      <group>L1_Format</group>
      <groupName>格式问题</groupName>
      <ability>L2_HalfPunc</ability>
      <abilityName>全半角检查</abilityName>
      <candidateList>
        <item>）</item>
      </candidateList>
      <explain>文本全半角错误。</explain>
      <paraID>32DAA381</paraID>
      <start>157</start>
      <end>158</end>
      <status>unmodified</status>
      <modifiedWord/>
      <trackRevisions>false</trackRevisions>
    </reviewItem>
    <reviewItem>
      <errorID>a7593173-14d6-48d3-b4b1-0369759a0968</errorID>
      <errorWord>临近地区</errorWord>
      <group>L1_Word</group>
      <groupName>字词问题</groupName>
      <ability>L2_Typo</ability>
      <abilityName>字词错误</abilityName>
      <candidateList>
        <item>邻近地区</item>
      </candidateList>
      <explain>存在发音相同字词的误用。</explain>
      <paraID>31882EB0</paraID>
      <start>32</start>
      <end>36</end>
      <status>unmodified</status>
      <modifiedWord/>
      <trackRevisions>false</trackRevisions>
    </reviewItem>
    <reviewItem>
      <errorID>fb561a55-c6e8-439f-8a4f-be5006ed48d9</errorID>
      <errorWord>设</errorWord>
      <group>L1_Word</group>
      <groupName>字词问题</groupName>
      <ability>L2_Typo</ability>
      <abilityName>字词错误</abilityName>
      <candidateList>
        <item>设立</item>
      </candidateList>
      <explain/>
      <paraID>6CA89442</paraID>
      <start>0</start>
      <end>1</end>
      <status>unmodified</status>
      <modifiedWord/>
      <trackRevisions>false</trackRevisions>
    </reviewItem>
    <reviewItem>
      <errorID>b2395eb1-0618-4036-9a10-4055aca27f7e</errorID>
      <errorWord>设</errorWord>
      <group>L1_Word</group>
      <groupName>字词问题</groupName>
      <ability>L2_Typo</ability>
      <abilityName>字词错误</abilityName>
      <candidateList>
        <item>设立</item>
      </candidateList>
      <explain/>
      <paraID>6CA89442</paraID>
      <start>20</start>
      <end>21</end>
      <status>unmodified</status>
      <modifiedWord/>
      <trackRevisions>false</trackRevisions>
    </reviewItem>
    <reviewItem>
      <errorID>61d91493-d07b-4f7f-b421-44633ee65f57</errorID>
      <errorWord>8、</errorWord>
      <group>L1_Format</group>
      <groupName>格式问题</groupName>
      <ability>L2_Ordinal</ability>
      <abilityName>序号格式</abilityName>
      <candidateList>
        <item>8.</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418C21ED</paraID>
      <start>0</start>
      <end>2</end>
      <status>unmodified</status>
      <modifiedWord/>
      <trackRevisions>false</trackRevisions>
    </reviewItem>
    <reviewItem>
      <errorID>00e586f2-9396-4f4c-8f8e-596f532af4bd</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1B93150F</paraID>
      <start>55</start>
      <end>56</end>
      <status>unmodified</status>
      <modifiedWord/>
      <trackRevisions>false</trackRevisions>
    </reviewItem>
    <reviewItem>
      <errorID>fc694d8f-33ce-4396-a82d-abbafeaac788</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6BC264AC</paraID>
      <start>0</start>
      <end>2</end>
      <status>unmodified</status>
      <modifiedWord/>
      <trackRevisions>false</trackRevisions>
    </reviewItem>
    <reviewItem>
      <errorID>e967ad8b-2dbc-4af4-89c4-e91ebc3ec42f</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ED1BCCF</paraID>
      <start>0</start>
      <end>2</end>
      <status>unmodified</status>
      <modifiedWord/>
      <trackRevisions>false</trackRevisions>
    </reviewItem>
    <reviewItem>
      <errorID>a069e4d5-7f36-4dfd-b73d-567dcfbf4500</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6CF4F138</paraID>
      <start>0</start>
      <end>2</end>
      <status>unmodified</status>
      <modifiedWord/>
      <trackRevisions>false</trackRevisions>
    </reviewItem>
    <reviewItem>
      <errorID>5c1d876e-aac5-4761-bbec-befeea2c93c8</errorID>
      <errorWord>(</errorWord>
      <group>L1_Format</group>
      <groupName>格式问题</groupName>
      <ability>L2_HalfPunc</ability>
      <abilityName>全半角检查</abilityName>
      <candidateList>
        <item>（</item>
      </candidateList>
      <explain>文本全半角错误。</explain>
      <paraID>668875C9</paraID>
      <start>3</start>
      <end>4</end>
      <status>unmodified</status>
      <modifiedWord/>
      <trackRevisions>false</trackRevisions>
    </reviewItem>
    <reviewItem>
      <errorID>63a0671a-d8ba-423a-ae21-c7d5763b1714</errorID>
      <errorWord>)</errorWord>
      <group>L1_Format</group>
      <groupName>格式问题</groupName>
      <ability>L2_HalfPunc</ability>
      <abilityName>全半角检查</abilityName>
      <candidateList>
        <item>）</item>
      </candidateList>
      <explain>文本全半角错误。</explain>
      <paraID>668875C9</paraID>
      <start>9</start>
      <end>10</end>
      <status>unmodified</status>
      <modifiedWord/>
      <trackRevisions>false</trackRevisions>
    </reviewItem>
    <reviewItem>
      <errorID>b69cc281-c755-490e-9777-4f1887273371</errorID>
      <errorWord>*</errorWord>
      <group>L1_Punc</group>
      <groupName>标点问题</groupName>
      <ability>L2_Punc</ability>
      <abilityName>标点符号检查</abilityName>
      <candidateList/>
      <explain/>
      <paraID>24C1B6F3</paraID>
      <start>0</start>
      <end>1</end>
      <status>unmodified</status>
      <modifiedWord/>
      <trackRevisions>false</trackRevisions>
    </reviewItem>
    <reviewItem>
      <errorID>8d79805d-6e90-4124-9fd9-ee4d1b8647bb</errorID>
      <errorWord>*</errorWord>
      <group>L1_Punc</group>
      <groupName>标点问题</groupName>
      <ability>L2_Punc</ability>
      <abilityName>标点符号检查</abilityName>
      <candidateList/>
      <explain/>
      <paraID> 91FBC15</paraID>
      <start>0</start>
      <end>1</end>
      <status>unmodified</status>
      <modifiedWord/>
      <trackRevisions>false</trackRevisions>
    </reviewItem>
    <reviewItem>
      <errorID>8f6c8bb6-4324-4f34-9522-844ad011c26a</errorID>
      <errorWord>*</errorWord>
      <group>L1_Punc</group>
      <groupName>标点问题</groupName>
      <ability>L2_Punc</ability>
      <abilityName>标点符号检查</abilityName>
      <candidateList/>
      <explain/>
      <paraID>6BFA2B5E</paraID>
      <start>0</start>
      <end>1</end>
      <status>unmodified</status>
      <modifiedWord/>
      <trackRevisions>false</trackRevisions>
    </reviewItem>
    <reviewItem>
      <errorID>f1c7da25-efb8-49a5-9842-5580109bca27</errorID>
      <errorWord>交有</errorWord>
      <group>L1_Word</group>
      <groupName>字词问题</groupName>
      <ability>L2_Typo</ability>
      <abilityName>字词错误</abilityName>
      <candidateList>
        <item>交由</item>
      </candidateList>
      <explain>存在发音相同字词的误用。</explain>
      <paraID>66FDAE4A</paraID>
      <start>9</start>
      <end>11</end>
      <status>unmodified</status>
      <modifiedWord/>
      <trackRevisions>false</trackRevisions>
    </reviewItem>
    <reviewItem>
      <errorID>26b2b684-28bc-4f7c-96b0-deac91ad25a2</errorID>
      <errorWord>(</errorWord>
      <group>L1_Format</group>
      <groupName>格式问题</groupName>
      <ability>L2_HalfPunc</ability>
      <abilityName>全半角检查</abilityName>
      <candidateList>
        <item>（</item>
      </candidateList>
      <explain>文本全半角错误。</explain>
      <paraID>55B29DE3</paraID>
      <start>14</start>
      <end>15</end>
      <status>unmodified</status>
      <modifiedWord/>
      <trackRevisions>false</trackRevisions>
    </reviewItem>
    <reviewItem>
      <errorID>be353577-1d5b-4b23-9363-4f368932110a</errorID>
      <errorWord>》</errorWord>
      <group>L1_Word</group>
      <groupName>字词问题</groupName>
      <ability>L2_Typo</ability>
      <abilityName>字词错误</abilityName>
      <candidateList>
        <item>》等</item>
      </candidateList>
      <explain/>
      <paraID> 9A2B37A</paraID>
      <start>150</start>
      <end>151</end>
      <status>unmodified</status>
      <modifiedWord/>
      <trackRevisions>false</trackRevisions>
    </reviewItem>
    <reviewItem>
      <errorID>fd356986-4bef-44f6-a878-fbeadec2ae81</errorID>
      <errorWord>时</errorWord>
      <group>L1_Word</group>
      <groupName>字词问题</groupName>
      <ability>L2_Typo</ability>
      <abilityName>字词错误</abilityName>
      <candidateList>
        <item>时向</item>
      </candidateList>
      <explain/>
      <paraID>398428E8</paraID>
      <start>62</start>
      <end>63</end>
      <status>unmodified</status>
      <modifiedWord/>
      <trackRevisions>false</trackRevisions>
    </reviewItem>
    <reviewItem>
      <errorID>fbac02aa-a3a2-41b5-8fcd-ec484aa0a701</errorID>
      <errorWord>-</errorWord>
      <group>L1_Format</group>
      <groupName>格式问题</groupName>
      <ability>L2_HalfPunc</ability>
      <abilityName>全半角检查</abilityName>
      <candidateList>
        <item>－</item>
      </candidateList>
      <explain>文本全半角错误。</explain>
      <paraID> C2C1848</paraID>
      <start>62</start>
      <end>63</end>
      <status>unmodified</status>
      <modifiedWord/>
      <trackRevisions>false</trackRevisions>
    </reviewItem>
    <reviewItem>
      <errorID>6877a0fb-7104-4caf-9cfd-98409d94278d</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 C2C1848</paraID>
      <start>68</start>
      <end>71</end>
      <status>unmodified</status>
      <modifiedWord/>
      <trackRevisions>false</trackRevisions>
    </reviewItem>
    <reviewItem>
      <errorID>b8424caa-3a2b-4774-993f-dfa5bf24ac6b</errorID>
      <errorWord>-</errorWord>
      <group>L1_Format</group>
      <groupName>格式问题</groupName>
      <ability>L2_HalfPunc</ability>
      <abilityName>全半角检查</abilityName>
      <candidateList>
        <item>－</item>
      </candidateList>
      <explain>文本全半角错误。</explain>
      <paraID> C2C1848</paraID>
      <start>85</start>
      <end>86</end>
      <status>unmodified</status>
      <modifiedWord/>
      <trackRevisions>false</trackRevisions>
    </reviewItem>
    <reviewItem>
      <errorID>7fe2e88d-2f26-42f5-a3fe-ac2146389bfc</errorID>
      <errorWord>、，</errorWord>
      <group>L1_Punc</group>
      <groupName>标点问题</groupName>
      <ability>L2_Punc</ability>
      <abilityName>标点符号检查</abilityName>
      <candidateList>
        <item>、</item>
      </candidateList>
      <explain/>
      <paraID> C2C1848</paraID>
      <start>95</start>
      <end>97</end>
      <status>unmodified</status>
      <modifiedWord/>
      <trackRevisions>false</trackRevisions>
    </reviewItem>
    <reviewItem>
      <errorID>00c52d8c-d65d-4d8b-adb1-26892fc0086b</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 C2C1848</paraID>
      <start>125</start>
      <end>128</end>
      <status>unmodified</status>
      <modifiedWord/>
      <trackRevisions>false</trackRevisions>
    </reviewItem>
    <reviewItem>
      <errorID>fe9e3b59-b127-4823-92bf-062a641032f9</errorID>
      <errorWord>项</errorWord>
      <group>L1_Word</group>
      <groupName>字词问题</groupName>
      <ability>L2_Typo</ability>
      <abilityName>字词错误</abilityName>
      <candidateList>
        <item>项目</item>
      </candidateList>
      <explain>〈名〉事物分成的门类：服务～｜体育～｜建设～。</explain>
      <paraID>21C1FB20</paraID>
      <start>40</start>
      <end>42</end>
      <status>modified</status>
      <modifiedWord>项目</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767b273-8e97-4678-bc8b-97390d51b4a8}">
  <ds:schemaRefs/>
</ds:datastoreItem>
</file>

<file path=docProps/app.xml><?xml version="1.0" encoding="utf-8"?>
<Properties xmlns="http://schemas.openxmlformats.org/officeDocument/2006/extended-properties" xmlns:vt="http://schemas.openxmlformats.org/officeDocument/2006/docPropsVTypes">
  <Template>wdzx97</Template>
  <Company>微软中国</Company>
  <Pages>121</Pages>
  <Words>38749</Words>
  <Characters>41345</Characters>
  <Lines>1</Lines>
  <Paragraphs>1</Paragraphs>
  <TotalTime>16</TotalTime>
  <ScaleCrop>false</ScaleCrop>
  <LinksUpToDate>false</LinksUpToDate>
  <CharactersWithSpaces>41443</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2021-03-05T06:45:00Z</dcterms:created>
  <dc:creator>lhj</dc:creator>
  <cp:lastModifiedBy>涂鸦。</cp:lastModifiedBy>
  <cp:lastPrinted>2026-02-26T01:54:00Z</cp:lastPrinted>
  <dcterms:modified xsi:type="dcterms:W3CDTF">2026-02-26T06:12:11Z</dcterms:modified>
  <dc:title>附件2</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13B1F713F86144C68CDDAE687D58243E_13</vt:lpwstr>
  </property>
  <property fmtid="{D5CDD505-2E9C-101B-9397-08002B2CF9AE}" pid="4" name="KSOTemplateDocerSaveRecord">
    <vt:lpwstr>eyJoZGlkIjoiZGMwNjk0Yzc2ZGMzN2EwNjc3ZTdlZmMwN2Y5ODQ5MGQiLCJ1c2VySWQiOiIyMTYxMTE3NjUifQ==</vt:lpwstr>
  </property>
</Properties>
</file>